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both"/>
        <w:rPr>
          <w:rFonts w:ascii="Times New Roman" w:hAnsi="Times New Roman" w:eastAsia="宋体" w:cs="Times New Roman"/>
          <w:b/>
          <w:bCs/>
          <w:color w:val="333333"/>
          <w:kern w:val="0"/>
          <w:sz w:val="36"/>
          <w:szCs w:val="36"/>
          <w:shd w:val="clear" w:color="auto" w:fill="FFFFFF" w:themeFill="background1"/>
        </w:rPr>
      </w:pPr>
    </w:p>
    <w:p>
      <w:pPr>
        <w:jc w:val="center"/>
        <w:rPr>
          <w:rFonts w:ascii="Times New Roman" w:hAnsi="Times New Roman" w:cs="Times New Roman" w:eastAsiaTheme="majorEastAsia"/>
          <w:b/>
          <w:sz w:val="36"/>
          <w:szCs w:val="36"/>
        </w:rPr>
      </w:pPr>
      <w:r>
        <w:rPr>
          <w:rFonts w:hint="eastAsia" w:ascii="宋体" w:hAnsi="宋体" w:eastAsia="宋体" w:cs="宋体"/>
          <w:b/>
          <w:bCs/>
          <w:sz w:val="36"/>
          <w:szCs w:val="36"/>
          <w:lang w:val="en-US" w:eastAsia="zh-CN"/>
        </w:rPr>
        <w:t xml:space="preserve">    中韩（长春）国际合作示范区</w:t>
      </w:r>
      <w:r>
        <w:rPr>
          <w:rFonts w:ascii="Times New Roman" w:hAnsi="Times New Roman" w:cs="Times New Roman" w:eastAsiaTheme="majorEastAsia"/>
          <w:b/>
          <w:sz w:val="36"/>
          <w:szCs w:val="36"/>
        </w:rPr>
        <w:t>长德街道办事处</w:t>
      </w:r>
    </w:p>
    <w:p>
      <w:pPr>
        <w:jc w:val="center"/>
        <w:rPr>
          <w:rFonts w:ascii="Times New Roman" w:hAnsi="Times New Roman" w:cs="Times New Roman" w:eastAsiaTheme="majorEastAsia"/>
          <w:b/>
          <w:sz w:val="36"/>
          <w:szCs w:val="36"/>
        </w:rPr>
      </w:pPr>
      <w:r>
        <w:rPr>
          <w:rFonts w:ascii="Times New Roman" w:hAnsi="Times New Roman" w:cs="Times New Roman" w:eastAsiaTheme="majorEastAsia"/>
          <w:b/>
          <w:sz w:val="36"/>
          <w:szCs w:val="36"/>
        </w:rPr>
        <w:t>202</w:t>
      </w:r>
      <w:r>
        <w:rPr>
          <w:rFonts w:hint="eastAsia" w:ascii="Times New Roman" w:hAnsi="Times New Roman" w:cs="Times New Roman" w:eastAsiaTheme="majorEastAsia"/>
          <w:b/>
          <w:sz w:val="36"/>
          <w:szCs w:val="36"/>
          <w:lang w:val="en-US" w:eastAsia="zh-CN"/>
        </w:rPr>
        <w:t>2</w:t>
      </w:r>
      <w:r>
        <w:rPr>
          <w:rFonts w:ascii="Times New Roman" w:hAnsi="Times New Roman" w:cs="Times New Roman" w:eastAsiaTheme="majorEastAsia"/>
          <w:b/>
          <w:sz w:val="36"/>
          <w:szCs w:val="36"/>
        </w:rPr>
        <w:t>年政府信息公开工作年度报告</w:t>
      </w:r>
    </w:p>
    <w:p>
      <w:pPr>
        <w:ind w:firstLine="482" w:firstLineChars="200"/>
        <w:jc w:val="center"/>
        <w:rPr>
          <w:rFonts w:hint="eastAsia" w:ascii="宋体" w:hAnsi="宋体" w:eastAsia="宋体" w:cs="宋体"/>
          <w:b/>
          <w:sz w:val="24"/>
          <w:szCs w:val="24"/>
        </w:rPr>
      </w:pPr>
    </w:p>
    <w:p>
      <w:pPr>
        <w:tabs>
          <w:tab w:val="left" w:pos="6893"/>
        </w:tabs>
        <w:ind w:firstLine="480" w:firstLineChars="200"/>
        <w:rPr>
          <w:rFonts w:hint="eastAsia" w:ascii="宋体" w:hAnsi="宋体" w:eastAsia="宋体" w:cs="宋体"/>
          <w:sz w:val="24"/>
          <w:szCs w:val="24"/>
        </w:rPr>
      </w:pPr>
      <w:r>
        <w:rPr>
          <w:rFonts w:hint="eastAsia" w:ascii="宋体" w:hAnsi="宋体" w:eastAsia="宋体" w:cs="宋体"/>
          <w:sz w:val="24"/>
          <w:szCs w:val="24"/>
        </w:rPr>
        <w:t>本年度报告由</w:t>
      </w:r>
      <w:r>
        <w:rPr>
          <w:rFonts w:hint="eastAsia" w:ascii="宋体" w:hAnsi="宋体" w:eastAsia="宋体" w:cs="宋体"/>
          <w:b w:val="0"/>
          <w:bCs w:val="0"/>
          <w:sz w:val="24"/>
          <w:szCs w:val="24"/>
          <w:lang w:val="en-US" w:eastAsia="zh-CN"/>
        </w:rPr>
        <w:t>中韩（长春）国际合作示范区</w:t>
      </w:r>
      <w:r>
        <w:rPr>
          <w:rFonts w:hint="eastAsia" w:ascii="宋体" w:hAnsi="宋体" w:eastAsia="宋体" w:cs="宋体"/>
          <w:sz w:val="24"/>
          <w:szCs w:val="24"/>
        </w:rPr>
        <w:t>长德街道办事处依据《中华人民共和国政府信息公开条例》（下称“《条例》”）编制而成。全文由总体情况、主动公开政府信息情况、收到和处理政府信息公开申请情况、政府信息公开行政复议和行政诉讼情况、存在的主要问题及改进情况、其他需要报告的事项共6部分组成。本报告中所列数据统计期限自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年1月1日至202</w:t>
      </w:r>
      <w:r>
        <w:rPr>
          <w:rFonts w:hint="eastAsia" w:ascii="宋体" w:hAnsi="宋体" w:eastAsia="宋体" w:cs="宋体"/>
          <w:sz w:val="24"/>
          <w:szCs w:val="24"/>
          <w:lang w:val="en-US" w:eastAsia="zh-CN"/>
        </w:rPr>
        <w:t>2</w:t>
      </w:r>
      <w:r>
        <w:rPr>
          <w:rFonts w:hint="eastAsia" w:ascii="宋体" w:hAnsi="宋体" w:eastAsia="宋体" w:cs="宋体"/>
          <w:sz w:val="24"/>
          <w:szCs w:val="24"/>
        </w:rPr>
        <w:t>年12月31日截止。如对本报告有任何疑问，请与长德街道办事处联系。地址：长春市长德新区长德大街1号环卫基地大楼，邮编：130000，电话：0431-81187780。</w:t>
      </w:r>
    </w:p>
    <w:p>
      <w:pPr>
        <w:ind w:firstLine="482" w:firstLineChars="200"/>
        <w:rPr>
          <w:rFonts w:ascii="Times New Roman" w:hAnsi="Times New Roman" w:cs="Times New Roman"/>
          <w:b/>
          <w:sz w:val="24"/>
          <w:szCs w:val="24"/>
        </w:rPr>
      </w:pPr>
      <w:r>
        <w:rPr>
          <w:rFonts w:ascii="Times New Roman" w:hAnsi="Times New Roman" w:cs="Times New Roman"/>
          <w:b/>
          <w:sz w:val="24"/>
          <w:szCs w:val="24"/>
        </w:rPr>
        <w:t>一、总体情况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b w:val="0"/>
          <w:bCs w:val="0"/>
          <w:sz w:val="24"/>
          <w:szCs w:val="24"/>
          <w:lang w:val="en-US" w:eastAsia="zh-CN"/>
        </w:rPr>
        <w:t xml:space="preserve"> 中韩（长春）国际合作示范区</w:t>
      </w:r>
      <w:r>
        <w:rPr>
          <w:rFonts w:hint="eastAsia" w:ascii="宋体" w:hAnsi="宋体" w:eastAsia="宋体" w:cs="宋体"/>
          <w:sz w:val="24"/>
          <w:szCs w:val="24"/>
        </w:rPr>
        <w:t>长德街道认真贯彻落实《中华人民共和国政府信息公开条例》和省、市关于政府信息公开工作的相关规定和具体要求，长德街道领导班子高度重视信息公开工作，把此项工作列入</w:t>
      </w:r>
      <w:r>
        <w:rPr>
          <w:rFonts w:hint="eastAsia" w:ascii="宋体" w:hAnsi="宋体" w:eastAsia="宋体" w:cs="宋体"/>
          <w:b w:val="0"/>
          <w:bCs w:val="0"/>
          <w:sz w:val="24"/>
          <w:szCs w:val="24"/>
          <w:lang w:val="en-US" w:eastAsia="zh-CN"/>
        </w:rPr>
        <w:t>中韩（长春）国际合作示范区</w:t>
      </w:r>
      <w:r>
        <w:rPr>
          <w:rFonts w:hint="eastAsia" w:ascii="宋体" w:hAnsi="宋体" w:eastAsia="宋体" w:cs="宋体"/>
          <w:sz w:val="24"/>
          <w:szCs w:val="24"/>
        </w:rPr>
        <w:t>长德街道重点工作任务，由</w:t>
      </w:r>
      <w:r>
        <w:rPr>
          <w:rFonts w:hint="eastAsia" w:ascii="宋体" w:hAnsi="宋体" w:eastAsia="宋体" w:cs="宋体"/>
          <w:b w:val="0"/>
          <w:bCs w:val="0"/>
          <w:sz w:val="24"/>
          <w:szCs w:val="24"/>
          <w:lang w:val="en-US" w:eastAsia="zh-CN"/>
        </w:rPr>
        <w:t>中韩（长春）国际合作示范区</w:t>
      </w:r>
      <w:r>
        <w:rPr>
          <w:rFonts w:hint="eastAsia" w:ascii="宋体" w:hAnsi="宋体" w:eastAsia="宋体" w:cs="宋体"/>
          <w:sz w:val="24"/>
          <w:szCs w:val="24"/>
        </w:rPr>
        <w:t>长德街道党政综合办公室专门负责此项工作。</w:t>
      </w:r>
    </w:p>
    <w:p>
      <w:pPr>
        <w:ind w:firstLine="480" w:firstLineChars="200"/>
        <w:rPr>
          <w:rFonts w:hint="eastAsia" w:ascii="宋体" w:hAnsi="宋体" w:eastAsia="宋体" w:cs="宋体"/>
          <w:sz w:val="24"/>
          <w:szCs w:val="24"/>
        </w:rPr>
      </w:pPr>
      <w:r>
        <w:rPr>
          <w:rFonts w:hint="eastAsia" w:ascii="楷体" w:hAnsi="楷体" w:eastAsia="楷体" w:cs="楷体"/>
          <w:sz w:val="24"/>
          <w:szCs w:val="24"/>
        </w:rPr>
        <w:t>（一）组织推动全省政府信息公开工作</w:t>
      </w:r>
      <w:r>
        <w:rPr>
          <w:rFonts w:hint="eastAsia" w:ascii="宋体" w:hAnsi="宋体" w:eastAsia="宋体" w:cs="宋体"/>
          <w:sz w:val="24"/>
          <w:szCs w:val="24"/>
        </w:rPr>
        <w:t>。重点结合机构改革工作实际，全力推进重点领域信息公开。把政府信息公开纳入政府工作基本规则，严格遵循应公开尽公开原则，努力推动重大决策公开常态化。依据“最多跑一次”要求，推进政务服务再升级。长德街道公共服务中心坚持提速增效，加大“吉林省政务服务全流程一体化平台（试运行）”建设力度，实现让数据多跑腿，让居民少跑腿，让便民利民落到实处。推进网上办事，除涉密、敏感等不宜网上办理的事项外，均开通网上办理。截止目前，长德街道公共服务中心积极发挥作用，202</w:t>
      </w:r>
      <w:r>
        <w:rPr>
          <w:rFonts w:hint="eastAsia" w:ascii="宋体" w:hAnsi="宋体" w:eastAsia="宋体" w:cs="宋体"/>
          <w:sz w:val="24"/>
          <w:szCs w:val="24"/>
          <w:lang w:val="en-US" w:eastAsia="zh-CN"/>
        </w:rPr>
        <w:t>2</w:t>
      </w:r>
      <w:r>
        <w:rPr>
          <w:rFonts w:hint="eastAsia" w:ascii="宋体" w:hAnsi="宋体" w:eastAsia="宋体" w:cs="宋体"/>
          <w:sz w:val="24"/>
          <w:szCs w:val="24"/>
        </w:rPr>
        <w:t>年共办件</w:t>
      </w:r>
      <w:r>
        <w:rPr>
          <w:rFonts w:hint="eastAsia" w:ascii="宋体" w:hAnsi="宋体" w:eastAsia="宋体" w:cs="宋体"/>
          <w:sz w:val="24"/>
          <w:szCs w:val="24"/>
          <w:lang w:val="en-US" w:eastAsia="zh-CN"/>
        </w:rPr>
        <w:t>1849</w:t>
      </w:r>
      <w:r>
        <w:rPr>
          <w:rFonts w:hint="eastAsia" w:ascii="宋体" w:hAnsi="宋体" w:eastAsia="宋体" w:cs="宋体"/>
          <w:sz w:val="24"/>
          <w:szCs w:val="24"/>
        </w:rPr>
        <w:t>件。其中公交卡</w:t>
      </w:r>
      <w:r>
        <w:rPr>
          <w:rFonts w:hint="eastAsia" w:ascii="宋体" w:hAnsi="宋体" w:eastAsia="宋体" w:cs="宋体"/>
          <w:sz w:val="24"/>
          <w:szCs w:val="24"/>
          <w:lang w:val="en-US" w:eastAsia="zh-CN"/>
        </w:rPr>
        <w:t>704</w:t>
      </w:r>
      <w:r>
        <w:rPr>
          <w:rFonts w:hint="eastAsia" w:ascii="宋体" w:hAnsi="宋体" w:eastAsia="宋体" w:cs="宋体"/>
          <w:sz w:val="24"/>
          <w:szCs w:val="24"/>
        </w:rPr>
        <w:t>件,生育证（一孩二孩</w:t>
      </w:r>
      <w:r>
        <w:rPr>
          <w:rFonts w:hint="eastAsia" w:ascii="宋体" w:hAnsi="宋体" w:eastAsia="宋体" w:cs="宋体"/>
          <w:sz w:val="24"/>
          <w:szCs w:val="24"/>
          <w:lang w:val="en-US" w:eastAsia="zh-CN"/>
        </w:rPr>
        <w:t>再生育</w:t>
      </w:r>
      <w:r>
        <w:rPr>
          <w:rFonts w:hint="eastAsia" w:ascii="宋体" w:hAnsi="宋体" w:eastAsia="宋体" w:cs="宋体"/>
          <w:sz w:val="24"/>
          <w:szCs w:val="24"/>
        </w:rPr>
        <w:t>）</w:t>
      </w:r>
      <w:r>
        <w:rPr>
          <w:rFonts w:hint="eastAsia" w:ascii="宋体" w:hAnsi="宋体" w:eastAsia="宋体" w:cs="宋体"/>
          <w:sz w:val="24"/>
          <w:szCs w:val="24"/>
          <w:lang w:val="en-US" w:eastAsia="zh-CN"/>
        </w:rPr>
        <w:t>60</w:t>
      </w:r>
      <w:r>
        <w:rPr>
          <w:rFonts w:hint="eastAsia" w:ascii="宋体" w:hAnsi="宋体" w:eastAsia="宋体" w:cs="宋体"/>
          <w:sz w:val="24"/>
          <w:szCs w:val="24"/>
        </w:rPr>
        <w:t xml:space="preserve">件,独生子女光荣证 </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件,残疾证1</w:t>
      </w:r>
      <w:r>
        <w:rPr>
          <w:rFonts w:hint="eastAsia" w:ascii="宋体" w:hAnsi="宋体" w:eastAsia="宋体" w:cs="宋体"/>
          <w:sz w:val="24"/>
          <w:szCs w:val="24"/>
          <w:lang w:val="en-US" w:eastAsia="zh-CN"/>
        </w:rPr>
        <w:t>84</w:t>
      </w:r>
      <w:r>
        <w:rPr>
          <w:rFonts w:hint="eastAsia" w:ascii="宋体" w:hAnsi="宋体" w:eastAsia="宋体" w:cs="宋体"/>
          <w:sz w:val="24"/>
          <w:szCs w:val="24"/>
        </w:rPr>
        <w:t>件,就业创业证</w:t>
      </w:r>
      <w:r>
        <w:rPr>
          <w:rFonts w:hint="eastAsia" w:ascii="宋体" w:hAnsi="宋体" w:eastAsia="宋体" w:cs="宋体"/>
          <w:sz w:val="24"/>
          <w:szCs w:val="24"/>
          <w:lang w:val="en-US" w:eastAsia="zh-CN"/>
        </w:rPr>
        <w:t>141</w:t>
      </w:r>
      <w:r>
        <w:rPr>
          <w:rFonts w:hint="eastAsia" w:ascii="宋体" w:hAnsi="宋体" w:eastAsia="宋体" w:cs="宋体"/>
          <w:sz w:val="24"/>
          <w:szCs w:val="24"/>
        </w:rPr>
        <w:t>件,医保</w:t>
      </w:r>
      <w:r>
        <w:rPr>
          <w:rFonts w:hint="eastAsia" w:ascii="宋体" w:hAnsi="宋体" w:eastAsia="宋体" w:cs="宋体"/>
          <w:sz w:val="24"/>
          <w:szCs w:val="24"/>
          <w:lang w:val="en-US" w:eastAsia="zh-CN"/>
        </w:rPr>
        <w:t>745</w:t>
      </w:r>
      <w:r>
        <w:rPr>
          <w:rFonts w:hint="eastAsia" w:ascii="宋体" w:hAnsi="宋体" w:eastAsia="宋体" w:cs="宋体"/>
          <w:sz w:val="24"/>
          <w:szCs w:val="24"/>
        </w:rPr>
        <w:t>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爱心圆梦5件，我心飞翔3件</w:t>
      </w:r>
      <w:r>
        <w:rPr>
          <w:rFonts w:hint="eastAsia" w:ascii="宋体" w:hAnsi="宋体" w:eastAsia="宋体" w:cs="宋体"/>
          <w:sz w:val="24"/>
          <w:szCs w:val="24"/>
        </w:rPr>
        <w:t>。强化政务舆情意识，积极回应社会关切。开设咨询电话对来电来访群众积极进行政策解读，将其疑问进行化解，电话保持长久畅通，确保“有电必接、有电必办、有电必复”。</w:t>
      </w:r>
    </w:p>
    <w:p>
      <w:pPr>
        <w:ind w:firstLine="480" w:firstLineChars="200"/>
        <w:rPr>
          <w:rFonts w:hint="eastAsia" w:ascii="宋体" w:hAnsi="宋体" w:eastAsia="宋体" w:cs="宋体"/>
          <w:sz w:val="24"/>
          <w:szCs w:val="24"/>
        </w:rPr>
      </w:pPr>
      <w:r>
        <w:rPr>
          <w:rFonts w:hint="eastAsia" w:ascii="楷体" w:hAnsi="楷体" w:eastAsia="楷体" w:cs="楷体"/>
          <w:sz w:val="24"/>
          <w:szCs w:val="24"/>
          <w:highlight w:val="none"/>
        </w:rPr>
        <w:t>（二）积极推动政府信息主动公开</w:t>
      </w:r>
      <w:r>
        <w:rPr>
          <w:rFonts w:hint="eastAsia" w:ascii="宋体" w:hAnsi="宋体" w:eastAsia="宋体" w:cs="宋体"/>
          <w:sz w:val="24"/>
          <w:szCs w:val="24"/>
          <w:highlight w:val="none"/>
        </w:rPr>
        <w:t>。</w:t>
      </w:r>
      <w:r>
        <w:rPr>
          <w:rFonts w:hint="eastAsia" w:ascii="宋体" w:hAnsi="宋体" w:eastAsia="宋体" w:cs="宋体"/>
          <w:sz w:val="24"/>
          <w:szCs w:val="24"/>
        </w:rPr>
        <w:t>加强体系建设，提升基层公开水平。结合街、村、社区工作实际，分别在街道公共服务中心、村居委会办公场所建立政府信息公开服务点，发放吉林省政府人民公报80余本，政府信息公开宣传品500余份，供群众领阅、指导群众帮助群众进行信息公开申请。设立兼职信息公开指导员，结合《条例》对申请要件、程序步骤及规范化答复范本等内容，对各级指导员进行培训，切实提升基层政府信息公开服务水平，建强基层公开体系和工作人员队伍。</w:t>
      </w:r>
    </w:p>
    <w:p>
      <w:pPr>
        <w:ind w:firstLine="480" w:firstLineChars="200"/>
        <w:rPr>
          <w:rFonts w:hint="eastAsia" w:ascii="宋体" w:hAnsi="宋体" w:eastAsia="宋体" w:cs="宋体"/>
          <w:sz w:val="24"/>
          <w:szCs w:val="24"/>
        </w:rPr>
      </w:pPr>
      <w:r>
        <w:rPr>
          <w:rFonts w:hint="eastAsia" w:ascii="楷体" w:hAnsi="楷体" w:eastAsia="楷体" w:cs="楷体"/>
          <w:sz w:val="24"/>
          <w:szCs w:val="24"/>
        </w:rPr>
        <w:t>（三）认真规范处理依申请公开</w:t>
      </w:r>
      <w:r>
        <w:rPr>
          <w:rFonts w:hint="eastAsia" w:ascii="宋体" w:hAnsi="宋体" w:eastAsia="宋体" w:cs="宋体"/>
          <w:sz w:val="24"/>
          <w:szCs w:val="24"/>
        </w:rPr>
        <w:t>。建立完善多种申请渠道，建立建全完善现场受理等多种渠道受理政府信息公开申请,指定专人及时处理各渠道的申请，在法定时限内依法答复；统一信息公开申请文书,按规范制作《政府信息公开申请表》，并通过依申请公开受理点等免费向申请人提供。《政府信息公开申请表》要素主要包括：申请人姓名或组织机构名称、有效证件、联系方式，所需信息的内容描述，所需信息的用途，所需信息的指定提供方式及获取信息的方式。严格落实政务信息公开要求，及时发布相关信息。通过制度保障，进一步规范信息公开工作，明确办事处权责事项清单71项，确认政务服务事项84项，依法回复依申请信息公开1件次。针对村集体依申请信息公开工作，严格依据国家、省市有关法律条文，聘请专业律师确定回复内容和申请要件，及时反馈给申请人，同时以点带面、举一反三，探索建设村级信息依申请公开的标准化、规范化流程和回复文本。</w:t>
      </w:r>
    </w:p>
    <w:p>
      <w:pPr>
        <w:ind w:firstLine="480" w:firstLineChars="200"/>
        <w:rPr>
          <w:rFonts w:hint="eastAsia" w:ascii="宋体" w:hAnsi="宋体" w:eastAsia="宋体" w:cs="宋体"/>
          <w:sz w:val="24"/>
          <w:szCs w:val="24"/>
        </w:rPr>
      </w:pPr>
      <w:r>
        <w:rPr>
          <w:rFonts w:hint="eastAsia" w:ascii="楷体" w:hAnsi="楷体" w:eastAsia="楷体" w:cs="楷体"/>
          <w:sz w:val="24"/>
          <w:szCs w:val="24"/>
        </w:rPr>
        <w:t>（四）不断强化政府信息公开平台内容保障</w:t>
      </w:r>
      <w:r>
        <w:rPr>
          <w:rFonts w:hint="eastAsia" w:ascii="宋体" w:hAnsi="宋体" w:eastAsia="宋体" w:cs="宋体"/>
          <w:sz w:val="24"/>
          <w:szCs w:val="24"/>
        </w:rPr>
        <w:t>。推动政府信息公开和政务服务向基层延伸，结合“我为群众办实事”实践活动，在村居办公场所设立党员服务岗，指导街道公共服务中心推行自然人业务预约上门、全程代办领办、一次性告知等便民措施。针对各村群众普遍关心的热点内容，在辖区条件成熟的村试点开展村级事务报告日制度，村两委班子定期向监委、村民主动以汇报的形式公开群众关心的热点问题，进一步保障群众的知情权、进一步发挥村监委作用，丰富了村民委员会的信息公开渠道和方式。</w:t>
      </w:r>
    </w:p>
    <w:p>
      <w:pPr>
        <w:ind w:firstLine="480" w:firstLineChars="200"/>
        <w:rPr>
          <w:rFonts w:hint="eastAsia" w:ascii="宋体" w:hAnsi="宋体" w:eastAsia="宋体" w:cs="宋体"/>
          <w:sz w:val="24"/>
          <w:szCs w:val="24"/>
        </w:rPr>
      </w:pPr>
      <w:r>
        <w:rPr>
          <w:rFonts w:hint="eastAsia" w:ascii="楷体" w:hAnsi="楷体" w:eastAsia="楷体" w:cs="楷体"/>
          <w:sz w:val="24"/>
          <w:szCs w:val="24"/>
        </w:rPr>
        <w:t>（五）全力做好宣传培训</w:t>
      </w:r>
      <w:r>
        <w:rPr>
          <w:rFonts w:hint="eastAsia" w:ascii="楷体" w:hAnsi="楷体" w:eastAsia="楷体" w:cs="楷体"/>
          <w:sz w:val="24"/>
          <w:szCs w:val="24"/>
          <w:highlight w:val="none"/>
        </w:rPr>
        <w:t>评估考核</w:t>
      </w:r>
      <w:r>
        <w:rPr>
          <w:rFonts w:hint="eastAsia" w:ascii="楷体" w:hAnsi="楷体" w:eastAsia="楷体" w:cs="楷体"/>
          <w:sz w:val="24"/>
          <w:szCs w:val="24"/>
        </w:rPr>
        <w:t>等基础工作</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t>通过微信公众号、QQ、海报、美篇等链接线上宣传方式，增加群众对政府信息公开的知晓度，同时在长德街道办事处机关、长德街道公共服务中心、村、社区等公共场所设立政府信息公开宣传板，LED大屏幕滚动播放做到政府信息公开线上线下相结合，群众知晓度全覆盖。全力打造村（社区）政府信息公开查阅点，设立专区并有专门负责的工作人员，并为村、社区发放吉林省政府人民公报140余本，政府信息公开宣传品500余份，进一步的方便群众了解、咨询、办理业务。在村、社区办公场所设立代办服务点，由村、社区工作人员负责对所辖村民需要到公共服务中心大厅办理的业务收集整理，与街道公共服务中心进行对接，打通村居民办理业务的“最后一公里”。</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利用国务院及省市专项督查的有利契机，进一步规范各级政府服务窗口有关制度，实行首问负责制，热情规范回复来电业务咨询，在历次考核中均未发生问题。</w:t>
      </w:r>
    </w:p>
    <w:p>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加强</w:t>
      </w:r>
      <w:r>
        <w:rPr>
          <w:rFonts w:hint="eastAsia" w:ascii="宋体" w:hAnsi="宋体" w:eastAsia="宋体" w:cs="宋体"/>
          <w:color w:val="000000" w:themeColor="text1"/>
          <w:sz w:val="24"/>
          <w:szCs w:val="24"/>
          <w:shd w:val="clear" w:color="auto" w:fill="FFFFFF"/>
          <w14:textFill>
            <w14:solidFill>
              <w14:schemeClr w14:val="tx1"/>
            </w14:solidFill>
          </w14:textFill>
        </w:rPr>
        <w:t>内部监督，街道组织专门人员采取定期与不定期相结合的检查方式，加强对机关各部门、各村和社区的管理监督，对于在宣传、服务及业务指导方面发现问题及时整改，切实保障群众获取政府信息。同时坚持把“市长公开电话”回复办结作为沟通群众的桥梁纽带和问题跟踪问效的有力抓手，积极回应社会热点和关切，202</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4"/>
          <w:szCs w:val="24"/>
          <w:shd w:val="clear" w:color="auto" w:fill="FFFFFF"/>
          <w14:textFill>
            <w14:solidFill>
              <w14:schemeClr w14:val="tx1"/>
            </w14:solidFill>
          </w14:textFill>
        </w:rPr>
        <w:t>年共受理市长公开电话来电</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781</w:t>
      </w:r>
      <w:r>
        <w:rPr>
          <w:rFonts w:hint="eastAsia" w:ascii="宋体" w:hAnsi="宋体" w:eastAsia="宋体" w:cs="宋体"/>
          <w:color w:val="000000" w:themeColor="text1"/>
          <w:sz w:val="24"/>
          <w:szCs w:val="24"/>
          <w:shd w:val="clear" w:color="auto" w:fill="FFFFFF"/>
          <w14:textFill>
            <w14:solidFill>
              <w14:schemeClr w14:val="tx1"/>
            </w14:solidFill>
          </w14:textFill>
        </w:rPr>
        <w:t>件，办结率为100%，做到答复及时、准确。</w:t>
      </w:r>
    </w:p>
    <w:p>
      <w:pPr>
        <w:ind w:firstLine="482" w:firstLineChars="200"/>
        <w:rPr>
          <w:rFonts w:ascii="Times New Roman" w:hAnsi="Times New Roman" w:cs="Times New Roman"/>
          <w:b/>
          <w:sz w:val="24"/>
          <w:szCs w:val="24"/>
        </w:rPr>
      </w:pPr>
      <w:r>
        <w:rPr>
          <w:rFonts w:ascii="Times New Roman" w:hAnsi="Times New Roman" w:cs="Times New Roman"/>
          <w:b/>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1849</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spacing w:after="240" w:line="460" w:lineRule="exact"/>
        <w:ind w:firstLine="482" w:firstLineChars="200"/>
        <w:rPr>
          <w:rFonts w:ascii="Times New Roman" w:hAnsi="Times New Roman" w:cs="Times New Roman"/>
          <w:b/>
          <w:bCs/>
          <w:color w:val="333333"/>
          <w:kern w:val="0"/>
          <w:sz w:val="24"/>
          <w:szCs w:val="24"/>
        </w:rPr>
      </w:pPr>
      <w:r>
        <w:rPr>
          <w:rFonts w:ascii="Times New Roman" w:hAnsi="Times New Roman" w:cs="Times New Roman"/>
          <w:b/>
          <w:bCs/>
          <w:color w:val="333333"/>
          <w:kern w:val="0"/>
          <w:sz w:val="24"/>
          <w:szCs w:val="24"/>
        </w:rPr>
        <w:t>三、收到和处理政府信息公开申请情况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Times New Roman" w:hAnsi="Times New Roman" w:eastAsia="宋体" w:cs="Times New Roman"/>
                <w:b/>
                <w:bCs/>
                <w:sz w:val="24"/>
                <w:szCs w:val="24"/>
              </w:rPr>
            </w:pPr>
            <w:r>
              <w:rPr>
                <w:rFonts w:ascii="Times New Roman" w:hAnsi="Times New Roman" w:eastAsia="楷体" w:cs="Times New Roman"/>
                <w:kern w:val="0"/>
                <w:sz w:val="20"/>
                <w:szCs w:val="20"/>
                <w:lang w:bidi="ar"/>
              </w:rPr>
              <w:t>（本列数据的勾稽关系为：第一项加第二项之和，等于第三项加第四项之和）</w:t>
            </w:r>
          </w:p>
        </w:tc>
        <w:tc>
          <w:tcPr>
            <w:tcW w:w="4895" w:type="dxa"/>
            <w:gridSpan w:val="7"/>
            <w:vAlign w:val="center"/>
          </w:tcPr>
          <w:p>
            <w:pPr>
              <w:jc w:val="center"/>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Times New Roman" w:hAnsi="Times New Roman" w:eastAsia="宋体" w:cs="Times New Roman"/>
                <w:b/>
                <w:bCs/>
                <w:sz w:val="24"/>
                <w:szCs w:val="24"/>
              </w:rPr>
            </w:pPr>
          </w:p>
        </w:tc>
        <w:tc>
          <w:tcPr>
            <w:tcW w:w="685" w:type="dxa"/>
            <w:vMerge w:val="restart"/>
            <w:vAlign w:val="center"/>
          </w:tcPr>
          <w:p>
            <w:pPr>
              <w:jc w:val="center"/>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自然人</w:t>
            </w:r>
          </w:p>
        </w:tc>
        <w:tc>
          <w:tcPr>
            <w:tcW w:w="3579" w:type="dxa"/>
            <w:gridSpan w:val="5"/>
            <w:vAlign w:val="center"/>
          </w:tcPr>
          <w:p>
            <w:pPr>
              <w:jc w:val="center"/>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法人或其他组织</w:t>
            </w:r>
          </w:p>
        </w:tc>
        <w:tc>
          <w:tcPr>
            <w:tcW w:w="631" w:type="dxa"/>
            <w:vMerge w:val="restart"/>
            <w:vAlign w:val="center"/>
          </w:tcPr>
          <w:p>
            <w:pPr>
              <w:jc w:val="center"/>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Times New Roman" w:hAnsi="Times New Roman" w:eastAsia="宋体" w:cs="Times New Roman"/>
                <w:b/>
                <w:bCs/>
                <w:sz w:val="24"/>
                <w:szCs w:val="24"/>
              </w:rPr>
            </w:pPr>
          </w:p>
        </w:tc>
        <w:tc>
          <w:tcPr>
            <w:tcW w:w="685" w:type="dxa"/>
            <w:vMerge w:val="continue"/>
          </w:tcPr>
          <w:p>
            <w:pPr>
              <w:rPr>
                <w:rFonts w:ascii="Times New Roman" w:hAnsi="Times New Roman" w:eastAsia="宋体" w:cs="Times New Roman"/>
                <w:b/>
                <w:bCs/>
                <w:sz w:val="24"/>
                <w:szCs w:val="24"/>
              </w:rPr>
            </w:pPr>
          </w:p>
        </w:tc>
        <w:tc>
          <w:tcPr>
            <w:tcW w:w="696" w:type="dxa"/>
            <w:vAlign w:val="center"/>
          </w:tcPr>
          <w:p>
            <w:pPr>
              <w:widowControl/>
              <w:spacing w:line="12" w:lineRule="atLeast"/>
              <w:jc w:val="center"/>
              <w:rPr>
                <w:rFonts w:ascii="Times New Roman" w:hAnsi="Times New Roman" w:eastAsia="宋体" w:cs="Times New Roman"/>
                <w:sz w:val="24"/>
                <w:szCs w:val="24"/>
              </w:rPr>
            </w:pPr>
            <w:r>
              <w:rPr>
                <w:rFonts w:ascii="Times New Roman" w:hAnsi="Times New Roman" w:eastAsia="宋体" w:cs="Times New Roman"/>
                <w:kern w:val="0"/>
                <w:sz w:val="20"/>
                <w:szCs w:val="20"/>
                <w:lang w:bidi="ar"/>
              </w:rPr>
              <w:t>商业企业</w:t>
            </w:r>
          </w:p>
        </w:tc>
        <w:tc>
          <w:tcPr>
            <w:tcW w:w="729" w:type="dxa"/>
            <w:vAlign w:val="center"/>
          </w:tcPr>
          <w:p>
            <w:pPr>
              <w:widowControl/>
              <w:spacing w:line="12" w:lineRule="atLeast"/>
              <w:jc w:val="center"/>
              <w:rPr>
                <w:rFonts w:ascii="Times New Roman" w:hAnsi="Times New Roman" w:eastAsia="宋体" w:cs="Times New Roman"/>
                <w:sz w:val="24"/>
                <w:szCs w:val="24"/>
              </w:rPr>
            </w:pPr>
            <w:r>
              <w:rPr>
                <w:rFonts w:ascii="Times New Roman" w:hAnsi="Times New Roman" w:eastAsia="宋体" w:cs="Times New Roman"/>
                <w:kern w:val="0"/>
                <w:sz w:val="20"/>
                <w:szCs w:val="20"/>
                <w:lang w:bidi="ar"/>
              </w:rPr>
              <w:t>科研机构</w:t>
            </w:r>
          </w:p>
        </w:tc>
        <w:tc>
          <w:tcPr>
            <w:tcW w:w="707" w:type="dxa"/>
            <w:vAlign w:val="center"/>
          </w:tcPr>
          <w:p>
            <w:pPr>
              <w:widowControl/>
              <w:spacing w:line="12" w:lineRule="atLeast"/>
              <w:jc w:val="center"/>
              <w:rPr>
                <w:rFonts w:ascii="Times New Roman" w:hAnsi="Times New Roman" w:eastAsia="宋体" w:cs="Times New Roman"/>
                <w:sz w:val="24"/>
                <w:szCs w:val="24"/>
              </w:rPr>
            </w:pPr>
            <w:r>
              <w:rPr>
                <w:rFonts w:ascii="Times New Roman" w:hAnsi="Times New Roman" w:eastAsia="宋体" w:cs="Times New Roman"/>
                <w:kern w:val="0"/>
                <w:sz w:val="20"/>
                <w:szCs w:val="20"/>
                <w:lang w:bidi="ar"/>
              </w:rPr>
              <w:t>社会公益组织</w:t>
            </w:r>
          </w:p>
        </w:tc>
        <w:tc>
          <w:tcPr>
            <w:tcW w:w="762" w:type="dxa"/>
            <w:vAlign w:val="center"/>
          </w:tcPr>
          <w:p>
            <w:pPr>
              <w:widowControl/>
              <w:spacing w:line="12" w:lineRule="atLeast"/>
              <w:jc w:val="center"/>
              <w:rPr>
                <w:rFonts w:ascii="Times New Roman" w:hAnsi="Times New Roman" w:eastAsia="宋体" w:cs="Times New Roman"/>
                <w:sz w:val="24"/>
                <w:szCs w:val="24"/>
              </w:rPr>
            </w:pPr>
            <w:r>
              <w:rPr>
                <w:rFonts w:ascii="Times New Roman" w:hAnsi="Times New Roman" w:eastAsia="宋体" w:cs="Times New Roman"/>
                <w:kern w:val="0"/>
                <w:sz w:val="20"/>
                <w:szCs w:val="20"/>
                <w:lang w:bidi="ar"/>
              </w:rPr>
              <w:t>法律服务机构</w:t>
            </w:r>
          </w:p>
        </w:tc>
        <w:tc>
          <w:tcPr>
            <w:tcW w:w="685" w:type="dxa"/>
            <w:vAlign w:val="center"/>
          </w:tcPr>
          <w:p>
            <w:pPr>
              <w:widowControl/>
              <w:spacing w:line="12" w:lineRule="atLeast"/>
              <w:jc w:val="center"/>
              <w:rPr>
                <w:rFonts w:ascii="Times New Roman" w:hAnsi="Times New Roman" w:eastAsia="宋体" w:cs="Times New Roman"/>
                <w:sz w:val="24"/>
                <w:szCs w:val="24"/>
              </w:rPr>
            </w:pPr>
            <w:r>
              <w:rPr>
                <w:rFonts w:ascii="Times New Roman" w:hAnsi="Times New Roman" w:eastAsia="宋体" w:cs="Times New Roman"/>
                <w:kern w:val="0"/>
                <w:sz w:val="20"/>
                <w:szCs w:val="20"/>
                <w:lang w:bidi="ar"/>
              </w:rPr>
              <w:t>其他</w:t>
            </w:r>
          </w:p>
        </w:tc>
        <w:tc>
          <w:tcPr>
            <w:tcW w:w="631" w:type="dxa"/>
            <w:vMerge w:val="continue"/>
          </w:tcPr>
          <w:p>
            <w:pPr>
              <w:rPr>
                <w:rFonts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一、本年新收政府信息公开申请数量</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二、上年结转政府信息公开申请数量</w:t>
            </w:r>
          </w:p>
        </w:tc>
        <w:tc>
          <w:tcPr>
            <w:tcW w:w="685" w:type="dxa"/>
            <w:vAlign w:val="center"/>
          </w:tcPr>
          <w:p>
            <w:pPr>
              <w:jc w:val="center"/>
              <w:rPr>
                <w:rFonts w:hint="eastAsia" w:ascii="Times New Roman" w:hAnsi="Times New Roman" w:cs="Times New Roman" w:eastAsiaTheme="minorEastAsia"/>
                <w:lang w:eastAsia="zh-CN"/>
              </w:rPr>
            </w:pPr>
            <w:r>
              <w:rPr>
                <w:rFonts w:hint="eastAsia" w:ascii="Times New Roman" w:hAnsi="Times New Roman" w:eastAsia="宋体" w:cs="Times New Roman"/>
                <w:bCs/>
                <w:sz w:val="24"/>
                <w:szCs w:val="24"/>
                <w:lang w:val="en-US" w:eastAsia="zh-CN"/>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hint="eastAsia" w:ascii="Times New Roman" w:hAnsi="Times New Roman" w:cs="Times New Roman" w:eastAsiaTheme="minorEastAsia"/>
                <w:lang w:eastAsia="zh-CN"/>
              </w:rPr>
            </w:pPr>
            <w:r>
              <w:rPr>
                <w:rFonts w:hint="eastAsia" w:ascii="Times New Roman" w:hAnsi="Times New Roman" w:eastAsia="宋体" w:cs="Times New Roman"/>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ascii="Times New Roman" w:hAnsi="Times New Roman" w:eastAsia="宋体" w:cs="Times New Roman"/>
                <w:kern w:val="0"/>
                <w:sz w:val="20"/>
                <w:szCs w:val="20"/>
                <w:lang w:bidi="ar"/>
              </w:rPr>
            </w:pPr>
          </w:p>
          <w:p>
            <w:pPr>
              <w:widowControl/>
              <w:spacing w:line="12" w:lineRule="atLeast"/>
              <w:rPr>
                <w:rFonts w:ascii="Times New Roman" w:hAnsi="Times New Roman" w:eastAsia="宋体" w:cs="Times New Roman"/>
                <w:kern w:val="0"/>
                <w:sz w:val="20"/>
                <w:szCs w:val="20"/>
                <w:lang w:bidi="ar"/>
              </w:rPr>
            </w:pPr>
          </w:p>
          <w:p>
            <w:pPr>
              <w:widowControl/>
              <w:spacing w:line="12" w:lineRule="atLeast"/>
              <w:rPr>
                <w:rFonts w:ascii="Times New Roman" w:hAnsi="Times New Roman" w:eastAsia="宋体" w:cs="Times New Roman"/>
                <w:kern w:val="0"/>
                <w:sz w:val="20"/>
                <w:szCs w:val="20"/>
                <w:lang w:bidi="ar"/>
              </w:rPr>
            </w:pPr>
          </w:p>
          <w:p>
            <w:pPr>
              <w:widowControl/>
              <w:spacing w:line="12" w:lineRule="atLeast"/>
              <w:rPr>
                <w:rFonts w:ascii="Times New Roman" w:hAnsi="Times New Roman" w:eastAsia="宋体" w:cs="Times New Roman"/>
                <w:kern w:val="0"/>
                <w:sz w:val="20"/>
                <w:szCs w:val="20"/>
                <w:lang w:bidi="ar"/>
              </w:rPr>
            </w:pPr>
          </w:p>
          <w:p>
            <w:pPr>
              <w:widowControl/>
              <w:spacing w:line="12" w:lineRule="atLeast"/>
              <w:rPr>
                <w:rFonts w:ascii="Times New Roman" w:hAnsi="Times New Roman" w:eastAsia="宋体" w:cs="Times New Roman"/>
                <w:kern w:val="0"/>
                <w:sz w:val="20"/>
                <w:szCs w:val="20"/>
                <w:lang w:bidi="ar"/>
              </w:rPr>
            </w:pPr>
          </w:p>
          <w:p>
            <w:pPr>
              <w:widowControl/>
              <w:spacing w:line="12" w:lineRule="atLeast"/>
              <w:rPr>
                <w:rFonts w:ascii="Times New Roman" w:hAnsi="Times New Roman" w:eastAsia="宋体" w:cs="Times New Roman"/>
                <w:kern w:val="0"/>
                <w:sz w:val="20"/>
                <w:szCs w:val="20"/>
                <w:lang w:bidi="ar"/>
              </w:rPr>
            </w:pPr>
          </w:p>
          <w:p>
            <w:pPr>
              <w:widowControl/>
              <w:spacing w:line="12" w:lineRule="atLeast"/>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三、本年度办理结果</w:t>
            </w:r>
          </w:p>
        </w:tc>
        <w:tc>
          <w:tcPr>
            <w:tcW w:w="3466" w:type="dxa"/>
            <w:gridSpan w:val="2"/>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（一）予以公开</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Times New Roman" w:hAnsi="Times New Roman" w:eastAsia="宋体" w:cs="Times New Roman"/>
                <w:b/>
                <w:bCs/>
                <w:sz w:val="24"/>
                <w:szCs w:val="24"/>
              </w:rPr>
            </w:pPr>
          </w:p>
        </w:tc>
        <w:tc>
          <w:tcPr>
            <w:tcW w:w="3466" w:type="dxa"/>
            <w:gridSpan w:val="2"/>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（二）部分公开</w:t>
            </w:r>
            <w:r>
              <w:rPr>
                <w:rFonts w:ascii="Times New Roman" w:hAnsi="Times New Roman" w:eastAsia="楷体" w:cs="Times New Roman"/>
                <w:kern w:val="0"/>
                <w:sz w:val="20"/>
                <w:szCs w:val="20"/>
                <w:lang w:bidi="ar"/>
              </w:rPr>
              <w:t>（区分处理的，只计这一情形，不计其他情形）</w:t>
            </w:r>
          </w:p>
        </w:tc>
        <w:tc>
          <w:tcPr>
            <w:tcW w:w="685"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Times New Roman" w:hAnsi="Times New Roman" w:eastAsia="宋体" w:cs="Times New Roman"/>
                <w:b/>
                <w:bCs/>
                <w:sz w:val="24"/>
                <w:szCs w:val="24"/>
              </w:rPr>
            </w:pPr>
          </w:p>
        </w:tc>
        <w:tc>
          <w:tcPr>
            <w:tcW w:w="815" w:type="dxa"/>
            <w:vMerge w:val="restart"/>
            <w:vAlign w:val="center"/>
          </w:tcPr>
          <w:p>
            <w:pPr>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（三）不予公开</w:t>
            </w:r>
          </w:p>
        </w:tc>
        <w:tc>
          <w:tcPr>
            <w:tcW w:w="2651" w:type="dxa"/>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1.属于国家秘密</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2.其他法律行政法规禁止公开</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3.危及“三安全一稳定”</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4.保护第三方合法权益</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5.属于三类内部事务信息</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6.属于四类过程性信息</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7.属于行政执法案卷</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8.属于行政查询事项</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Times New Roman" w:hAnsi="Times New Roman" w:eastAsia="宋体" w:cs="Times New Roman"/>
                <w:b/>
                <w:bCs/>
                <w:sz w:val="24"/>
                <w:szCs w:val="24"/>
              </w:rPr>
            </w:pPr>
          </w:p>
        </w:tc>
        <w:tc>
          <w:tcPr>
            <w:tcW w:w="815" w:type="dxa"/>
            <w:vMerge w:val="restart"/>
            <w:vAlign w:val="center"/>
          </w:tcPr>
          <w:p>
            <w:pPr>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（四）无法提供</w:t>
            </w:r>
          </w:p>
        </w:tc>
        <w:tc>
          <w:tcPr>
            <w:tcW w:w="2651" w:type="dxa"/>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1.本机关不掌握相关政府信息</w:t>
            </w:r>
          </w:p>
        </w:tc>
        <w:tc>
          <w:tcPr>
            <w:tcW w:w="685"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vAlign w:val="center"/>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2.没有现成信息需要另行制作</w:t>
            </w:r>
          </w:p>
        </w:tc>
        <w:tc>
          <w:tcPr>
            <w:tcW w:w="685"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vAlign w:val="center"/>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3.补正后申请内容仍不明确</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Times New Roman" w:hAnsi="Times New Roman" w:eastAsia="宋体" w:cs="Times New Roman"/>
                <w:b/>
                <w:bCs/>
                <w:sz w:val="24"/>
                <w:szCs w:val="24"/>
              </w:rPr>
            </w:pPr>
          </w:p>
        </w:tc>
        <w:tc>
          <w:tcPr>
            <w:tcW w:w="815" w:type="dxa"/>
            <w:vMerge w:val="restart"/>
            <w:vAlign w:val="center"/>
          </w:tcPr>
          <w:p>
            <w:pPr>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（五）不予处理</w:t>
            </w:r>
          </w:p>
        </w:tc>
        <w:tc>
          <w:tcPr>
            <w:tcW w:w="2651" w:type="dxa"/>
            <w:vAlign w:val="center"/>
          </w:tcPr>
          <w:p>
            <w:pPr>
              <w:widowControl/>
              <w:spacing w:line="12" w:lineRule="atLeast"/>
              <w:jc w:val="left"/>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1.信访举报投诉类申请</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vAlign w:val="center"/>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2.重复申请</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vAlign w:val="center"/>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3.要求提供公开出版物</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vAlign w:val="center"/>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4.无正当理由大量反复申请</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vAlign w:val="center"/>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5.要求行政机关确认或重新出具已获取信息</w:t>
            </w:r>
          </w:p>
        </w:tc>
        <w:tc>
          <w:tcPr>
            <w:tcW w:w="685"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Times New Roman" w:hAnsi="Times New Roman" w:eastAsia="宋体" w:cs="Times New Roman"/>
                <w:b/>
                <w:bCs/>
                <w:sz w:val="24"/>
                <w:szCs w:val="24"/>
              </w:rPr>
            </w:pPr>
          </w:p>
        </w:tc>
        <w:tc>
          <w:tcPr>
            <w:tcW w:w="815" w:type="dxa"/>
            <w:vMerge w:val="restart"/>
            <w:vAlign w:val="center"/>
          </w:tcPr>
          <w:p>
            <w:pPr>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（六）其他处理</w:t>
            </w:r>
          </w:p>
        </w:tc>
        <w:tc>
          <w:tcPr>
            <w:tcW w:w="2651" w:type="dxa"/>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1.申请人无正当理由逾期不补正、行政机关不再处理其政府信息公开申请</w:t>
            </w:r>
          </w:p>
        </w:tc>
        <w:tc>
          <w:tcPr>
            <w:tcW w:w="685" w:type="dxa"/>
            <w:vAlign w:val="center"/>
          </w:tcPr>
          <w:p>
            <w:pPr>
              <w:spacing w:line="72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spacing w:line="72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spacing w:line="72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spacing w:line="72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spacing w:line="72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spacing w:line="72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spacing w:line="720" w:lineRule="auto"/>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2.申请人逾期未按收费通知要求缴纳费用、行政机关不再处理其政府信息公开申请</w:t>
            </w:r>
          </w:p>
        </w:tc>
        <w:tc>
          <w:tcPr>
            <w:tcW w:w="685" w:type="dxa"/>
            <w:vAlign w:val="center"/>
          </w:tcPr>
          <w:p>
            <w:pPr>
              <w:spacing w:line="72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spacing w:line="72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spacing w:line="72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spacing w:line="720" w:lineRule="auto"/>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spacing w:line="72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spacing w:line="72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spacing w:line="720" w:lineRule="auto"/>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Times New Roman" w:hAnsi="Times New Roman" w:eastAsia="宋体" w:cs="Times New Roman"/>
                <w:b/>
                <w:bCs/>
                <w:sz w:val="24"/>
                <w:szCs w:val="24"/>
              </w:rPr>
            </w:pPr>
          </w:p>
        </w:tc>
        <w:tc>
          <w:tcPr>
            <w:tcW w:w="815" w:type="dxa"/>
            <w:vMerge w:val="continue"/>
          </w:tcPr>
          <w:p>
            <w:pPr>
              <w:rPr>
                <w:rFonts w:ascii="Times New Roman" w:hAnsi="Times New Roman" w:eastAsia="宋体" w:cs="Times New Roman"/>
                <w:b/>
                <w:bCs/>
                <w:sz w:val="24"/>
                <w:szCs w:val="24"/>
              </w:rPr>
            </w:pPr>
          </w:p>
        </w:tc>
        <w:tc>
          <w:tcPr>
            <w:tcW w:w="2651" w:type="dxa"/>
            <w:vAlign w:val="center"/>
          </w:tcPr>
          <w:p>
            <w:pPr>
              <w:widowControl/>
              <w:spacing w:line="12" w:lineRule="atLeast"/>
              <w:jc w:val="left"/>
              <w:rPr>
                <w:rFonts w:ascii="Times New Roman" w:hAnsi="Times New Roman" w:eastAsia="宋体" w:cs="Times New Roman"/>
                <w:sz w:val="24"/>
                <w:szCs w:val="24"/>
              </w:rPr>
            </w:pPr>
            <w:r>
              <w:rPr>
                <w:rFonts w:ascii="Times New Roman" w:hAnsi="Times New Roman" w:eastAsia="宋体" w:cs="Times New Roman"/>
                <w:kern w:val="0"/>
                <w:sz w:val="20"/>
                <w:szCs w:val="20"/>
                <w:lang w:bidi="ar"/>
              </w:rPr>
              <w:t>3.其他</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Times New Roman" w:hAnsi="Times New Roman" w:eastAsia="宋体" w:cs="Times New Roman"/>
                <w:b/>
                <w:bCs/>
                <w:sz w:val="24"/>
                <w:szCs w:val="24"/>
              </w:rPr>
            </w:pPr>
          </w:p>
        </w:tc>
        <w:tc>
          <w:tcPr>
            <w:tcW w:w="3466" w:type="dxa"/>
            <w:gridSpan w:val="2"/>
            <w:vAlign w:val="center"/>
          </w:tcPr>
          <w:p>
            <w:pPr>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（七）总计</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Times New Roman" w:hAnsi="Times New Roman" w:eastAsia="宋体" w:cs="Times New Roman"/>
                <w:b/>
                <w:bCs/>
                <w:sz w:val="24"/>
                <w:szCs w:val="24"/>
              </w:rPr>
            </w:pPr>
            <w:r>
              <w:rPr>
                <w:rFonts w:ascii="Times New Roman" w:hAnsi="Times New Roman" w:eastAsia="宋体" w:cs="Times New Roman"/>
                <w:kern w:val="0"/>
                <w:sz w:val="20"/>
                <w:szCs w:val="20"/>
                <w:lang w:bidi="ar"/>
              </w:rPr>
              <w:t>四、结转下年度继续办理</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96"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29"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07"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762"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85"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c>
          <w:tcPr>
            <w:tcW w:w="631" w:type="dxa"/>
            <w:vAlign w:val="center"/>
          </w:tcPr>
          <w:p>
            <w:pPr>
              <w:jc w:val="center"/>
              <w:rPr>
                <w:rFonts w:ascii="Times New Roman" w:hAnsi="Times New Roman" w:cs="Times New Roman"/>
              </w:rPr>
            </w:pPr>
            <w:r>
              <w:rPr>
                <w:rFonts w:ascii="Times New Roman" w:hAnsi="Times New Roman" w:eastAsia="宋体" w:cs="Times New Roman"/>
                <w:bCs/>
                <w:sz w:val="24"/>
                <w:szCs w:val="24"/>
              </w:rPr>
              <w:t>0</w:t>
            </w:r>
          </w:p>
        </w:tc>
      </w:tr>
    </w:tbl>
    <w:p>
      <w:pPr>
        <w:widowControl/>
        <w:shd w:val="clear" w:color="auto" w:fill="FFFFFF"/>
        <w:spacing w:line="460" w:lineRule="exact"/>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四、政府信息公开行政复议、行政诉讼情况</w:t>
      </w:r>
    </w:p>
    <w:p>
      <w:pPr>
        <w:ind w:firstLine="480" w:firstLineChars="200"/>
        <w:rPr>
          <w:rFonts w:ascii="Times New Roman" w:hAnsi="Times New Roman" w:cs="Times New Roman"/>
        </w:rPr>
      </w:pPr>
      <w:r>
        <w:rPr>
          <w:rFonts w:ascii="Times New Roman" w:hAnsi="Times New Roman" w:cs="Times New Roman"/>
          <w:sz w:val="24"/>
          <w:szCs w:val="24"/>
        </w:rPr>
        <w:t>长德街道202</w:t>
      </w:r>
      <w:r>
        <w:rPr>
          <w:rFonts w:hint="eastAsia" w:ascii="Times New Roman" w:hAnsi="Times New Roman" w:cs="Times New Roman"/>
          <w:sz w:val="24"/>
          <w:szCs w:val="24"/>
          <w:lang w:val="en-US" w:eastAsia="zh-CN"/>
        </w:rPr>
        <w:t>2</w:t>
      </w:r>
      <w:r>
        <w:rPr>
          <w:rFonts w:ascii="Times New Roman" w:hAnsi="Times New Roman" w:cs="Times New Roman"/>
          <w:sz w:val="24"/>
          <w:szCs w:val="24"/>
        </w:rPr>
        <w:t>年度未收到行政复议和行政诉讼的情况。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复议后起诉</w:t>
            </w:r>
          </w:p>
        </w:tc>
      </w:tr>
      <w:tr>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宋体" w:cs="Times New Roman"/>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Times New Roman" w:hAnsi="Times New Roman" w:cs="Times New Roman"/>
              </w:rPr>
            </w:pPr>
            <w:r>
              <w:rPr>
                <w:rFonts w:ascii="Times New Roman" w:hAnsi="Times New Roman" w:eastAsia="宋体" w:cs="Times New Roman"/>
                <w:bCs/>
                <w:sz w:val="24"/>
                <w:szCs w:val="24"/>
              </w:rPr>
              <w:t>0</w:t>
            </w:r>
          </w:p>
        </w:tc>
      </w:tr>
    </w:tbl>
    <w:p>
      <w:pPr>
        <w:spacing w:line="24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五、存在的主要问题及改进情况</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年</w:t>
      </w:r>
      <w:r>
        <w:rPr>
          <w:rFonts w:hint="eastAsia" w:ascii="宋体" w:hAnsi="宋体" w:eastAsia="宋体" w:cs="宋体"/>
          <w:b w:val="0"/>
          <w:bCs w:val="0"/>
          <w:sz w:val="24"/>
          <w:szCs w:val="24"/>
          <w:lang w:val="en-US" w:eastAsia="zh-CN"/>
        </w:rPr>
        <w:t>中韩（长春）国际合作示范区</w:t>
      </w:r>
      <w:r>
        <w:rPr>
          <w:rFonts w:hint="eastAsia" w:ascii="宋体" w:hAnsi="宋体" w:eastAsia="宋体" w:cs="宋体"/>
          <w:sz w:val="24"/>
          <w:szCs w:val="24"/>
          <w:lang w:val="en-US" w:eastAsia="zh-CN"/>
        </w:rPr>
        <w:t>长德</w:t>
      </w:r>
      <w:r>
        <w:rPr>
          <w:rFonts w:hint="eastAsia" w:ascii="宋体" w:hAnsi="宋体" w:eastAsia="宋体" w:cs="宋体"/>
          <w:sz w:val="24"/>
          <w:szCs w:val="24"/>
        </w:rPr>
        <w:t>街道政府信息公开工作和实效得以提升,但仍然存在一些不足。一是往道各部门对《中华人民共和国政府信息公开条例》相关文件要求理解不够深刻，对政</w:t>
      </w:r>
      <w:r>
        <w:rPr>
          <w:rFonts w:hint="eastAsia" w:ascii="宋体" w:hAnsi="宋体" w:eastAsia="宋体" w:cs="宋体"/>
          <w:sz w:val="24"/>
          <w:szCs w:val="24"/>
          <w:lang w:eastAsia="zh-CN"/>
        </w:rPr>
        <w:t>府</w:t>
      </w:r>
      <w:bookmarkStart w:id="0" w:name="_GoBack"/>
      <w:bookmarkEnd w:id="0"/>
      <w:r>
        <w:rPr>
          <w:rFonts w:hint="eastAsia" w:ascii="宋体" w:hAnsi="宋体" w:eastAsia="宋体" w:cs="宋体"/>
          <w:sz w:val="24"/>
          <w:szCs w:val="24"/>
        </w:rPr>
        <w:t>信息公开的认识和重视还有待提高:二是信息公开渠道仍有一些单一，宣传力度需要进步加强</w:t>
      </w:r>
      <w:r>
        <w:rPr>
          <w:rFonts w:hint="eastAsia" w:ascii="宋体" w:hAnsi="宋体" w:eastAsia="宋体" w:cs="宋体"/>
          <w:sz w:val="24"/>
          <w:szCs w:val="24"/>
          <w:lang w:eastAsia="zh-CN"/>
        </w:rPr>
        <w:t>。</w:t>
      </w:r>
    </w:p>
    <w:p>
      <w:pPr>
        <w:ind w:firstLine="480" w:firstLineChars="200"/>
        <w:rPr>
          <w:rFonts w:ascii="Times New Roman" w:hAnsi="Times New Roman" w:cs="Times New Roman"/>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街道将继续提高工作人员对政府信息公开的认识,定期组织街道各部门责人进行政务公开业务培训，不断提升工作人员的能力和业务水平;拓宽信息公开渠道，抓好与群众利益密切相关的政策解读工作，提高信息公开的质量，确保政府信息及时主动公开，保障群众知情权</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ascii="Times New Roman" w:hAnsi="Times New Roman" w:cs="Times New Roman"/>
          <w:sz w:val="24"/>
          <w:szCs w:val="24"/>
        </w:rPr>
        <w:t xml:space="preserve">  </w:t>
      </w:r>
    </w:p>
    <w:p>
      <w:pPr>
        <w:ind w:firstLine="241" w:firstLineChars="100"/>
        <w:rPr>
          <w:rFonts w:ascii="Times New Roman" w:hAnsi="Times New Roman" w:cs="Times New Roman"/>
          <w:b/>
          <w:sz w:val="24"/>
          <w:szCs w:val="24"/>
        </w:rPr>
      </w:pPr>
      <w:r>
        <w:rPr>
          <w:rFonts w:ascii="Times New Roman" w:hAnsi="Times New Roman" w:cs="Times New Roman"/>
          <w:b/>
          <w:sz w:val="24"/>
          <w:szCs w:val="24"/>
        </w:rPr>
        <w:t>六、其他需要报告的事项</w:t>
      </w:r>
    </w:p>
    <w:p>
      <w:pPr>
        <w:ind w:firstLine="480" w:firstLineChars="200"/>
        <w:rPr>
          <w:rFonts w:ascii="Times New Roman" w:hAnsi="Times New Roman" w:cs="Times New Roman"/>
          <w:sz w:val="24"/>
          <w:szCs w:val="24"/>
        </w:rPr>
      </w:pPr>
      <w:r>
        <w:rPr>
          <w:rFonts w:ascii="Times New Roman" w:hAnsi="Times New Roman" w:cs="Times New Roman"/>
          <w:sz w:val="24"/>
          <w:szCs w:val="24"/>
        </w:rPr>
        <w:t>无其他需要报告的事项。</w:t>
      </w:r>
    </w:p>
    <w:p>
      <w:pPr>
        <w:tabs>
          <w:tab w:val="left" w:pos="6893"/>
        </w:tabs>
        <w:ind w:firstLine="5760" w:firstLineChars="2400"/>
        <w:rPr>
          <w:rFonts w:hint="eastAsia" w:ascii="Times New Roman" w:hAnsi="Times New Roman" w:cs="Times New Roman" w:eastAsiaTheme="minorEastAsia"/>
          <w:b w:val="0"/>
          <w:bCs w:val="0"/>
          <w:sz w:val="24"/>
          <w:szCs w:val="24"/>
          <w:lang w:eastAsia="zh-CN"/>
        </w:rPr>
      </w:pPr>
      <w:r>
        <w:rPr>
          <w:rFonts w:hint="eastAsia" w:ascii="宋体" w:hAnsi="宋体" w:eastAsia="宋体" w:cs="宋体"/>
          <w:b w:val="0"/>
          <w:bCs w:val="0"/>
          <w:sz w:val="24"/>
          <w:szCs w:val="24"/>
          <w:lang w:val="en-US" w:eastAsia="zh-CN"/>
        </w:rPr>
        <w:t>中韩（长春）国际合作示范区</w:t>
      </w:r>
    </w:p>
    <w:p>
      <w:pPr>
        <w:jc w:val="center"/>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长德街道办事处</w:t>
      </w:r>
    </w:p>
    <w:p>
      <w:pPr>
        <w:jc w:val="right"/>
        <w:rPr>
          <w:rFonts w:ascii="Times New Roman" w:hAnsi="Times New Roman" w:cs="Times New Roman"/>
          <w:sz w:val="24"/>
          <w:szCs w:val="24"/>
        </w:rPr>
      </w:pPr>
    </w:p>
    <w:p>
      <w:pPr>
        <w:jc w:val="right"/>
        <w:rPr>
          <w:rFonts w:ascii="Times New Roman" w:hAnsi="Times New Roman" w:cs="Times New Roman"/>
          <w:sz w:val="24"/>
          <w:szCs w:val="24"/>
        </w:rPr>
      </w:pPr>
      <w:r>
        <w:rPr>
          <w:rFonts w:ascii="Times New Roman" w:hAnsi="Times New Roman" w:cs="Times New Roman"/>
          <w:sz w:val="24"/>
          <w:szCs w:val="24"/>
        </w:rPr>
        <w:t>2022年1月6日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44306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1MGVmZTEwNjg5ZWJkNGNkYTUwZmMzZmVmYTk1OTAifQ=="/>
  </w:docVars>
  <w:rsids>
    <w:rsidRoot w:val="000E2ADD"/>
    <w:rsid w:val="00014661"/>
    <w:rsid w:val="0001768F"/>
    <w:rsid w:val="00031C51"/>
    <w:rsid w:val="00044F9E"/>
    <w:rsid w:val="000453AE"/>
    <w:rsid w:val="00071740"/>
    <w:rsid w:val="000924E0"/>
    <w:rsid w:val="00093052"/>
    <w:rsid w:val="000A5F10"/>
    <w:rsid w:val="000B1979"/>
    <w:rsid w:val="000B73F1"/>
    <w:rsid w:val="000E2ADD"/>
    <w:rsid w:val="000F01D0"/>
    <w:rsid w:val="000F0661"/>
    <w:rsid w:val="00112EF8"/>
    <w:rsid w:val="00115317"/>
    <w:rsid w:val="00132046"/>
    <w:rsid w:val="00140DAC"/>
    <w:rsid w:val="0016139C"/>
    <w:rsid w:val="0017379E"/>
    <w:rsid w:val="001853F6"/>
    <w:rsid w:val="001B6B60"/>
    <w:rsid w:val="001D43D1"/>
    <w:rsid w:val="001E447F"/>
    <w:rsid w:val="001E6A7D"/>
    <w:rsid w:val="001F166B"/>
    <w:rsid w:val="00220FE6"/>
    <w:rsid w:val="00222583"/>
    <w:rsid w:val="0024147C"/>
    <w:rsid w:val="00244F7B"/>
    <w:rsid w:val="002913E8"/>
    <w:rsid w:val="00295BB0"/>
    <w:rsid w:val="002A3583"/>
    <w:rsid w:val="002A3B49"/>
    <w:rsid w:val="002C65DE"/>
    <w:rsid w:val="002C6AAC"/>
    <w:rsid w:val="002C7AEF"/>
    <w:rsid w:val="002D70E0"/>
    <w:rsid w:val="0031406D"/>
    <w:rsid w:val="00314EFA"/>
    <w:rsid w:val="00325F16"/>
    <w:rsid w:val="00336B96"/>
    <w:rsid w:val="0034624E"/>
    <w:rsid w:val="0037346B"/>
    <w:rsid w:val="00374855"/>
    <w:rsid w:val="00374DB0"/>
    <w:rsid w:val="003754A3"/>
    <w:rsid w:val="00394AA1"/>
    <w:rsid w:val="003A2C4A"/>
    <w:rsid w:val="003A7968"/>
    <w:rsid w:val="003C3844"/>
    <w:rsid w:val="003D1785"/>
    <w:rsid w:val="003D3BEF"/>
    <w:rsid w:val="003E3120"/>
    <w:rsid w:val="003E47A4"/>
    <w:rsid w:val="003E76D2"/>
    <w:rsid w:val="003F4407"/>
    <w:rsid w:val="004162B2"/>
    <w:rsid w:val="00431FC7"/>
    <w:rsid w:val="004346DF"/>
    <w:rsid w:val="004A726A"/>
    <w:rsid w:val="004B79E9"/>
    <w:rsid w:val="004C7013"/>
    <w:rsid w:val="004D3CBF"/>
    <w:rsid w:val="004F6FEB"/>
    <w:rsid w:val="00516A3A"/>
    <w:rsid w:val="0052464A"/>
    <w:rsid w:val="00533E45"/>
    <w:rsid w:val="00534175"/>
    <w:rsid w:val="00570D43"/>
    <w:rsid w:val="00576E4C"/>
    <w:rsid w:val="00586876"/>
    <w:rsid w:val="00590721"/>
    <w:rsid w:val="005A1D90"/>
    <w:rsid w:val="005A2610"/>
    <w:rsid w:val="005B5B5D"/>
    <w:rsid w:val="005C303A"/>
    <w:rsid w:val="005E6B68"/>
    <w:rsid w:val="005F7BE6"/>
    <w:rsid w:val="00611558"/>
    <w:rsid w:val="00621782"/>
    <w:rsid w:val="00632AE9"/>
    <w:rsid w:val="00637095"/>
    <w:rsid w:val="006436FC"/>
    <w:rsid w:val="006558AC"/>
    <w:rsid w:val="0066266B"/>
    <w:rsid w:val="00680B36"/>
    <w:rsid w:val="006820DB"/>
    <w:rsid w:val="00684E49"/>
    <w:rsid w:val="006B469B"/>
    <w:rsid w:val="006C0409"/>
    <w:rsid w:val="006C0E75"/>
    <w:rsid w:val="006C385F"/>
    <w:rsid w:val="006D0B69"/>
    <w:rsid w:val="006D60D7"/>
    <w:rsid w:val="006E119A"/>
    <w:rsid w:val="007017D5"/>
    <w:rsid w:val="00702B7A"/>
    <w:rsid w:val="007159E2"/>
    <w:rsid w:val="00717E3E"/>
    <w:rsid w:val="0072474B"/>
    <w:rsid w:val="00725DD3"/>
    <w:rsid w:val="00733C22"/>
    <w:rsid w:val="007755A8"/>
    <w:rsid w:val="007833C3"/>
    <w:rsid w:val="007845BF"/>
    <w:rsid w:val="007B2A36"/>
    <w:rsid w:val="007B37C1"/>
    <w:rsid w:val="007D15D5"/>
    <w:rsid w:val="007D35F0"/>
    <w:rsid w:val="007E2A34"/>
    <w:rsid w:val="007E6569"/>
    <w:rsid w:val="007F07B8"/>
    <w:rsid w:val="00823B7F"/>
    <w:rsid w:val="00826FC5"/>
    <w:rsid w:val="00833BDA"/>
    <w:rsid w:val="00837F36"/>
    <w:rsid w:val="0084175F"/>
    <w:rsid w:val="00850FC5"/>
    <w:rsid w:val="00853F11"/>
    <w:rsid w:val="008541AE"/>
    <w:rsid w:val="00861427"/>
    <w:rsid w:val="008776AD"/>
    <w:rsid w:val="008B6CEF"/>
    <w:rsid w:val="008C5283"/>
    <w:rsid w:val="008D0945"/>
    <w:rsid w:val="00902B74"/>
    <w:rsid w:val="009263DB"/>
    <w:rsid w:val="009360C0"/>
    <w:rsid w:val="009406EE"/>
    <w:rsid w:val="009414C4"/>
    <w:rsid w:val="00942FDE"/>
    <w:rsid w:val="0095190E"/>
    <w:rsid w:val="009A51C6"/>
    <w:rsid w:val="009E64D7"/>
    <w:rsid w:val="009F624D"/>
    <w:rsid w:val="00A04607"/>
    <w:rsid w:val="00A22690"/>
    <w:rsid w:val="00A36AB3"/>
    <w:rsid w:val="00A45FC0"/>
    <w:rsid w:val="00A6787E"/>
    <w:rsid w:val="00A71027"/>
    <w:rsid w:val="00A728F0"/>
    <w:rsid w:val="00A9175A"/>
    <w:rsid w:val="00A95FB6"/>
    <w:rsid w:val="00AA06A0"/>
    <w:rsid w:val="00AA2510"/>
    <w:rsid w:val="00AC0017"/>
    <w:rsid w:val="00AC3DA6"/>
    <w:rsid w:val="00AC7C79"/>
    <w:rsid w:val="00B034C1"/>
    <w:rsid w:val="00B13AC4"/>
    <w:rsid w:val="00B14288"/>
    <w:rsid w:val="00B218B6"/>
    <w:rsid w:val="00B2201E"/>
    <w:rsid w:val="00B3477A"/>
    <w:rsid w:val="00B444E5"/>
    <w:rsid w:val="00B448FD"/>
    <w:rsid w:val="00B72358"/>
    <w:rsid w:val="00B733E4"/>
    <w:rsid w:val="00B75AF0"/>
    <w:rsid w:val="00B85AF2"/>
    <w:rsid w:val="00B934E2"/>
    <w:rsid w:val="00BA3651"/>
    <w:rsid w:val="00BA49C5"/>
    <w:rsid w:val="00BB766F"/>
    <w:rsid w:val="00BC1D01"/>
    <w:rsid w:val="00BC4F99"/>
    <w:rsid w:val="00BE279B"/>
    <w:rsid w:val="00BE78C7"/>
    <w:rsid w:val="00C05550"/>
    <w:rsid w:val="00C060C1"/>
    <w:rsid w:val="00C41EC4"/>
    <w:rsid w:val="00C47785"/>
    <w:rsid w:val="00C51060"/>
    <w:rsid w:val="00C56318"/>
    <w:rsid w:val="00C72C0C"/>
    <w:rsid w:val="00C912AF"/>
    <w:rsid w:val="00CB2C9D"/>
    <w:rsid w:val="00CD22EE"/>
    <w:rsid w:val="00CD4733"/>
    <w:rsid w:val="00D022EE"/>
    <w:rsid w:val="00D03B3E"/>
    <w:rsid w:val="00D21478"/>
    <w:rsid w:val="00D3020C"/>
    <w:rsid w:val="00D40588"/>
    <w:rsid w:val="00D6107C"/>
    <w:rsid w:val="00D80266"/>
    <w:rsid w:val="00D8559C"/>
    <w:rsid w:val="00D862B3"/>
    <w:rsid w:val="00D971E8"/>
    <w:rsid w:val="00DD7552"/>
    <w:rsid w:val="00DE67E0"/>
    <w:rsid w:val="00E16D25"/>
    <w:rsid w:val="00E24566"/>
    <w:rsid w:val="00E33775"/>
    <w:rsid w:val="00E46133"/>
    <w:rsid w:val="00E56085"/>
    <w:rsid w:val="00E803D6"/>
    <w:rsid w:val="00E86209"/>
    <w:rsid w:val="00EB5FD9"/>
    <w:rsid w:val="00EC7AA8"/>
    <w:rsid w:val="00ED43FA"/>
    <w:rsid w:val="00F03E2C"/>
    <w:rsid w:val="00F131D3"/>
    <w:rsid w:val="00F179D4"/>
    <w:rsid w:val="00F32BF9"/>
    <w:rsid w:val="00F46CC2"/>
    <w:rsid w:val="00F54194"/>
    <w:rsid w:val="00F56532"/>
    <w:rsid w:val="00F611E5"/>
    <w:rsid w:val="00FA3B4B"/>
    <w:rsid w:val="00FB7AD1"/>
    <w:rsid w:val="00FE267F"/>
    <w:rsid w:val="00FF24C5"/>
    <w:rsid w:val="021B71A8"/>
    <w:rsid w:val="0351152F"/>
    <w:rsid w:val="04F25C61"/>
    <w:rsid w:val="07316E98"/>
    <w:rsid w:val="0733430F"/>
    <w:rsid w:val="0D8C2782"/>
    <w:rsid w:val="0DDC74AE"/>
    <w:rsid w:val="11494E5B"/>
    <w:rsid w:val="1367781A"/>
    <w:rsid w:val="157B57FF"/>
    <w:rsid w:val="158F3058"/>
    <w:rsid w:val="1BC87AD5"/>
    <w:rsid w:val="1BE91714"/>
    <w:rsid w:val="1DCF0496"/>
    <w:rsid w:val="22534CC0"/>
    <w:rsid w:val="233C481F"/>
    <w:rsid w:val="24457704"/>
    <w:rsid w:val="251075C4"/>
    <w:rsid w:val="25DF76E4"/>
    <w:rsid w:val="26E36D60"/>
    <w:rsid w:val="28754330"/>
    <w:rsid w:val="2A36189D"/>
    <w:rsid w:val="2E6A399B"/>
    <w:rsid w:val="2EBC1F0B"/>
    <w:rsid w:val="2FD40719"/>
    <w:rsid w:val="2FFD5337"/>
    <w:rsid w:val="3220530C"/>
    <w:rsid w:val="33FC5905"/>
    <w:rsid w:val="34735BC7"/>
    <w:rsid w:val="37C329C2"/>
    <w:rsid w:val="38A327F3"/>
    <w:rsid w:val="392751D2"/>
    <w:rsid w:val="3AA765CB"/>
    <w:rsid w:val="3BE86E9B"/>
    <w:rsid w:val="3D69400B"/>
    <w:rsid w:val="40C94476"/>
    <w:rsid w:val="430F69C3"/>
    <w:rsid w:val="44246EDE"/>
    <w:rsid w:val="45E36925"/>
    <w:rsid w:val="47121270"/>
    <w:rsid w:val="47990858"/>
    <w:rsid w:val="4D2E492A"/>
    <w:rsid w:val="4D5B4FF3"/>
    <w:rsid w:val="50642CF4"/>
    <w:rsid w:val="52BC4173"/>
    <w:rsid w:val="55540CA5"/>
    <w:rsid w:val="556C4241"/>
    <w:rsid w:val="56410BF9"/>
    <w:rsid w:val="56813D1C"/>
    <w:rsid w:val="57BB14B0"/>
    <w:rsid w:val="58015F9F"/>
    <w:rsid w:val="58093C26"/>
    <w:rsid w:val="58DE5456"/>
    <w:rsid w:val="59484FC5"/>
    <w:rsid w:val="59EC2703"/>
    <w:rsid w:val="5A012ABE"/>
    <w:rsid w:val="5BCA152B"/>
    <w:rsid w:val="5C1C756A"/>
    <w:rsid w:val="5DAF5956"/>
    <w:rsid w:val="603F238A"/>
    <w:rsid w:val="60BD47F0"/>
    <w:rsid w:val="60CD26B8"/>
    <w:rsid w:val="61A3723C"/>
    <w:rsid w:val="625D0D2D"/>
    <w:rsid w:val="64E060B2"/>
    <w:rsid w:val="660C6655"/>
    <w:rsid w:val="66521231"/>
    <w:rsid w:val="670A38BA"/>
    <w:rsid w:val="6808604B"/>
    <w:rsid w:val="68307350"/>
    <w:rsid w:val="695F3768"/>
    <w:rsid w:val="69907989"/>
    <w:rsid w:val="69A21EAB"/>
    <w:rsid w:val="6B5D66AE"/>
    <w:rsid w:val="6B6123E1"/>
    <w:rsid w:val="6BAE34B9"/>
    <w:rsid w:val="6CF50B68"/>
    <w:rsid w:val="6E423939"/>
    <w:rsid w:val="6E525592"/>
    <w:rsid w:val="70BB79D3"/>
    <w:rsid w:val="70DD1C33"/>
    <w:rsid w:val="72630B8B"/>
    <w:rsid w:val="73AB00AE"/>
    <w:rsid w:val="74B82BA7"/>
    <w:rsid w:val="74E62C70"/>
    <w:rsid w:val="74F33BDF"/>
    <w:rsid w:val="75610B49"/>
    <w:rsid w:val="75A650F5"/>
    <w:rsid w:val="77B21B30"/>
    <w:rsid w:val="792A21B1"/>
    <w:rsid w:val="7B1869B7"/>
    <w:rsid w:val="7FFFD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3412</Words>
  <Characters>3512</Characters>
  <Lines>27</Lines>
  <Paragraphs>7</Paragraphs>
  <TotalTime>3</TotalTime>
  <ScaleCrop>false</ScaleCrop>
  <LinksUpToDate>false</LinksUpToDate>
  <CharactersWithSpaces>3572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2022-01-14T10:22:00Z</dcterms:created>
  <dc:creator>lenovo</dc:creator>
  <cp:lastModifiedBy>Administrator</cp:lastModifiedBy>
  <cp:lastPrinted>2020-12-15T14:21:00Z</cp:lastPrinted>
  <dcterms:modified xsi:type="dcterms:W3CDTF">2024-04-19T07:58:34Z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34E9C477EB8F4983A7E0A6EA5D481B26</vt:lpwstr>
  </property>
</Properties>
</file>