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中韩（长春）国际合作示范区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国有资产监督管理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办公室（金融工作办公室）2022年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公开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中韩（长春）国际合作示范区国有资产监督管理办公室（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金融工作办公室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2022年度政府信息公开工作年度报告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本报告由总体情况、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机构设置情况、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主动公开政府信息情况、收到和处理政府信息公开申请情况、政府信息公开行政复议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和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行政诉讼情况、存在的主要问题及改进情况、其他需要报告的事项共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七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个部分组成。如对本报告有任何疑问，请与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中韩（长春）国际合作示范区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国资办（金融办）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联系。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（地址：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长春市金汇大路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1577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1207室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；邮编：130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000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2022年，我办认真贯彻落实《中华人民共和国政府信息公开条例》和国家、省、市关于政府信息公开有关文件精神，及时做好示范区工作部署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（一）组织推动我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办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政府信息主动公开工作。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加强组织领导，我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办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领导高度重视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政府信息公开工作，落实相关责任，指定专人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落实信息公开的具体工作，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不断健全和完善政府信息公开的各项制度，及时发布政务工作情况。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（二）积极推动政府信息主动公开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坚持公开为常态、不公开为例外的原则，充分利用“长春市公共资源交易网”平台网站，不断拓展主动公开的渠道和方式，积极推动相关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政府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信息向公众主动公示。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（三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）认真规范处理依申请公开。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年，收到依申请公开0件、同意公开0件，行政许可处理决定0个，行政处罚处理决定0个。未发生因政府信息公开申请行政复议、提起行政诉讼的情况。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（四）不断强化政府信息公开平台内容保障。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机关认真做好信息工作部署，建立健全国资系统信息动态联络机制，加强检查督促和指导，落实信息工作责任制。建立健全政府信息审查发布机制，对拟在门户网站公开的政府信息进行内容审核和保密审查，确保公开信息依法、及时、全面、准确和合理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五）全力做好宣传培训评估考核等基础工作。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积极参加政府信息公开工作的业务培训，组织我办各业务科室党员干部学习《中华人民共和国政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府信息公开条例》，对政府公开内容进行解读，深刻领会政务信息公开工作的重大意义。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中韩（长春）国际合作示范区国有资产监督管理办公室（金融办公室）内设5个科室：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综合管理和政策法规科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负责综合协调机关日常工作；负责内部政务运行和各项管理制度的起草、实施工作；负责文件收发、文书档案整理、保密等工作；负责印章管理；负责内部文字综合工作；负责重要会议的组织和会务工作；负责内部公共事务、财务和行政后勤管理工作；承办政府交办的信访事项，承担本系统的维护稳定工作；负责内部和所监管企业的党务相关工作；联系所监管企业工会、共青团和妇联工作；指导和推进思想政治工作和企业文化建设；协助有关部门督促、检查所监管企业安全生产工作；负责对外宣传和新闻工作。负责有关政策、法规的综合调研工作；研究起草有关政策、法规和规范性文件；负责委有关行政复议工作；负责出资企业公司章程的审批或审核及备案工作；负责指导出资企业法制建设工作；承担机关内部法律事务。按照出资人职责，负责出资企业营业执照注册、变更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规划发展和资本运营科：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提出国有经济布局和战略性调整的政策建议；审核所监管企业的发展战略和规划；指导出资企业布局和结构调整；对出资企业重大投资决策履行出资人职责，必要时对投资决策进行评估；负责全区国有企业政策性破产的综合组织协调工作；组织指导和统筹协调出资企业资本运营工作，会同有关部门组织实施国有资本的优化、调整和退出工作；审定、编报所监管国有企业兼并破产计划并组织实施；研究所监管企业股份制改造、上市、合资等重组方案，对其中需要国有股东决定的事项提出意见；研究提出发展大企业大集团的政策、措施；负责组织指导所监管企业的招商引资工作；负责所监管企业对外投资风险管理工作。贯彻落实国有企业改革的方针、政策；负责对所监管企业改革的组织协调和相关审批工作；协调解决企业改革中的重大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财务监管和收益管理科：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贯彻落实国有企业预算工作的方针、政策和法律、法规；负责组织所监管企业开展预算管理；负责编制国有资本经营收支预算，组织出资企业国有资本收益的收缴及管理，并负责对资本收益使用情况进行监督；承担所监管企业国有资产的统计分析和财务决算工作；承担所监管企业清产核资和资产损失核销工作；建立和完善所监管企业财务审计监督工作制度并开展审计质量监控；研究提出完善国有产权管理办法和管理制度的建议，负责所监管企业国有资产产权界定、登记、划转、处置及产权纠纷调处等工作；负责所监管企业资产评估项目的核准和备案；审核所监管企业财产抵押担保、国有资本金变动、股权转让及发债方案，监督、规范国有产权交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考核分配和人事管理科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完善所监管企业领导人员经营业绩考核制度，对所监管企业领导人员进行年度和任期考核；建立健全所监管企业绩效评价指标体系，综合考核所监管企业的经营业绩；拟订所监管企业领导人员的薪酬制度和激励方式并组织实施；指导企业收入分配制度改革，对所监管企业工资分配总体水平进行调控；规范所监管企业领导人员职务消费和职工福利保障。负责所监管企业领导人员的考察工作并提出任免建议；考察推荐董事、监事及独立董事人选；负责所监管企业领导人员培训和出国审核工作；负责所监管企业领导班子建设和后备人才培养工作；组织开展所监管企业领导人员离任和任期经济责任审计工作；负责委机关和所属单位的干部人事管理和培训工作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金融管理科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负责与各级金融监管部门、各类金融机构的沟通协调、信息交流和有关服务工作；负责落实国家、省、市关于各类金融机构业务发展的政策措施和监督管理办法；负责优化金融生态环境，指导、推动全区金融、要素市场体系建设，组织推进多层次资本市场发展建设工作；指导和推动全区企业上市工作；负责协调推进区政府与金融机构战略合作及区内重点项目、小微企业、“三农”发展的融资工作。牵头负责全区融资担保机构、小额贷款公司、拍卖公司、典当行、融资租赁公司、商业保理公司的准入和公司内部治理、风险管理、偿付能力、经营行为和信息披露等监督管理工作；会同有关部门强化对辖区内投资公司、开展信用互助的农民专业合作社、社会众筹机构、地方各类交易场所等的监管工作；拟订地方金融风险防范有关政策，防范、打击、处置非法金融机构和非法集资活动；负责维护金融市场稳定工作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left="630" w:leftChars="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left="630" w:leftChars="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，我办政务公开工作稳定发展，但也存在一些问题，主要是在政务公开的全面性、有效性和特色性方面，我办仍存在不足，部分信息公开不够及时，政府信息公开目录还需进一步细化和完善，公开形式的便民性需要进一步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下一步，我办将进一步加强对政务公开工作的组织领导，认真制定切实可行的措施，以求真务实的作风将政务公开工作落实到位，重点抓好以下工作：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一是要扎扎实实加强宣传教育，提高我办全体干部职工对做好政务公开工作的认识，营造良好的工作氛围。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二是要切实强化政务公开工作制度建设，采取有效措施，不断规范工作程序，创新工作方式，使政务公开工作在制度化、规范化方面取得新突破。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三是要进一步加强对政务公开工作的领导和监督，层层落实责任，确保把政务公开工作落到实处。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是要继续健全和完善信息公开各项制度，规范和完善政务公开的内容和形式，对涉及公众关心的重大问题、重大决策及时公开，同时有区别地抓好对内与对外公开，提高公开针对性、实效性，做到计划缜密、制度规范、措施得力、落实到位，有效促进示范区国资各项工作的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2022年度国资办（金融办）通过长春市公共资源交易网公开国有产权交易信息14条。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5EA84631"/>
    <w:rsid w:val="00481700"/>
    <w:rsid w:val="08BC558D"/>
    <w:rsid w:val="0BE00068"/>
    <w:rsid w:val="1AA11864"/>
    <w:rsid w:val="245D159D"/>
    <w:rsid w:val="2F1F7014"/>
    <w:rsid w:val="30095814"/>
    <w:rsid w:val="36012106"/>
    <w:rsid w:val="4E4B5D61"/>
    <w:rsid w:val="5145680A"/>
    <w:rsid w:val="522609F2"/>
    <w:rsid w:val="56D007FF"/>
    <w:rsid w:val="5EA84631"/>
    <w:rsid w:val="5F571ABE"/>
    <w:rsid w:val="605107D3"/>
    <w:rsid w:val="64BF3F4D"/>
    <w:rsid w:val="687C460C"/>
    <w:rsid w:val="6D3E152F"/>
    <w:rsid w:val="739F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3"/>
    <w:qFormat/>
    <w:uiPriority w:val="0"/>
    <w:pPr>
      <w:ind w:left="200" w:leftChars="200"/>
      <w:jc w:val="both"/>
      <w:textAlignment w:val="baseline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customStyle="1" w:styleId="3">
    <w:name w:val="UserStyle_1"/>
    <w:qFormat/>
    <w:uiPriority w:val="0"/>
    <w:pPr>
      <w:ind w:firstLine="200" w:firstLineChars="200"/>
      <w:jc w:val="both"/>
      <w:textAlignment w:val="baseline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3962</Words>
  <Characters>4023</Characters>
  <Lines>0</Lines>
  <Paragraphs>0</Paragraphs>
  <TotalTime>26</TotalTime>
  <ScaleCrop>false</ScaleCrop>
  <LinksUpToDate>false</LinksUpToDate>
  <CharactersWithSpaces>4025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2022-01-14T00:47:00Z</dcterms:created>
  <dc:creator>CHJ</dc:creator>
  <cp:lastModifiedBy>陈怀鹏</cp:lastModifiedBy>
  <cp:lastPrinted>2023-01-10T02:27:18Z</cp:lastPrinted>
  <dcterms:modified xsi:type="dcterms:W3CDTF">2023-01-10T07:18:20Z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D97AB64C594D4693950E764FCA94D5C1</vt:lpwstr>
  </property>
</Properties>
</file>