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中韩（长春）国际合作示范区规划和自然资源管理</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服务中心2021年度政府信息公开工作年度报告</w:t>
      </w:r>
    </w:p>
    <w:p>
      <w:pPr>
        <w:jc w:val="center"/>
        <w:rPr>
          <w:rFonts w:hint="default" w:ascii="宋体" w:hAnsi="宋体" w:eastAsia="宋体" w:cs="宋体"/>
          <w:b/>
          <w:bCs/>
          <w:sz w:val="36"/>
          <w:szCs w:val="36"/>
          <w:lang w:val="en-US" w:eastAsia="zh-CN"/>
        </w:rPr>
      </w:pPr>
    </w:p>
    <w:p>
      <w:pPr>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根据《中华人民共和国政府信息公开条例》现</w:t>
      </w:r>
      <w:r>
        <w:rPr>
          <w:rFonts w:hint="eastAsia" w:ascii="宋体" w:hAnsi="宋体" w:eastAsia="宋体" w:cs="宋体"/>
          <w:sz w:val="24"/>
          <w:szCs w:val="24"/>
          <w:lang w:val="en-US" w:eastAsia="zh-CN"/>
        </w:rPr>
        <w:t>公布中韩（长春）国际合作示范区规划和自然资源管理服务中心政府信息公开情况</w:t>
      </w:r>
      <w:r>
        <w:rPr>
          <w:rFonts w:hint="eastAsia" w:ascii="宋体" w:hAnsi="宋体" w:eastAsia="宋体" w:cs="宋体"/>
          <w:sz w:val="24"/>
          <w:szCs w:val="24"/>
        </w:rPr>
        <w:t>。报告全文由总体情况，主动公开政府信息情况，收到和</w:t>
      </w:r>
      <w:r>
        <w:rPr>
          <w:rFonts w:hint="eastAsia" w:ascii="宋体" w:hAnsi="宋体" w:eastAsia="宋体" w:cs="宋体"/>
          <w:color w:val="auto"/>
          <w:sz w:val="24"/>
          <w:szCs w:val="24"/>
        </w:rPr>
        <w:t>处理政府信息公开申请情况，政府信息公开行政复议、行政诉讼情况，存在的主要问题及改进情况，其他需要报告的事项等六个部分组成，统计数据时间为</w:t>
      </w:r>
      <w:r>
        <w:rPr>
          <w:rFonts w:hint="eastAsia" w:ascii="宋体" w:hAnsi="宋体" w:eastAsia="宋体" w:cs="宋体"/>
          <w:color w:val="auto"/>
          <w:sz w:val="24"/>
          <w:szCs w:val="24"/>
          <w:lang w:val="en-US"/>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rPr>
        <w:t>31</w:t>
      </w:r>
      <w:r>
        <w:rPr>
          <w:rFonts w:hint="eastAsia" w:ascii="宋体" w:hAnsi="宋体" w:eastAsia="宋体" w:cs="宋体"/>
          <w:color w:val="auto"/>
          <w:sz w:val="24"/>
          <w:szCs w:val="24"/>
        </w:rPr>
        <w:t>日。如对本报告有疑问，可与</w:t>
      </w:r>
      <w:r>
        <w:rPr>
          <w:rFonts w:hint="eastAsia" w:ascii="宋体" w:hAnsi="宋体" w:eastAsia="宋体" w:cs="宋体"/>
          <w:color w:val="auto"/>
          <w:sz w:val="24"/>
          <w:szCs w:val="24"/>
          <w:lang w:val="en-US" w:eastAsia="zh-CN"/>
        </w:rPr>
        <w:t>中韩（长春）国际合作示范区规划和自然资源管理服务中心</w:t>
      </w:r>
      <w:r>
        <w:rPr>
          <w:rFonts w:hint="eastAsia" w:ascii="宋体" w:hAnsi="宋体" w:eastAsia="宋体" w:cs="宋体"/>
          <w:color w:val="auto"/>
          <w:sz w:val="24"/>
          <w:szCs w:val="24"/>
        </w:rPr>
        <w:t>办公室联系，联系地址：长春市</w:t>
      </w:r>
      <w:r>
        <w:rPr>
          <w:rFonts w:hint="eastAsia" w:ascii="宋体" w:hAnsi="宋体" w:eastAsia="宋体" w:cs="宋体"/>
          <w:color w:val="auto"/>
          <w:sz w:val="24"/>
          <w:szCs w:val="24"/>
          <w:lang w:val="en-US" w:eastAsia="zh-CN"/>
        </w:rPr>
        <w:t>宽城区金汇大路1577号中韩大厦1819</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rPr>
        <w:t>0431-</w:t>
      </w:r>
      <w:r>
        <w:rPr>
          <w:rFonts w:hint="eastAsia" w:ascii="宋体" w:hAnsi="宋体" w:eastAsia="宋体" w:cs="宋体"/>
          <w:color w:val="auto"/>
          <w:sz w:val="24"/>
          <w:szCs w:val="24"/>
          <w:lang w:val="en-US" w:eastAsia="zh-CN"/>
        </w:rPr>
        <w:t>81188238。</w:t>
      </w:r>
    </w:p>
    <w:p>
      <w:pPr>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一、总体情况</w:t>
      </w:r>
    </w:p>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2021年中韩示范区规自中心为</w:t>
      </w:r>
      <w:r>
        <w:rPr>
          <w:rFonts w:hint="default" w:ascii="宋体" w:hAnsi="宋体" w:eastAsia="宋体" w:cs="宋体"/>
          <w:color w:val="auto"/>
          <w:sz w:val="24"/>
          <w:szCs w:val="24"/>
        </w:rPr>
        <w:t>保障公民、法人和其他组织依法获取政府信息，提高政府工作的透明度，建设法治政府，充分发挥政府信息对人民群众生产、生活和经济社会活动的服务作用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积极保障</w:t>
      </w:r>
      <w:r>
        <w:rPr>
          <w:rFonts w:hint="default" w:ascii="宋体" w:hAnsi="宋体" w:eastAsia="宋体" w:cs="宋体"/>
          <w:color w:val="auto"/>
          <w:sz w:val="24"/>
          <w:szCs w:val="24"/>
        </w:rPr>
        <w:t>城市治理体系和治理能力现代化。</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Theme="minorEastAsia" w:hAnsiTheme="minorEastAsia" w:eastAsiaTheme="minorEastAsia" w:cstheme="minorEastAsia"/>
          <w:color w:val="auto"/>
          <w:kern w:val="2"/>
          <w:sz w:val="21"/>
          <w:szCs w:val="22"/>
          <w:lang w:val="en-US" w:eastAsia="zh-CN" w:bidi="ar-SA"/>
        </w:rPr>
      </w:pPr>
      <w:r>
        <w:rPr>
          <w:rFonts w:hint="eastAsia" w:ascii="楷体" w:hAnsi="楷体" w:eastAsia="楷体" w:cs="楷体"/>
          <w:color w:val="auto"/>
          <w:kern w:val="2"/>
          <w:sz w:val="24"/>
          <w:szCs w:val="24"/>
          <w:lang w:val="en-US" w:eastAsia="zh-CN" w:bidi="ar-SA"/>
        </w:rPr>
        <w:t>（一）组织推动全中心政府信息公开工作。</w:t>
      </w:r>
      <w:r>
        <w:rPr>
          <w:rFonts w:hint="eastAsia" w:ascii="宋体" w:hAnsi="宋体" w:eastAsia="宋体" w:cs="宋体"/>
          <w:color w:val="auto"/>
          <w:kern w:val="2"/>
          <w:sz w:val="24"/>
          <w:szCs w:val="24"/>
          <w:lang w:val="en-US" w:eastAsia="zh-CN" w:bidi="ar-SA"/>
        </w:rPr>
        <w:t>规自中心加强工作人员对</w:t>
      </w:r>
      <w:r>
        <w:rPr>
          <w:rFonts w:hint="default" w:ascii="宋体" w:hAnsi="宋体" w:eastAsia="宋体" w:cs="宋体"/>
          <w:color w:val="auto"/>
          <w:kern w:val="2"/>
          <w:sz w:val="24"/>
          <w:szCs w:val="24"/>
          <w:lang w:val="en-US" w:eastAsia="zh-CN" w:bidi="ar-SA"/>
        </w:rPr>
        <w:t>政府信息公开标准化、规范化建设</w:t>
      </w:r>
      <w:r>
        <w:rPr>
          <w:rFonts w:hint="eastAsia" w:ascii="宋体" w:hAnsi="宋体" w:eastAsia="宋体" w:cs="宋体"/>
          <w:color w:val="auto"/>
          <w:kern w:val="2"/>
          <w:sz w:val="24"/>
          <w:szCs w:val="24"/>
          <w:lang w:val="en-US" w:eastAsia="zh-CN" w:bidi="ar-SA"/>
        </w:rPr>
        <w:t>，及时对外发布公开信息，</w:t>
      </w:r>
      <w:r>
        <w:rPr>
          <w:rFonts w:hint="default" w:ascii="宋体" w:hAnsi="宋体" w:eastAsia="宋体" w:cs="宋体"/>
          <w:color w:val="auto"/>
          <w:kern w:val="2"/>
          <w:sz w:val="24"/>
          <w:szCs w:val="24"/>
          <w:lang w:val="en-US" w:eastAsia="zh-CN" w:bidi="ar-SA"/>
        </w:rPr>
        <w:t>推动简政放权、放管结合、优化服务</w:t>
      </w:r>
      <w:r>
        <w:rPr>
          <w:rFonts w:hint="eastAsia" w:ascii="宋体" w:hAnsi="宋体" w:eastAsia="宋体" w:cs="宋体"/>
          <w:color w:val="auto"/>
          <w:kern w:val="2"/>
          <w:sz w:val="24"/>
          <w:szCs w:val="24"/>
          <w:lang w:val="en-US" w:eastAsia="zh-CN" w:bidi="ar-SA"/>
        </w:rPr>
        <w:t>改革。坚持以“公开为常态、不公开为例外”的原则，全面推进重点领域信息公开。</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（二）积极推动政府信息主动公开</w:t>
      </w:r>
      <w:r>
        <w:rPr>
          <w:rFonts w:hint="eastAsia" w:ascii="宋体" w:hAnsi="宋体" w:eastAsia="宋体" w:cs="宋体"/>
          <w:color w:val="auto"/>
          <w:kern w:val="2"/>
          <w:sz w:val="24"/>
          <w:szCs w:val="24"/>
          <w:lang w:val="en-US" w:eastAsia="zh-CN" w:bidi="ar-SA"/>
        </w:rPr>
        <w:t>。加强主动促公开，围绕自然资源领域的重大建设项目批准与实施、公共资源配置领域政府信息公开等，主动作为，推动工作落实，明确公开内容、责任主体、公开渠道。围绕全省“一主六双”高质量发展战略，立足长春“六城联动”，加快我区区域规划编制、自然资源保护、党务建设、推动产业转型升级开展宣传解读。全年累计公开国有土地使用权挂牌出让公告信息23条，土地供应结果信息14条，城乡规划领域，公开规划编制批前公示信息2条，许可前公示、规划调整公示等行政审批前公示信息26条，利用信用中国（吉林）门户网站、微信公众号各类媒体发布信息28条。</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auto"/>
          <w:sz w:val="28"/>
          <w:szCs w:val="28"/>
        </w:rPr>
      </w:pPr>
      <w:r>
        <w:rPr>
          <w:rFonts w:hint="eastAsia" w:ascii="楷体" w:hAnsi="楷体" w:eastAsia="楷体" w:cs="楷体"/>
          <w:color w:val="auto"/>
          <w:kern w:val="2"/>
          <w:sz w:val="24"/>
          <w:szCs w:val="24"/>
          <w:lang w:val="en-US" w:eastAsia="zh-CN" w:bidi="ar-SA"/>
        </w:rPr>
        <w:t>（三）认真规范处理依申请公开。</w:t>
      </w:r>
      <w:r>
        <w:rPr>
          <w:rFonts w:hint="eastAsia" w:ascii="宋体" w:hAnsi="宋体" w:eastAsia="宋体" w:cs="宋体"/>
          <w:color w:val="auto"/>
          <w:kern w:val="2"/>
          <w:sz w:val="24"/>
          <w:szCs w:val="24"/>
          <w:lang w:val="en-US" w:eastAsia="zh-CN" w:bidi="ar-SA"/>
        </w:rPr>
        <w:t>根据《中华人民共和国政府信息公开条例》（国务院令第711号），规范行政机关依申请公开办理行为，建设法治政府和服务型政府，保障社会公众知情权，更好地发挥政府信息公开在推进治理能力现代化中的作用，严格执行省政府信息公开申请办理答复规范，切实保障公民、法人和其他组织依法获取政府信息。</w:t>
      </w:r>
    </w:p>
    <w:p>
      <w:pPr>
        <w:ind w:firstLine="480" w:firstLineChars="200"/>
        <w:rPr>
          <w:rFonts w:hint="default" w:ascii="宋体" w:hAnsi="宋体" w:eastAsia="宋体" w:cs="宋体"/>
          <w:color w:val="auto"/>
          <w:kern w:val="2"/>
          <w:sz w:val="24"/>
          <w:szCs w:val="24"/>
          <w:lang w:val="en-US" w:eastAsia="zh-CN" w:bidi="ar-SA"/>
        </w:rPr>
      </w:pPr>
      <w:r>
        <w:rPr>
          <w:rFonts w:hint="eastAsia" w:ascii="楷体" w:hAnsi="楷体" w:eastAsia="楷体" w:cs="楷体"/>
          <w:color w:val="auto"/>
          <w:sz w:val="24"/>
          <w:szCs w:val="24"/>
        </w:rPr>
        <w:t>（四）不断强化政府信息公开平台内容保障。</w:t>
      </w:r>
      <w:r>
        <w:rPr>
          <w:rFonts w:hint="eastAsia" w:ascii="宋体" w:hAnsi="宋体" w:eastAsia="宋体" w:cs="宋体"/>
          <w:color w:val="auto"/>
          <w:kern w:val="2"/>
          <w:sz w:val="24"/>
          <w:szCs w:val="24"/>
          <w:lang w:val="en-US" w:eastAsia="zh-CN" w:bidi="ar-SA"/>
        </w:rPr>
        <w:t>强化政府信息公开平台使用，定期梳理主动公开信息，确保重点项目</w:t>
      </w:r>
      <w:r>
        <w:rPr>
          <w:rFonts w:hint="default" w:ascii="宋体" w:hAnsi="宋体" w:eastAsia="宋体" w:cs="宋体"/>
          <w:color w:val="auto"/>
          <w:kern w:val="2"/>
          <w:sz w:val="24"/>
          <w:szCs w:val="24"/>
          <w:lang w:val="en-US" w:eastAsia="zh-CN" w:bidi="ar-SA"/>
        </w:rPr>
        <w:t>主动公开信息的具体内容</w:t>
      </w:r>
      <w:r>
        <w:rPr>
          <w:rFonts w:hint="eastAsia" w:ascii="宋体" w:hAnsi="宋体" w:eastAsia="宋体" w:cs="宋体"/>
          <w:color w:val="auto"/>
          <w:kern w:val="2"/>
          <w:sz w:val="24"/>
          <w:szCs w:val="24"/>
          <w:lang w:val="en-US" w:eastAsia="zh-CN" w:bidi="ar-SA"/>
        </w:rPr>
        <w:t>及时、准确的进行公开。涉及行政机关各方面工作，体现行政机关工作动态，做好政府信息公开</w:t>
      </w:r>
      <w:r>
        <w:rPr>
          <w:rFonts w:hint="default" w:ascii="宋体" w:hAnsi="宋体" w:eastAsia="宋体" w:cs="宋体"/>
          <w:color w:val="auto"/>
          <w:kern w:val="2"/>
          <w:sz w:val="24"/>
          <w:szCs w:val="24"/>
          <w:lang w:val="en-US" w:eastAsia="zh-CN" w:bidi="ar-SA"/>
        </w:rPr>
        <w:t>平台内容保障</w:t>
      </w:r>
      <w:r>
        <w:rPr>
          <w:rFonts w:hint="eastAsia" w:ascii="宋体" w:hAnsi="宋体" w:eastAsia="宋体" w:cs="宋体"/>
          <w:color w:val="auto"/>
          <w:kern w:val="2"/>
          <w:sz w:val="24"/>
          <w:szCs w:val="24"/>
          <w:lang w:val="en-US" w:eastAsia="zh-CN" w:bidi="ar-SA"/>
        </w:rPr>
        <w:t>，做好统一名称、统一格式，加强对各公开平台的衔接工作，坚持数据同源保持数据一致性，在新形势下加强“互联网+政务”提升政府服务作用以及效率，进一步加强对外宣传窗口作用。</w:t>
      </w:r>
    </w:p>
    <w:p>
      <w:pPr>
        <w:ind w:firstLine="480" w:firstLineChars="200"/>
        <w:rPr>
          <w:rFonts w:hint="default" w:ascii="宋体" w:hAnsi="宋体" w:eastAsia="宋体" w:cs="宋体"/>
          <w:color w:val="auto"/>
          <w:sz w:val="24"/>
          <w:szCs w:val="24"/>
          <w:lang w:val="en-US"/>
        </w:rPr>
      </w:pPr>
      <w:r>
        <w:rPr>
          <w:rFonts w:hint="eastAsia" w:ascii="楷体" w:hAnsi="楷体" w:eastAsia="楷体" w:cs="楷体"/>
          <w:color w:val="auto"/>
          <w:sz w:val="24"/>
          <w:szCs w:val="24"/>
        </w:rPr>
        <w:t>（五）全力做好宣传培训评估考核等基础工作。</w:t>
      </w:r>
      <w:r>
        <w:rPr>
          <w:rFonts w:hint="eastAsia" w:asciiTheme="minorEastAsia" w:hAnsiTheme="minorEastAsia" w:eastAsiaTheme="minorEastAsia" w:cstheme="minorEastAsia"/>
          <w:color w:val="auto"/>
          <w:kern w:val="0"/>
          <w:sz w:val="24"/>
          <w:szCs w:val="22"/>
          <w:lang w:val="en-US" w:eastAsia="zh-CN" w:bidi="ar"/>
        </w:rPr>
        <w:t>坚持“公开是原则</w:t>
      </w:r>
      <w:r>
        <w:rPr>
          <w:rFonts w:hint="eastAsia" w:asciiTheme="minorEastAsia" w:hAnsiTheme="minorEastAsia" w:cstheme="minorEastAsia"/>
          <w:color w:val="auto"/>
          <w:kern w:val="0"/>
          <w:sz w:val="24"/>
          <w:szCs w:val="22"/>
          <w:lang w:val="en-US" w:eastAsia="zh-CN" w:bidi="ar"/>
        </w:rPr>
        <w:t>，</w:t>
      </w:r>
      <w:r>
        <w:rPr>
          <w:rFonts w:hint="eastAsia" w:asciiTheme="minorEastAsia" w:hAnsiTheme="minorEastAsia" w:eastAsiaTheme="minorEastAsia" w:cstheme="minorEastAsia"/>
          <w:color w:val="auto"/>
          <w:kern w:val="0"/>
          <w:sz w:val="24"/>
          <w:szCs w:val="22"/>
          <w:lang w:val="en-US" w:eastAsia="zh-CN" w:bidi="ar"/>
        </w:rPr>
        <w:t>不公开是例外”的原则</w:t>
      </w:r>
      <w:r>
        <w:rPr>
          <w:rFonts w:hint="eastAsia" w:asciiTheme="minorEastAsia" w:hAnsiTheme="minorEastAsia" w:cstheme="minorEastAsia"/>
          <w:color w:val="auto"/>
          <w:kern w:val="0"/>
          <w:sz w:val="24"/>
          <w:szCs w:val="22"/>
          <w:lang w:val="en-US" w:eastAsia="zh-CN" w:bidi="ar"/>
        </w:rPr>
        <w:t>，</w:t>
      </w:r>
      <w:r>
        <w:rPr>
          <w:rFonts w:hint="eastAsia" w:asciiTheme="minorEastAsia" w:hAnsiTheme="minorEastAsia" w:eastAsiaTheme="minorEastAsia" w:cstheme="minorEastAsia"/>
          <w:color w:val="auto"/>
          <w:kern w:val="0"/>
          <w:sz w:val="24"/>
          <w:szCs w:val="22"/>
          <w:lang w:val="en-US" w:eastAsia="zh-CN" w:bidi="ar"/>
        </w:rPr>
        <w:t>加强政务公开宣传培训工作</w:t>
      </w:r>
      <w:r>
        <w:rPr>
          <w:rFonts w:hint="eastAsia" w:asciiTheme="minorEastAsia" w:hAnsiTheme="minorEastAsia" w:cstheme="minorEastAsia"/>
          <w:color w:val="auto"/>
          <w:kern w:val="0"/>
          <w:sz w:val="24"/>
          <w:szCs w:val="22"/>
          <w:lang w:val="en-US" w:eastAsia="zh-CN" w:bidi="ar"/>
        </w:rPr>
        <w:t>，对政务公开工作人员形成定期培训机制，确保责任落实落细精确到个人，</w:t>
      </w:r>
      <w:r>
        <w:rPr>
          <w:rFonts w:hint="eastAsia" w:asciiTheme="minorEastAsia" w:hAnsiTheme="minorEastAsia" w:eastAsiaTheme="minorEastAsia" w:cstheme="minorEastAsia"/>
          <w:color w:val="auto"/>
          <w:kern w:val="0"/>
          <w:sz w:val="24"/>
          <w:szCs w:val="22"/>
          <w:lang w:val="en-US" w:eastAsia="zh-CN" w:bidi="ar"/>
        </w:rPr>
        <w:t>广泛听取服务对象的意见</w:t>
      </w:r>
      <w:r>
        <w:rPr>
          <w:rFonts w:hint="eastAsia" w:asciiTheme="minorEastAsia" w:hAnsiTheme="minorEastAsia" w:cstheme="minorEastAsia"/>
          <w:color w:val="auto"/>
          <w:kern w:val="0"/>
          <w:sz w:val="24"/>
          <w:szCs w:val="22"/>
          <w:lang w:val="en-US" w:eastAsia="zh-CN" w:bidi="ar"/>
        </w:rPr>
        <w:t>，有效地将政务公开工作置于阳光下运行。</w:t>
      </w:r>
    </w:p>
    <w:p>
      <w:pPr>
        <w:ind w:firstLine="482" w:firstLineChars="200"/>
        <w:rPr>
          <w:rFonts w:hint="eastAsia" w:ascii="宋体" w:hAnsi="宋体" w:eastAsia="宋体" w:cs="宋体"/>
          <w:b/>
          <w:bCs/>
          <w:sz w:val="24"/>
          <w:szCs w:val="24"/>
        </w:rPr>
      </w:pPr>
    </w:p>
    <w:p>
      <w:pPr>
        <w:ind w:firstLine="482" w:firstLineChars="200"/>
        <w:rPr>
          <w:rFonts w:hint="eastAsia" w:ascii="宋体" w:hAnsi="宋体" w:eastAsia="宋体" w:cs="宋体"/>
          <w:b/>
          <w:bCs/>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84</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6</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tcPr>
          <w:p>
            <w:pPr>
              <w:bidi w:val="0"/>
              <w:jc w:val="left"/>
              <w:rPr>
                <w:rFonts w:hint="default"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sz w:val="24"/>
                <w:szCs w:val="24"/>
                <w:lang w:val="en-US" w:eastAsia="zh-CN"/>
              </w:rPr>
              <w:t>0</w:t>
            </w:r>
          </w:p>
        </w:tc>
        <w:tc>
          <w:tcPr>
            <w:tcW w:w="696"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696"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tcPr>
          <w:p>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rPr>
                <w:rFonts w:ascii="宋体" w:hAnsi="宋体" w:eastAsia="宋体" w:cs="宋体"/>
                <w:b w:val="0"/>
                <w:bCs w:val="0"/>
                <w:sz w:val="24"/>
                <w:szCs w:val="24"/>
              </w:rPr>
            </w:pPr>
          </w:p>
        </w:tc>
        <w:tc>
          <w:tcPr>
            <w:tcW w:w="696" w:type="dxa"/>
          </w:tcPr>
          <w:p>
            <w:pPr>
              <w:rPr>
                <w:rFonts w:ascii="宋体" w:hAnsi="宋体" w:eastAsia="宋体" w:cs="宋体"/>
                <w:b w:val="0"/>
                <w:bCs w:val="0"/>
                <w:sz w:val="24"/>
                <w:szCs w:val="24"/>
              </w:rPr>
            </w:pPr>
          </w:p>
        </w:tc>
        <w:tc>
          <w:tcPr>
            <w:tcW w:w="729" w:type="dxa"/>
          </w:tcPr>
          <w:p>
            <w:pPr>
              <w:rPr>
                <w:rFonts w:ascii="宋体" w:hAnsi="宋体" w:eastAsia="宋体" w:cs="宋体"/>
                <w:b w:val="0"/>
                <w:bCs w:val="0"/>
                <w:sz w:val="24"/>
                <w:szCs w:val="24"/>
              </w:rPr>
            </w:pPr>
          </w:p>
        </w:tc>
        <w:tc>
          <w:tcPr>
            <w:tcW w:w="707" w:type="dxa"/>
          </w:tcPr>
          <w:p>
            <w:pPr>
              <w:rPr>
                <w:rFonts w:ascii="宋体" w:hAnsi="宋体" w:eastAsia="宋体" w:cs="宋体"/>
                <w:b w:val="0"/>
                <w:bCs w:val="0"/>
                <w:sz w:val="24"/>
                <w:szCs w:val="24"/>
              </w:rPr>
            </w:pPr>
          </w:p>
        </w:tc>
        <w:tc>
          <w:tcPr>
            <w:tcW w:w="762" w:type="dxa"/>
          </w:tcPr>
          <w:p>
            <w:pPr>
              <w:rPr>
                <w:rFonts w:ascii="宋体" w:hAnsi="宋体" w:eastAsia="宋体" w:cs="宋体"/>
                <w:b w:val="0"/>
                <w:bCs w:val="0"/>
                <w:sz w:val="24"/>
                <w:szCs w:val="24"/>
              </w:rPr>
            </w:pPr>
          </w:p>
        </w:tc>
        <w:tc>
          <w:tcPr>
            <w:tcW w:w="685" w:type="dxa"/>
          </w:tcPr>
          <w:p>
            <w:pPr>
              <w:rPr>
                <w:rFonts w:ascii="宋体" w:hAnsi="宋体" w:eastAsia="宋体" w:cs="宋体"/>
                <w:b w:val="0"/>
                <w:bCs w:val="0"/>
                <w:sz w:val="24"/>
                <w:szCs w:val="24"/>
              </w:rPr>
            </w:pPr>
          </w:p>
        </w:tc>
        <w:tc>
          <w:tcPr>
            <w:tcW w:w="631" w:type="dxa"/>
          </w:tcPr>
          <w:p>
            <w:pPr>
              <w:rPr>
                <w:rFonts w:ascii="宋体" w:hAnsi="宋体" w:eastAsia="宋体" w:cs="宋体"/>
                <w:b w:val="0"/>
                <w:bCs w:val="0"/>
                <w:sz w:val="24"/>
                <w:szCs w:val="24"/>
              </w:rPr>
            </w:pP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r>
    </w:tbl>
    <w:p>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存在的主要问题及改进情况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全年工作自查发现规自中心工作人员对政务公开相关的省市文件、政策解读还有待加强，下一步面对新形势下做好疫情防控的同时，应加强对政策的深度解读与剖析，做好政务公开工作人员对政务公开工作认识，切实加强领导，强化机构职能，进一步做好吉林省自然资源厅、长春市规划和自然资源局等渠道申请的政府信息公开申请答复。</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4E8794C"/>
    <w:rsid w:val="05066EA2"/>
    <w:rsid w:val="05962251"/>
    <w:rsid w:val="06A434A5"/>
    <w:rsid w:val="0AC4028D"/>
    <w:rsid w:val="0B924A77"/>
    <w:rsid w:val="0D1C7438"/>
    <w:rsid w:val="0D9A07CB"/>
    <w:rsid w:val="0EF95E3E"/>
    <w:rsid w:val="0F841BAC"/>
    <w:rsid w:val="0FFF2C05"/>
    <w:rsid w:val="101A7A9C"/>
    <w:rsid w:val="10D94ED9"/>
    <w:rsid w:val="12AB7BEB"/>
    <w:rsid w:val="12FC6FEC"/>
    <w:rsid w:val="13916BB7"/>
    <w:rsid w:val="16F67B0A"/>
    <w:rsid w:val="18DE0B8B"/>
    <w:rsid w:val="1BF24C7D"/>
    <w:rsid w:val="1D326A70"/>
    <w:rsid w:val="1DD81D5F"/>
    <w:rsid w:val="1EF47C7F"/>
    <w:rsid w:val="1F4E26E0"/>
    <w:rsid w:val="21463587"/>
    <w:rsid w:val="243F343F"/>
    <w:rsid w:val="28975D5D"/>
    <w:rsid w:val="29DF256E"/>
    <w:rsid w:val="29F61FCE"/>
    <w:rsid w:val="2A1D5D9F"/>
    <w:rsid w:val="2AFE7BEA"/>
    <w:rsid w:val="2B25609B"/>
    <w:rsid w:val="2BC71311"/>
    <w:rsid w:val="2E9A064C"/>
    <w:rsid w:val="2F1232C3"/>
    <w:rsid w:val="2F560859"/>
    <w:rsid w:val="2F56299D"/>
    <w:rsid w:val="2FC85D17"/>
    <w:rsid w:val="31C902D1"/>
    <w:rsid w:val="345E7490"/>
    <w:rsid w:val="34707FB0"/>
    <w:rsid w:val="36781544"/>
    <w:rsid w:val="369D05B5"/>
    <w:rsid w:val="371D10E5"/>
    <w:rsid w:val="38FD2077"/>
    <w:rsid w:val="393E5745"/>
    <w:rsid w:val="3B281EB3"/>
    <w:rsid w:val="3B291E3A"/>
    <w:rsid w:val="3BA453BA"/>
    <w:rsid w:val="3E620C74"/>
    <w:rsid w:val="3ED76D58"/>
    <w:rsid w:val="400E44FB"/>
    <w:rsid w:val="41D16C02"/>
    <w:rsid w:val="450C3AC5"/>
    <w:rsid w:val="45333C19"/>
    <w:rsid w:val="45801017"/>
    <w:rsid w:val="47314DA4"/>
    <w:rsid w:val="49181DCF"/>
    <w:rsid w:val="492A6A34"/>
    <w:rsid w:val="4A02676F"/>
    <w:rsid w:val="4BCC7E94"/>
    <w:rsid w:val="4D5301FB"/>
    <w:rsid w:val="4FAE66AC"/>
    <w:rsid w:val="51D907C9"/>
    <w:rsid w:val="524F43BC"/>
    <w:rsid w:val="532A236B"/>
    <w:rsid w:val="56B07488"/>
    <w:rsid w:val="592605B1"/>
    <w:rsid w:val="59CF4E9D"/>
    <w:rsid w:val="5B51267D"/>
    <w:rsid w:val="5C760D5E"/>
    <w:rsid w:val="608B5AEC"/>
    <w:rsid w:val="60C72177"/>
    <w:rsid w:val="61382CF4"/>
    <w:rsid w:val="61D05407"/>
    <w:rsid w:val="663C01D2"/>
    <w:rsid w:val="669B2BD8"/>
    <w:rsid w:val="66EF5667"/>
    <w:rsid w:val="68EE3DB7"/>
    <w:rsid w:val="69895E31"/>
    <w:rsid w:val="69912B2A"/>
    <w:rsid w:val="6B413FAB"/>
    <w:rsid w:val="6DA66DF4"/>
    <w:rsid w:val="6F0E25FB"/>
    <w:rsid w:val="6F9D3BB3"/>
    <w:rsid w:val="6FB026B2"/>
    <w:rsid w:val="70900DB0"/>
    <w:rsid w:val="70E7254E"/>
    <w:rsid w:val="71287561"/>
    <w:rsid w:val="71917722"/>
    <w:rsid w:val="72117322"/>
    <w:rsid w:val="72544ACF"/>
    <w:rsid w:val="72B0307D"/>
    <w:rsid w:val="72F22421"/>
    <w:rsid w:val="739A1583"/>
    <w:rsid w:val="74484734"/>
    <w:rsid w:val="771F1DF3"/>
    <w:rsid w:val="774B1F49"/>
    <w:rsid w:val="792539DA"/>
    <w:rsid w:val="79F53FD4"/>
    <w:rsid w:val="7C4D27DB"/>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2"/>
    <w:unhideWhenUsed/>
    <w:qFormat/>
    <w:uiPriority w:val="99"/>
    <w:pPr>
      <w:tabs>
        <w:tab w:val="center" w:pos="4153"/>
        <w:tab w:val="right" w:pos="8306"/>
      </w:tabs>
      <w:snapToGrid w:val="0"/>
      <w:jc w:val="left"/>
    </w:pPr>
    <w:rPr>
      <w:sz w:val="18"/>
      <w:szCs w:val="18"/>
    </w:rPr>
  </w:style>
  <w:style w:type="paragraph" w:styleId="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444444"/>
      <w:u w:val="none"/>
    </w:rPr>
  </w:style>
  <w:style w:type="character" w:styleId="11">
    <w:name w:val="Emphasis"/>
    <w:basedOn w:val="8"/>
    <w:qFormat/>
    <w:uiPriority w:val="20"/>
  </w:style>
  <w:style w:type="character" w:styleId="12">
    <w:name w:val="HTML Definition"/>
    <w:basedOn w:val="8"/>
    <w:semiHidden/>
    <w:unhideWhenUsed/>
    <w:qFormat/>
    <w:uiPriority w:val="99"/>
    <w:rPr>
      <w:i/>
      <w:iCs/>
    </w:rPr>
  </w:style>
  <w:style w:type="character" w:styleId="13">
    <w:name w:val="HTML Typewriter"/>
    <w:basedOn w:val="8"/>
    <w:semiHidden/>
    <w:unhideWhenUsed/>
    <w:qFormat/>
    <w:uiPriority w:val="99"/>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444444"/>
      <w:u w:val="none"/>
    </w:rPr>
  </w:style>
  <w:style w:type="character" w:styleId="17">
    <w:name w:val="HTML Code"/>
    <w:basedOn w:val="8"/>
    <w:semiHidden/>
    <w:unhideWhenUsed/>
    <w:qFormat/>
    <w:uiPriority w:val="99"/>
    <w:rPr>
      <w:rFonts w:ascii="monospace" w:hAnsi="monospace" w:eastAsia="monospace" w:cs="monospace"/>
      <w:sz w:val="21"/>
      <w:szCs w:val="21"/>
    </w:rPr>
  </w:style>
  <w:style w:type="character" w:styleId="18">
    <w:name w:val="HTML Cite"/>
    <w:basedOn w:val="8"/>
    <w:semiHidden/>
    <w:unhideWhenUsed/>
    <w:qFormat/>
    <w:uiPriority w:val="99"/>
  </w:style>
  <w:style w:type="character" w:styleId="19">
    <w:name w:val="HTML Keyboard"/>
    <w:basedOn w:val="8"/>
    <w:semiHidden/>
    <w:unhideWhenUsed/>
    <w:qFormat/>
    <w:uiPriority w:val="99"/>
    <w:rPr>
      <w:rFonts w:hint="default" w:ascii="monospace" w:hAnsi="monospace" w:eastAsia="monospace" w:cs="monospace"/>
      <w:sz w:val="21"/>
      <w:szCs w:val="21"/>
    </w:rPr>
  </w:style>
  <w:style w:type="character" w:styleId="20">
    <w:name w:val="HTML Sample"/>
    <w:basedOn w:val="8"/>
    <w:semiHidden/>
    <w:unhideWhenUsed/>
    <w:qFormat/>
    <w:uiPriority w:val="99"/>
    <w:rPr>
      <w:rFonts w:hint="default" w:ascii="monospace" w:hAnsi="monospace" w:eastAsia="monospace" w:cs="monospace"/>
      <w:sz w:val="21"/>
      <w:szCs w:val="21"/>
    </w:rPr>
  </w:style>
  <w:style w:type="character" w:customStyle="1" w:styleId="21">
    <w:name w:val="页眉 Char"/>
    <w:basedOn w:val="8"/>
    <w:link w:val="4"/>
    <w:qFormat/>
    <w:uiPriority w:val="99"/>
    <w:rPr>
      <w:sz w:val="18"/>
      <w:szCs w:val="18"/>
    </w:rPr>
  </w:style>
  <w:style w:type="character" w:customStyle="1" w:styleId="22">
    <w:name w:val="页脚 Char"/>
    <w:basedOn w:val="8"/>
    <w:link w:val="3"/>
    <w:qFormat/>
    <w:uiPriority w:val="99"/>
    <w:rPr>
      <w:sz w:val="18"/>
      <w:szCs w:val="18"/>
    </w:rPr>
  </w:style>
  <w:style w:type="character" w:customStyle="1" w:styleId="23">
    <w:name w:val="批注框文本 Char"/>
    <w:basedOn w:val="8"/>
    <w:link w:val="2"/>
    <w:semiHidden/>
    <w:qFormat/>
    <w:uiPriority w:val="99"/>
    <w:rPr>
      <w:sz w:val="18"/>
      <w:szCs w:val="18"/>
    </w:rPr>
  </w:style>
  <w:style w:type="character" w:customStyle="1" w:styleId="24">
    <w:name w:val="left"/>
    <w:basedOn w:val="8"/>
    <w:qFormat/>
    <w:uiPriority w:val="0"/>
  </w:style>
  <w:style w:type="character" w:customStyle="1" w:styleId="25">
    <w:name w:val="name"/>
    <w:basedOn w:val="8"/>
    <w:qFormat/>
    <w:uiPriority w:val="0"/>
    <w:rPr>
      <w:color w:val="2C7199"/>
    </w:rPr>
  </w:style>
  <w:style w:type="character" w:customStyle="1" w:styleId="26">
    <w:name w:val="time"/>
    <w:basedOn w:val="8"/>
    <w:qFormat/>
    <w:uiPriority w:val="0"/>
    <w:rPr>
      <w:color w:val="999999"/>
    </w:rPr>
  </w:style>
  <w:style w:type="character" w:customStyle="1" w:styleId="27">
    <w:name w:val="text"/>
    <w:basedOn w:val="8"/>
    <w:qFormat/>
    <w:uiPriority w:val="0"/>
  </w:style>
  <w:style w:type="character" w:customStyle="1" w:styleId="28">
    <w:name w:val="text1"/>
    <w:basedOn w:val="8"/>
    <w:qFormat/>
    <w:uiPriority w:val="0"/>
  </w:style>
  <w:style w:type="character" w:customStyle="1" w:styleId="29">
    <w:name w:val="miy"/>
    <w:basedOn w:val="8"/>
    <w:qFormat/>
    <w:uiPriority w:val="0"/>
    <w:rPr>
      <w:u w:val="none"/>
    </w:rPr>
  </w:style>
  <w:style w:type="character" w:customStyle="1" w:styleId="30">
    <w:name w:val="miy1"/>
    <w:basedOn w:val="8"/>
    <w:qFormat/>
    <w:uiPriority w:val="0"/>
    <w:rPr>
      <w:color w:val="000099"/>
      <w:bdr w:val="single" w:color="AAAADD" w:sz="4" w:space="0"/>
    </w:rPr>
  </w:style>
  <w:style w:type="character" w:customStyle="1" w:styleId="31">
    <w:name w:val="miy2"/>
    <w:basedOn w:val="8"/>
    <w:qFormat/>
    <w:uiPriority w:val="0"/>
    <w:rPr>
      <w:color w:val="0061DE"/>
      <w:bdr w:val="single" w:color="CCDBE4" w:sz="4" w:space="0"/>
    </w:rPr>
  </w:style>
  <w:style w:type="character" w:customStyle="1" w:styleId="32">
    <w:name w:val="miy3"/>
    <w:basedOn w:val="8"/>
    <w:qFormat/>
    <w:uiPriority w:val="0"/>
    <w:rPr>
      <w:color w:val="FF6500"/>
      <w:bdr w:val="single" w:color="FF9600" w:sz="4" w:space="0"/>
    </w:rPr>
  </w:style>
  <w:style w:type="character" w:customStyle="1" w:styleId="33">
    <w:name w:val="miy4"/>
    <w:basedOn w:val="8"/>
    <w:qFormat/>
    <w:uiPriority w:val="0"/>
    <w:rPr>
      <w:color w:val="FFFFFF"/>
      <w:bdr w:val="single" w:color="2C2C2C" w:sz="4" w:space="0"/>
    </w:rPr>
  </w:style>
  <w:style w:type="character" w:customStyle="1" w:styleId="34">
    <w:name w:val="miy5"/>
    <w:basedOn w:val="8"/>
    <w:qFormat/>
    <w:uiPriority w:val="0"/>
    <w:rPr>
      <w:color w:val="AAAAAA"/>
      <w:bdr w:val="single" w:color="DDDDDD" w:sz="4" w:space="0"/>
    </w:rPr>
  </w:style>
  <w:style w:type="character" w:customStyle="1" w:styleId="35">
    <w:name w:val="miy6"/>
    <w:basedOn w:val="8"/>
    <w:qFormat/>
    <w:uiPriority w:val="0"/>
    <w:rPr>
      <w:color w:val="88AF3F"/>
      <w:bdr w:val="single" w:color="DDDDDD" w:sz="4" w:space="0"/>
    </w:rPr>
  </w:style>
  <w:style w:type="character" w:customStyle="1" w:styleId="36">
    <w:name w:val="current"/>
    <w:basedOn w:val="8"/>
    <w:qFormat/>
    <w:uiPriority w:val="0"/>
    <w:rPr>
      <w:color w:val="FFFFFF"/>
      <w:u w:val="none"/>
      <w:bdr w:val="single" w:color="000099" w:sz="4" w:space="0"/>
      <w:shd w:val="clear" w:fill="000099"/>
    </w:rPr>
  </w:style>
  <w:style w:type="character" w:customStyle="1" w:styleId="37">
    <w:name w:val="current1"/>
    <w:basedOn w:val="8"/>
    <w:qFormat/>
    <w:uiPriority w:val="0"/>
    <w:rPr>
      <w:color w:val="AAAAAA"/>
      <w:u w:val="none"/>
      <w:bdr w:val="single" w:color="E0E0E0" w:sz="4" w:space="0"/>
      <w:shd w:val="clear" w:fill="F0F0F0"/>
    </w:rPr>
  </w:style>
  <w:style w:type="character" w:customStyle="1" w:styleId="38">
    <w:name w:val="current2"/>
    <w:basedOn w:val="8"/>
    <w:qFormat/>
    <w:uiPriority w:val="0"/>
    <w:rPr>
      <w:color w:val="FFFFFF"/>
      <w:u w:val="none"/>
      <w:bdr w:val="single" w:color="B2E05D" w:sz="4" w:space="0"/>
      <w:shd w:val="clear" w:fill="B2E05D"/>
    </w:rPr>
  </w:style>
  <w:style w:type="character" w:customStyle="1" w:styleId="39">
    <w:name w:val="disabled"/>
    <w:basedOn w:val="8"/>
    <w:qFormat/>
    <w:uiPriority w:val="0"/>
    <w:rPr>
      <w:color w:val="DDDDDD"/>
      <w:bdr w:val="single" w:color="EEEEEE" w:sz="4" w:space="0"/>
    </w:rPr>
  </w:style>
  <w:style w:type="character" w:customStyle="1" w:styleId="40">
    <w:name w:val="disabled1"/>
    <w:basedOn w:val="8"/>
    <w:qFormat/>
    <w:uiPriority w:val="0"/>
    <w:rPr>
      <w:color w:val="DDDDDD"/>
      <w:bdr w:val="single" w:color="CCDBE4" w:sz="4" w:space="0"/>
    </w:rPr>
  </w:style>
  <w:style w:type="character" w:customStyle="1" w:styleId="41">
    <w:name w:val="disabled2"/>
    <w:basedOn w:val="8"/>
    <w:qFormat/>
    <w:uiPriority w:val="0"/>
    <w:rPr>
      <w:color w:val="FFE3C6"/>
      <w:bdr w:val="single" w:color="FFE3C6" w:sz="4" w:space="0"/>
    </w:rPr>
  </w:style>
  <w:style w:type="character" w:customStyle="1" w:styleId="42">
    <w:name w:val="disabled3"/>
    <w:basedOn w:val="8"/>
    <w:qFormat/>
    <w:uiPriority w:val="0"/>
    <w:rPr>
      <w:color w:val="CCCCCC"/>
      <w:bdr w:val="single" w:color="F3F3F3" w:sz="4" w:space="0"/>
    </w:rPr>
  </w:style>
  <w:style w:type="character" w:customStyle="1" w:styleId="43">
    <w:name w:val="disabled4"/>
    <w:basedOn w:val="8"/>
    <w:qFormat/>
    <w:uiPriority w:val="0"/>
    <w:rPr>
      <w:color w:val="CCCCCC"/>
      <w:bdr w:val="single" w:color="F3F3F3" w:sz="4" w:space="0"/>
    </w:rPr>
  </w:style>
  <w:style w:type="character" w:customStyle="1" w:styleId="44">
    <w:name w:val="disabled5"/>
    <w:basedOn w:val="8"/>
    <w:qFormat/>
    <w:uiPriority w:val="0"/>
    <w:rPr>
      <w:color w:val="CCCCCC"/>
      <w:bdr w:val="single" w:color="F3F3F3" w:sz="4" w:space="0"/>
    </w:rPr>
  </w:style>
  <w:style w:type="character" w:customStyle="1" w:styleId="45">
    <w:name w:val="bsharetext"/>
    <w:basedOn w:val="8"/>
    <w:qFormat/>
    <w:uiPriority w:val="0"/>
  </w:style>
  <w:style w:type="character" w:customStyle="1" w:styleId="46">
    <w:name w:val="fwtj"/>
    <w:basedOn w:val="8"/>
    <w:qFormat/>
    <w:uiPriority w:val="0"/>
    <w:rPr>
      <w:color w:val="333333"/>
    </w:rPr>
  </w:style>
  <w:style w:type="paragraph" w:customStyle="1" w:styleId="47">
    <w:name w:val="UserStyle_0"/>
    <w:next w:val="48"/>
    <w:qFormat/>
    <w:uiPriority w:val="0"/>
    <w:pPr>
      <w:ind w:left="200" w:leftChars="200"/>
      <w:jc w:val="both"/>
      <w:textAlignment w:val="baseline"/>
    </w:pPr>
    <w:rPr>
      <w:rFonts w:ascii="Times New Roman" w:hAnsi="Times New Roman" w:eastAsia="仿宋" w:cs="Times New Roman"/>
      <w:kern w:val="2"/>
      <w:sz w:val="32"/>
      <w:lang w:val="en-US" w:eastAsia="zh-CN" w:bidi="ar-SA"/>
    </w:rPr>
  </w:style>
  <w:style w:type="paragraph" w:customStyle="1" w:styleId="48">
    <w:name w:val="UserStyle_1"/>
    <w:qFormat/>
    <w:uiPriority w:val="0"/>
    <w:pPr>
      <w:ind w:firstLine="200" w:firstLineChars="200"/>
      <w:jc w:val="both"/>
      <w:textAlignment w:val="baseline"/>
    </w:pPr>
    <w:rPr>
      <w:rFonts w:ascii="Times New Roman" w:hAnsi="Times New Roman"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110</TotalTime>
  <ScaleCrop>false</ScaleCrop>
  <LinksUpToDate>false</LinksUpToDate>
  <CharactersWithSpaces>1438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铀秸桶骄铣</cp:lastModifiedBy>
  <cp:lastPrinted>2021-01-14T07:20:00Z</cp:lastPrinted>
  <dcterms:modified xsi:type="dcterms:W3CDTF">2022-01-20T01:28:00Z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E39E08294D3745968EB68415D43508A1</vt:lpwstr>
  </property>
</Properties>
</file>