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宋体" w:cs="Times New Roman"/>
          <w:b/>
          <w:color w:val="000000" w:themeColor="text1"/>
          <w:sz w:val="36"/>
          <w:szCs w:val="36"/>
          <w14:textFill>
            <w14:solidFill>
              <w14:schemeClr w14:val="tx1"/>
            </w14:solidFill>
          </w14:textFill>
        </w:rPr>
      </w:pPr>
      <w:r>
        <w:rPr>
          <w:rFonts w:ascii="Times New Roman" w:hAnsi="Times New Roman" w:eastAsia="宋体" w:cs="Times New Roman"/>
          <w:b/>
          <w:color w:val="000000" w:themeColor="text1"/>
          <w:sz w:val="36"/>
          <w:szCs w:val="36"/>
          <w14:textFill>
            <w14:solidFill>
              <w14:schemeClr w14:val="tx1"/>
            </w14:solidFill>
          </w14:textFill>
        </w:rPr>
        <w:t>长德党政综合办公室2021年</w:t>
      </w:r>
    </w:p>
    <w:p>
      <w:pPr>
        <w:spacing w:line="560" w:lineRule="exact"/>
        <w:jc w:val="center"/>
        <w:rPr>
          <w:rFonts w:ascii="Times New Roman" w:hAnsi="Times New Roman" w:eastAsia="宋体" w:cs="Times New Roman"/>
          <w:b/>
          <w:color w:val="000000" w:themeColor="text1"/>
          <w:sz w:val="36"/>
          <w:szCs w:val="36"/>
          <w14:textFill>
            <w14:solidFill>
              <w14:schemeClr w14:val="tx1"/>
            </w14:solidFill>
          </w14:textFill>
        </w:rPr>
      </w:pPr>
      <w:r>
        <w:rPr>
          <w:rFonts w:ascii="Times New Roman" w:hAnsi="Times New Roman" w:eastAsia="宋体" w:cs="Times New Roman"/>
          <w:b/>
          <w:color w:val="000000" w:themeColor="text1"/>
          <w:sz w:val="36"/>
          <w:szCs w:val="36"/>
          <w14:textFill>
            <w14:solidFill>
              <w14:schemeClr w14:val="tx1"/>
            </w14:solidFill>
          </w14:textFill>
        </w:rPr>
        <w:t>政府信息公开工作年度报告</w:t>
      </w:r>
    </w:p>
    <w:p>
      <w:pPr>
        <w:shd w:val="clear" w:color="auto" w:fill="FFFFFF"/>
        <w:spacing w:line="560" w:lineRule="exact"/>
        <w:jc w:val="center"/>
        <w:rPr>
          <w:rFonts w:ascii="Times New Roman" w:hAnsi="Times New Roman" w:eastAsia="宋体" w:cs="Times New Roman"/>
          <w:b/>
          <w:color w:val="000000" w:themeColor="text1"/>
          <w:sz w:val="36"/>
          <w:szCs w:val="36"/>
          <w14:textFill>
            <w14:solidFill>
              <w14:schemeClr w14:val="tx1"/>
            </w14:solidFill>
          </w14:textFill>
        </w:rPr>
      </w:pPr>
    </w:p>
    <w:p>
      <w:pPr>
        <w:shd w:val="clear" w:color="auto" w:fill="FFFFFF"/>
        <w:ind w:firstLine="480" w:firstLineChars="200"/>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根据《中华人民共和国政府信息公开条例》规定，现公布2021年长德党政综合办公室政府信息公开工作年度报告。本报告由总体情况、主动公开政府信息情况、收到和处理政府信息公开申请情况、政府信息公开行政复议和行政诉讼情况、政府信息公开工作存在的主要问题及改进情况、其他需要报告的事项六部分组成。本报告中所列数据的统计期限自2021年1月1日起至12月31日止。</w:t>
      </w:r>
      <w:r>
        <w:rPr>
          <w:rFonts w:hint="eastAsia" w:ascii="Times New Roman" w:hAnsi="Times New Roman" w:eastAsia="宋体" w:cs="Times New Roman"/>
          <w:color w:val="000000" w:themeColor="text1"/>
          <w:kern w:val="0"/>
          <w:sz w:val="24"/>
          <w:szCs w:val="24"/>
          <w14:textFill>
            <w14:solidFill>
              <w14:schemeClr w14:val="tx1"/>
            </w14:solidFill>
          </w14:textFill>
        </w:rPr>
        <w:t>如对本报告有任何疑问，请与</w:t>
      </w:r>
      <w:r>
        <w:rPr>
          <w:rFonts w:ascii="Times New Roman" w:hAnsi="Times New Roman" w:eastAsia="宋体" w:cs="Times New Roman"/>
          <w:color w:val="000000" w:themeColor="text1"/>
          <w:kern w:val="0"/>
          <w:sz w:val="24"/>
          <w:szCs w:val="24"/>
          <w14:textFill>
            <w14:solidFill>
              <w14:schemeClr w14:val="tx1"/>
            </w14:solidFill>
          </w14:textFill>
        </w:rPr>
        <w:t>长德党政综合办公室</w:t>
      </w:r>
      <w:r>
        <w:rPr>
          <w:rFonts w:hint="eastAsia" w:ascii="Times New Roman" w:hAnsi="Times New Roman" w:eastAsia="宋体" w:cs="Times New Roman"/>
          <w:color w:val="000000" w:themeColor="text1"/>
          <w:kern w:val="0"/>
          <w:sz w:val="24"/>
          <w:szCs w:val="24"/>
          <w14:textFill>
            <w14:solidFill>
              <w14:schemeClr w14:val="tx1"/>
            </w14:solidFill>
          </w14:textFill>
        </w:rPr>
        <w:t>联系（</w:t>
      </w:r>
      <w:r>
        <w:rPr>
          <w:rFonts w:ascii="Times New Roman" w:hAnsi="Times New Roman" w:eastAsia="宋体" w:cs="Times New Roman"/>
          <w:color w:val="000000" w:themeColor="text1"/>
          <w:kern w:val="0"/>
          <w:sz w:val="24"/>
          <w:szCs w:val="24"/>
          <w14:textFill>
            <w14:solidFill>
              <w14:schemeClr w14:val="tx1"/>
            </w14:solidFill>
          </w14:textFill>
        </w:rPr>
        <w:t>地址：长春市金汇大路1577号中韩大厦1518室</w:t>
      </w:r>
      <w:r>
        <w:rPr>
          <w:rFonts w:hint="eastAsia" w:ascii="Times New Roman" w:hAnsi="Times New Roman" w:eastAsia="宋体" w:cs="Times New Roman"/>
          <w:color w:val="000000" w:themeColor="text1"/>
          <w:kern w:val="0"/>
          <w:sz w:val="24"/>
          <w:szCs w:val="24"/>
          <w14:textFill>
            <w14:solidFill>
              <w14:schemeClr w14:val="tx1"/>
            </w14:solidFill>
          </w14:textFill>
        </w:rPr>
        <w:t>；咨询</w:t>
      </w:r>
      <w:r>
        <w:rPr>
          <w:rFonts w:ascii="Times New Roman" w:hAnsi="Times New Roman" w:eastAsia="宋体" w:cs="Times New Roman"/>
          <w:color w:val="000000" w:themeColor="text1"/>
          <w:kern w:val="0"/>
          <w:sz w:val="24"/>
          <w:szCs w:val="24"/>
          <w14:textFill>
            <w14:solidFill>
              <w14:schemeClr w14:val="tx1"/>
            </w14:solidFill>
          </w14:textFill>
        </w:rPr>
        <w:t>电话：0431</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81187012</w:t>
      </w:r>
      <w:r>
        <w:rPr>
          <w:rFonts w:hint="eastAsia" w:ascii="Times New Roman" w:hAnsi="Times New Roman" w:eastAsia="宋体" w:cs="Times New Roman"/>
          <w:color w:val="000000" w:themeColor="text1"/>
          <w:kern w:val="0"/>
          <w:sz w:val="24"/>
          <w:szCs w:val="24"/>
          <w14:textFill>
            <w14:solidFill>
              <w14:schemeClr w14:val="tx1"/>
            </w14:solidFill>
          </w14:textFill>
        </w:rPr>
        <w:t>；传真：0431-8118701</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2</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邮编：130000</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w:t>
      </w:r>
    </w:p>
    <w:p>
      <w:pPr>
        <w:widowControl/>
        <w:shd w:val="clear" w:color="auto" w:fill="FFFFFF"/>
        <w:ind w:firstLine="482" w:firstLineChars="200"/>
        <w:rPr>
          <w:rFonts w:ascii="宋体" w:hAnsi="宋体" w:eastAsia="宋体" w:cs="Times New Roman"/>
          <w:b/>
          <w:color w:val="000000" w:themeColor="text1"/>
          <w:kern w:val="0"/>
          <w:sz w:val="24"/>
          <w:szCs w:val="24"/>
          <w14:textFill>
            <w14:solidFill>
              <w14:schemeClr w14:val="tx1"/>
            </w14:solidFill>
          </w14:textFill>
        </w:rPr>
      </w:pPr>
      <w:r>
        <w:rPr>
          <w:rFonts w:ascii="宋体" w:hAnsi="宋体" w:eastAsia="宋体" w:cs="Times New Roman"/>
          <w:b/>
          <w:color w:val="000000" w:themeColor="text1"/>
          <w:kern w:val="0"/>
          <w:sz w:val="24"/>
          <w:szCs w:val="24"/>
          <w14:textFill>
            <w14:solidFill>
              <w14:schemeClr w14:val="tx1"/>
            </w14:solidFill>
          </w14:textFill>
        </w:rPr>
        <w:t>一、总体情况</w:t>
      </w:r>
    </w:p>
    <w:p>
      <w:pPr>
        <w:widowControl/>
        <w:shd w:val="clear" w:color="auto" w:fill="FFFFFF"/>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2021年，长德党政综合办公室坚持以习近平新时代中国特色社会主义思想为指导，全面贯彻党的十九大和十九届二中、三中、四中、五中、六中全会精神，认真贯彻落实国家、省、市政务公开决策部署，坚持以公开为常态、不公开为例外，建立健全政务公开工作机制，扎实推进决策、执行、管理、服务、结果公开，以公开促落实、以公开促规范、以公开促服务，推进政府信息公开工作提质增效。</w:t>
      </w:r>
    </w:p>
    <w:p>
      <w:pPr>
        <w:shd w:val="clear" w:color="auto" w:fill="FFFFFF"/>
        <w:ind w:firstLine="480" w:firstLineChars="200"/>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楷体" w:cs="Times New Roman"/>
          <w:b w:val="0"/>
          <w:bCs/>
          <w:color w:val="000000" w:themeColor="text1"/>
          <w:kern w:val="0"/>
          <w:sz w:val="24"/>
          <w:szCs w:val="24"/>
          <w14:textFill>
            <w14:solidFill>
              <w14:schemeClr w14:val="tx1"/>
            </w14:solidFill>
          </w14:textFill>
        </w:rPr>
        <w:t>（一）组织推动政府信息公开工作。</w:t>
      </w:r>
      <w:r>
        <w:rPr>
          <w:rFonts w:ascii="Times New Roman" w:hAnsi="Times New Roman" w:eastAsia="宋体" w:cs="Times New Roman"/>
          <w:color w:val="000000" w:themeColor="text1"/>
          <w:kern w:val="0"/>
          <w:sz w:val="24"/>
          <w:szCs w:val="24"/>
          <w14:textFill>
            <w14:solidFill>
              <w14:schemeClr w14:val="tx1"/>
            </w14:solidFill>
          </w14:textFill>
        </w:rPr>
        <w:t>一是进一步提高政治站位。深刻领会新时代政府信息公开工作对建设法治政府的重大意义，始终坚持以人民为中心，坚持以提升政府信息公开工作质量为主线，坚持以人民群众满意度为衡量标准，推动“应公开尽公开”；二是加强信息公开工作组织领导。长德党政综合办公室高度重视政府信息公开工作，将其纳入部门重要议事日程，成立了以部门主要负责人为组长的政府信息公开工作领导小组，进一步加强组织领导；三是对本部门工作事项进行全面梳理。细化公开要素，明确公开属性，加强信息公开内容核查，进一步提高政务公开的针对性、实效性和准确性。</w:t>
      </w:r>
    </w:p>
    <w:p>
      <w:pPr>
        <w:shd w:val="clear" w:color="auto" w:fill="FFFFFF"/>
        <w:ind w:firstLine="480" w:firstLineChars="200"/>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楷体" w:cs="Times New Roman"/>
          <w:b w:val="0"/>
          <w:bCs/>
          <w:color w:val="000000" w:themeColor="text1"/>
          <w:kern w:val="0"/>
          <w:sz w:val="24"/>
          <w:szCs w:val="24"/>
          <w14:textFill>
            <w14:solidFill>
              <w14:schemeClr w14:val="tx1"/>
            </w14:solidFill>
          </w14:textFill>
        </w:rPr>
        <w:t>（二）积极推动政府信息主动公开。</w:t>
      </w:r>
      <w:r>
        <w:rPr>
          <w:rFonts w:ascii="Times New Roman" w:hAnsi="Times New Roman" w:eastAsia="宋体" w:cs="Times New Roman"/>
          <w:color w:val="000000" w:themeColor="text1"/>
          <w:kern w:val="0"/>
          <w:sz w:val="24"/>
          <w:szCs w:val="24"/>
          <w14:textFill>
            <w14:solidFill>
              <w14:schemeClr w14:val="tx1"/>
            </w14:solidFill>
          </w14:textFill>
        </w:rPr>
        <w:t>围绕群众关切，以“五公开”为重点，建立健全信息主动公开机制，加大主动公开力度，规范源头，提高主动公开实效。严格实行保密审查制度，进一步明晰审查程序，公开单位严格自审，把握好公开的力度，确保信息安全，并建立主动公开信息台账。</w:t>
      </w:r>
    </w:p>
    <w:p>
      <w:pPr>
        <w:shd w:val="clear" w:color="auto" w:fill="FFFFFF"/>
        <w:ind w:firstLine="480" w:firstLineChars="200"/>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楷体" w:cs="Times New Roman"/>
          <w:b w:val="0"/>
          <w:bCs/>
          <w:color w:val="000000" w:themeColor="text1"/>
          <w:kern w:val="0"/>
          <w:sz w:val="24"/>
          <w:szCs w:val="24"/>
          <w14:textFill>
            <w14:solidFill>
              <w14:schemeClr w14:val="tx1"/>
            </w14:solidFill>
          </w14:textFill>
        </w:rPr>
        <w:t>（三）认真规范处理依申请公开。</w:t>
      </w:r>
      <w:r>
        <w:rPr>
          <w:rFonts w:ascii="Times New Roman" w:hAnsi="Times New Roman" w:eastAsia="宋体" w:cs="Times New Roman"/>
          <w:color w:val="000000" w:themeColor="text1"/>
          <w:kern w:val="0"/>
          <w:sz w:val="24"/>
          <w:szCs w:val="24"/>
          <w14:textFill>
            <w14:solidFill>
              <w14:schemeClr w14:val="tx1"/>
            </w14:solidFill>
          </w14:textFill>
        </w:rPr>
        <w:t>落实政府信息公开申请办理各项制度，规范依申请公开登记、办理、答复、送达、归档等管理工作。加强服务意识，在办理和答复过程中，注重与申请人的直接沟通交流，了解诉求和解疑释惑，并在法定时限内答复，进一步提升依申请办理实效，提高群众满意度。</w:t>
      </w:r>
    </w:p>
    <w:p>
      <w:pPr>
        <w:shd w:val="clear" w:color="auto" w:fill="FFFFFF"/>
        <w:ind w:firstLine="480" w:firstLineChars="200"/>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楷体" w:cs="Times New Roman"/>
          <w:b w:val="0"/>
          <w:bCs/>
          <w:color w:val="000000" w:themeColor="text1"/>
          <w:kern w:val="0"/>
          <w:sz w:val="24"/>
          <w:szCs w:val="24"/>
          <w14:textFill>
            <w14:solidFill>
              <w14:schemeClr w14:val="tx1"/>
            </w14:solidFill>
          </w14:textFill>
        </w:rPr>
        <w:t>（四）不断强化政府信息公开平台内容保障。</w:t>
      </w:r>
      <w:r>
        <w:rPr>
          <w:rFonts w:ascii="Times New Roman" w:hAnsi="Times New Roman" w:eastAsia="宋体" w:cs="Times New Roman"/>
          <w:color w:val="000000" w:themeColor="text1"/>
          <w:kern w:val="0"/>
          <w:sz w:val="24"/>
          <w:szCs w:val="24"/>
          <w14:textFill>
            <w14:solidFill>
              <w14:schemeClr w14:val="tx1"/>
            </w14:solidFill>
          </w14:textFill>
        </w:rPr>
        <w:t>进一步拓宽畅通各类公开渠道，规范政府信息主动公开工作，依法主动公开相关政府信息。除了通过示范区相关媒介进行信息公开外，对于政府采购、公车使用等情况，积极通过吉林政采云平台对外公开，增强经费使用透明度。在信息发布上，着力构建政府信息发布协调联动机制，建立健全信息审核机制，确保信息公开质量，使公开的内容更统一、更权威、更准确，提高信息公开的信息化水平。</w:t>
      </w:r>
    </w:p>
    <w:p>
      <w:pPr>
        <w:shd w:val="clear" w:color="auto" w:fill="FFFFFF"/>
        <w:ind w:firstLine="480" w:firstLineChars="200"/>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楷体" w:cs="Times New Roman"/>
          <w:b w:val="0"/>
          <w:bCs/>
          <w:color w:val="000000" w:themeColor="text1"/>
          <w:kern w:val="0"/>
          <w:sz w:val="24"/>
          <w:szCs w:val="24"/>
          <w14:textFill>
            <w14:solidFill>
              <w14:schemeClr w14:val="tx1"/>
            </w14:solidFill>
          </w14:textFill>
        </w:rPr>
        <w:t>（五）全力做好宣传培训评估考核等基础工作。</w:t>
      </w:r>
      <w:r>
        <w:rPr>
          <w:rFonts w:ascii="Times New Roman" w:hAnsi="Times New Roman" w:eastAsia="宋体" w:cs="Times New Roman"/>
          <w:color w:val="000000" w:themeColor="text1"/>
          <w:kern w:val="0"/>
          <w:sz w:val="24"/>
          <w:szCs w:val="24"/>
          <w14:textFill>
            <w14:solidFill>
              <w14:schemeClr w14:val="tx1"/>
            </w14:solidFill>
          </w14:textFill>
        </w:rPr>
        <w:t>加强政务公开知识和业务学习，积极参加示范区组织的政务公开相关业务培训，不断增强部门全体干部的公开意识。认真组织学习了《中华人民共和国政府信息公开条例》及省、市下发的政务公开工作相关文件，通过学习、考核和讨论，使部门全体干部了解了政务公开工作内容，掌握政务公开的方法，从而提高部门每名工作人员履行职责过程中公开政府信息的自觉性。</w:t>
      </w:r>
    </w:p>
    <w:p>
      <w:pPr>
        <w:shd w:val="clear" w:color="auto" w:fill="FFFFFF"/>
        <w:ind w:firstLine="482" w:firstLineChars="200"/>
        <w:rPr>
          <w:rFonts w:ascii="宋体" w:hAnsi="宋体" w:eastAsia="宋体" w:cs="Times New Roman"/>
          <w:b/>
          <w:color w:val="000000" w:themeColor="text1"/>
          <w:kern w:val="0"/>
          <w:sz w:val="24"/>
          <w:szCs w:val="24"/>
          <w14:textFill>
            <w14:solidFill>
              <w14:schemeClr w14:val="tx1"/>
            </w14:solidFill>
          </w14:textFill>
        </w:rPr>
      </w:pPr>
      <w:r>
        <w:rPr>
          <w:rFonts w:ascii="宋体" w:hAnsi="宋体" w:eastAsia="宋体" w:cs="Times New Roman"/>
          <w:b/>
          <w:color w:val="000000" w:themeColor="text1"/>
          <w:kern w:val="0"/>
          <w:sz w:val="24"/>
          <w:szCs w:val="24"/>
          <w14:textFill>
            <w14:solidFill>
              <w14:schemeClr w14:val="tx1"/>
            </w14:solidFill>
          </w14:textFill>
        </w:rPr>
        <w:t>二、主动公开政府信息情况</w:t>
      </w:r>
    </w:p>
    <w:tbl>
      <w:tblPr>
        <w:tblStyle w:val="4"/>
        <w:tblW w:w="9014" w:type="dxa"/>
        <w:jc w:val="center"/>
        <w:tblLayout w:type="fixed"/>
        <w:tblCellMar>
          <w:top w:w="0" w:type="dxa"/>
          <w:left w:w="0" w:type="dxa"/>
          <w:bottom w:w="0" w:type="dxa"/>
          <w:right w:w="0" w:type="dxa"/>
        </w:tblCellMar>
      </w:tblPr>
      <w:tblGrid>
        <w:gridCol w:w="2461"/>
        <w:gridCol w:w="2184"/>
        <w:gridCol w:w="2184"/>
        <w:gridCol w:w="2185"/>
      </w:tblGrid>
      <w:tr>
        <w:tblPrEx>
          <w:tblCellMar>
            <w:top w:w="0" w:type="dxa"/>
            <w:left w:w="0" w:type="dxa"/>
            <w:bottom w:w="0" w:type="dxa"/>
            <w:right w:w="0" w:type="dxa"/>
          </w:tblCellMar>
        </w:tblPrEx>
        <w:trPr>
          <w:trHeight w:val="495" w:hRule="atLeast"/>
          <w:jc w:val="center"/>
        </w:trPr>
        <w:tc>
          <w:tcPr>
            <w:tcW w:w="9014"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32"/>
                <w:szCs w:val="3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第二十条第（一）项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32"/>
                <w:szCs w:val="3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信息内容</w:t>
            </w:r>
          </w:p>
        </w:tc>
        <w:tc>
          <w:tcPr>
            <w:tcW w:w="218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32"/>
                <w:szCs w:val="3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本年制发件数</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32"/>
                <w:szCs w:val="3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本年废止件数</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32"/>
                <w:szCs w:val="3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现行有效件数</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Times New Roman" w:hAnsi="Times New Roman" w:eastAsia="宋体" w:cs="Times New Roman"/>
                <w:color w:val="000000" w:themeColor="text1"/>
                <w:kern w:val="0"/>
                <w:sz w:val="32"/>
                <w:szCs w:val="3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规章</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0</w:t>
            </w:r>
          </w:p>
        </w:tc>
      </w:tr>
      <w:tr>
        <w:tblPrEx>
          <w:tblCellMar>
            <w:top w:w="0" w:type="dxa"/>
            <w:left w:w="0" w:type="dxa"/>
            <w:bottom w:w="0" w:type="dxa"/>
            <w:right w:w="0" w:type="dxa"/>
          </w:tblCellMar>
        </w:tblPrEx>
        <w:trPr>
          <w:trHeight w:val="47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Times New Roman" w:hAnsi="Times New Roman" w:eastAsia="宋体" w:cs="Times New Roman"/>
                <w:color w:val="000000" w:themeColor="text1"/>
                <w:kern w:val="0"/>
                <w:sz w:val="32"/>
                <w:szCs w:val="3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行政规范性文件</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0</w:t>
            </w:r>
          </w:p>
        </w:tc>
      </w:tr>
      <w:tr>
        <w:tblPrEx>
          <w:tblCellMar>
            <w:top w:w="0" w:type="dxa"/>
            <w:left w:w="0" w:type="dxa"/>
            <w:bottom w:w="0" w:type="dxa"/>
            <w:right w:w="0" w:type="dxa"/>
          </w:tblCellMar>
        </w:tblPrEx>
        <w:trPr>
          <w:trHeight w:val="480"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32"/>
                <w:szCs w:val="3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第二十条第（五）项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32"/>
                <w:szCs w:val="3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32"/>
                <w:szCs w:val="3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本年处理决定数量</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Times New Roman" w:hAnsi="Times New Roman" w:eastAsia="宋体" w:cs="Times New Roman"/>
                <w:color w:val="000000" w:themeColor="text1"/>
                <w:kern w:val="0"/>
                <w:sz w:val="32"/>
                <w:szCs w:val="3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行政许可</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0</w:t>
            </w:r>
          </w:p>
        </w:tc>
      </w:tr>
      <w:tr>
        <w:tblPrEx>
          <w:tblCellMar>
            <w:top w:w="0" w:type="dxa"/>
            <w:left w:w="0" w:type="dxa"/>
            <w:bottom w:w="0" w:type="dxa"/>
            <w:right w:w="0" w:type="dxa"/>
          </w:tblCellMar>
        </w:tblPrEx>
        <w:trPr>
          <w:trHeight w:val="406"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32"/>
                <w:szCs w:val="3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第二十条第（六）项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32"/>
                <w:szCs w:val="3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32"/>
                <w:szCs w:val="3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本年处理决定数量</w:t>
            </w:r>
          </w:p>
        </w:tc>
      </w:tr>
      <w:tr>
        <w:tblPrEx>
          <w:tblCellMar>
            <w:top w:w="0" w:type="dxa"/>
            <w:left w:w="0" w:type="dxa"/>
            <w:bottom w:w="0" w:type="dxa"/>
            <w:right w:w="0" w:type="dxa"/>
          </w:tblCellMar>
        </w:tblPrEx>
        <w:trPr>
          <w:trHeight w:val="430"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Times New Roman" w:hAnsi="Times New Roman" w:eastAsia="宋体" w:cs="Times New Roman"/>
                <w:color w:val="000000" w:themeColor="text1"/>
                <w:kern w:val="0"/>
                <w:sz w:val="32"/>
                <w:szCs w:val="3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行政处罚</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0</w:t>
            </w:r>
          </w:p>
        </w:tc>
      </w:tr>
      <w:tr>
        <w:tblPrEx>
          <w:tblCellMar>
            <w:top w:w="0" w:type="dxa"/>
            <w:left w:w="0" w:type="dxa"/>
            <w:bottom w:w="0" w:type="dxa"/>
            <w:right w:w="0" w:type="dxa"/>
          </w:tblCellMar>
        </w:tblPrEx>
        <w:trPr>
          <w:trHeight w:val="409"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Times New Roman" w:hAnsi="Times New Roman" w:eastAsia="宋体" w:cs="Times New Roman"/>
                <w:color w:val="000000" w:themeColor="text1"/>
                <w:kern w:val="0"/>
                <w:sz w:val="32"/>
                <w:szCs w:val="3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行政强制</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0</w:t>
            </w:r>
          </w:p>
        </w:tc>
      </w:tr>
      <w:tr>
        <w:tblPrEx>
          <w:tblCellMar>
            <w:top w:w="0" w:type="dxa"/>
            <w:left w:w="0" w:type="dxa"/>
            <w:bottom w:w="0" w:type="dxa"/>
            <w:right w:w="0" w:type="dxa"/>
          </w:tblCellMar>
        </w:tblPrEx>
        <w:trPr>
          <w:trHeight w:val="474"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32"/>
                <w:szCs w:val="3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第二十条第（八）项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32"/>
                <w:szCs w:val="3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信息内容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32"/>
                <w:szCs w:val="3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本年收费金额（单位：万元）</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Times New Roman" w:hAnsi="Times New Roman" w:eastAsia="宋体" w:cs="Times New Roman"/>
                <w:color w:val="000000" w:themeColor="text1"/>
                <w:kern w:val="0"/>
                <w:sz w:val="32"/>
                <w:szCs w:val="3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行政事业性收费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0</w:t>
            </w:r>
          </w:p>
        </w:tc>
      </w:tr>
    </w:tbl>
    <w:p>
      <w:pPr>
        <w:shd w:val="clear" w:color="auto" w:fill="FFFFFF"/>
        <w:ind w:firstLine="482" w:firstLineChars="200"/>
        <w:rPr>
          <w:rFonts w:ascii="宋体" w:hAnsi="宋体" w:eastAsia="宋体" w:cs="Times New Roman"/>
          <w:b/>
          <w:color w:val="000000" w:themeColor="text1"/>
          <w:kern w:val="0"/>
          <w:sz w:val="24"/>
          <w:szCs w:val="24"/>
          <w14:textFill>
            <w14:solidFill>
              <w14:schemeClr w14:val="tx1"/>
            </w14:solidFill>
          </w14:textFill>
        </w:rPr>
      </w:pPr>
      <w:r>
        <w:rPr>
          <w:rFonts w:ascii="宋体" w:hAnsi="宋体" w:eastAsia="宋体" w:cs="Times New Roman"/>
          <w:b/>
          <w:color w:val="000000" w:themeColor="text1"/>
          <w:kern w:val="0"/>
          <w:sz w:val="24"/>
          <w:szCs w:val="24"/>
          <w14:textFill>
            <w14:solidFill>
              <w14:schemeClr w14:val="tx1"/>
            </w14:solidFill>
          </w14:textFill>
        </w:rPr>
        <w:t>三、收到和处理政府信息公开申请情况</w:t>
      </w:r>
    </w:p>
    <w:tbl>
      <w:tblPr>
        <w:tblStyle w:val="5"/>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15"/>
        <w:gridCol w:w="2651"/>
        <w:gridCol w:w="685"/>
        <w:gridCol w:w="696"/>
        <w:gridCol w:w="729"/>
        <w:gridCol w:w="707"/>
        <w:gridCol w:w="762"/>
        <w:gridCol w:w="685"/>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135" w:type="dxa"/>
            <w:gridSpan w:val="3"/>
            <w:vMerge w:val="restart"/>
            <w:vAlign w:val="center"/>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楷体" w:cs="Times New Roman"/>
                <w:color w:val="000000" w:themeColor="text1"/>
                <w:kern w:val="0"/>
                <w:sz w:val="20"/>
                <w:szCs w:val="20"/>
                <w14:textFill>
                  <w14:solidFill>
                    <w14:schemeClr w14:val="tx1"/>
                  </w14:solidFill>
                </w14:textFill>
              </w:rPr>
              <w:t>（本列数据的勾稽关系为：第一项加第二项之和，等于第三项加第四项之和）</w:t>
            </w:r>
          </w:p>
        </w:tc>
        <w:tc>
          <w:tcPr>
            <w:tcW w:w="4909" w:type="dxa"/>
            <w:gridSpan w:val="7"/>
            <w:vAlign w:val="center"/>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135" w:type="dxa"/>
            <w:gridSpan w:val="3"/>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687" w:type="dxa"/>
            <w:vMerge w:val="restart"/>
            <w:vAlign w:val="center"/>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自然人</w:t>
            </w:r>
          </w:p>
        </w:tc>
        <w:tc>
          <w:tcPr>
            <w:tcW w:w="3589" w:type="dxa"/>
            <w:gridSpan w:val="5"/>
            <w:vAlign w:val="center"/>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法人或其他组织</w:t>
            </w:r>
          </w:p>
        </w:tc>
        <w:tc>
          <w:tcPr>
            <w:tcW w:w="633" w:type="dxa"/>
            <w:vMerge w:val="restart"/>
            <w:vAlign w:val="center"/>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35" w:type="dxa"/>
            <w:gridSpan w:val="3"/>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687"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698" w:type="dxa"/>
            <w:vAlign w:val="center"/>
          </w:tcPr>
          <w:p>
            <w:pPr>
              <w:widowControl/>
              <w:spacing w:line="12"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商业企业</w:t>
            </w:r>
          </w:p>
        </w:tc>
        <w:tc>
          <w:tcPr>
            <w:tcW w:w="731" w:type="dxa"/>
            <w:vAlign w:val="center"/>
          </w:tcPr>
          <w:p>
            <w:pPr>
              <w:widowControl/>
              <w:spacing w:line="12"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科研机构</w:t>
            </w:r>
          </w:p>
        </w:tc>
        <w:tc>
          <w:tcPr>
            <w:tcW w:w="709" w:type="dxa"/>
            <w:vAlign w:val="center"/>
          </w:tcPr>
          <w:p>
            <w:pPr>
              <w:widowControl/>
              <w:spacing w:line="12"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社会公益组织</w:t>
            </w:r>
          </w:p>
        </w:tc>
        <w:tc>
          <w:tcPr>
            <w:tcW w:w="764" w:type="dxa"/>
            <w:vAlign w:val="center"/>
          </w:tcPr>
          <w:p>
            <w:pPr>
              <w:widowControl/>
              <w:spacing w:line="12"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法律服务机构</w:t>
            </w:r>
          </w:p>
        </w:tc>
        <w:tc>
          <w:tcPr>
            <w:tcW w:w="687" w:type="dxa"/>
            <w:vAlign w:val="center"/>
          </w:tcPr>
          <w:p>
            <w:pPr>
              <w:widowControl/>
              <w:spacing w:line="12"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其他</w:t>
            </w:r>
          </w:p>
        </w:tc>
        <w:tc>
          <w:tcPr>
            <w:tcW w:w="633"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135" w:type="dxa"/>
            <w:gridSpan w:val="3"/>
            <w:vAlign w:val="center"/>
          </w:tcPr>
          <w:p>
            <w:pPr>
              <w:widowControl/>
              <w:spacing w:line="12" w:lineRule="atLeast"/>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一、本年新收政府信息公开申请数量</w:t>
            </w:r>
          </w:p>
        </w:tc>
        <w:tc>
          <w:tcPr>
            <w:tcW w:w="687" w:type="dxa"/>
          </w:tcPr>
          <w:p>
            <w:pPr>
              <w:jc w:val="center"/>
              <w:rPr>
                <w:rFonts w:hint="eastAsia" w:ascii="Times New Roman" w:hAnsi="Times New Roman" w:eastAsia="宋体" w:cs="Times New Roman"/>
                <w:b/>
                <w:bCs/>
                <w:color w:val="000000" w:themeColor="text1"/>
                <w:kern w:val="0"/>
                <w:sz w:val="24"/>
                <w:szCs w:val="24"/>
                <w:lang w:eastAsia="zh-CN"/>
                <w14:textFill>
                  <w14:solidFill>
                    <w14:schemeClr w14:val="tx1"/>
                  </w14:solidFill>
                </w14:textFill>
              </w:rPr>
            </w:pPr>
            <w:r>
              <w:rPr>
                <w:rFonts w:hint="eastAsia" w:ascii="Times New Roman" w:hAnsi="Times New Roman" w:eastAsia="宋体" w:cs="Times New Roman"/>
                <w:b/>
                <w:bCs/>
                <w:color w:val="000000" w:themeColor="text1"/>
                <w:kern w:val="0"/>
                <w:sz w:val="24"/>
                <w:szCs w:val="24"/>
                <w:lang w:val="en-US" w:eastAsia="zh-CN"/>
                <w14:textFill>
                  <w14:solidFill>
                    <w14:schemeClr w14:val="tx1"/>
                  </w14:solidFill>
                </w14:textFill>
              </w:rPr>
              <w:t>1</w:t>
            </w:r>
          </w:p>
        </w:tc>
        <w:tc>
          <w:tcPr>
            <w:tcW w:w="698"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31"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09"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64"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33" w:type="dxa"/>
          </w:tcPr>
          <w:p>
            <w:pPr>
              <w:jc w:val="center"/>
              <w:rPr>
                <w:rFonts w:hint="eastAsia" w:ascii="Times New Roman" w:hAnsi="Times New Roman" w:eastAsia="宋体" w:cs="Times New Roman"/>
                <w:b/>
                <w:bCs/>
                <w:color w:val="000000" w:themeColor="text1"/>
                <w:kern w:val="0"/>
                <w:sz w:val="24"/>
                <w:szCs w:val="24"/>
                <w:lang w:eastAsia="zh-CN"/>
                <w14:textFill>
                  <w14:solidFill>
                    <w14:schemeClr w14:val="tx1"/>
                  </w14:solidFill>
                </w14:textFill>
              </w:rPr>
            </w:pPr>
            <w:r>
              <w:rPr>
                <w:rFonts w:hint="eastAsia" w:ascii="Times New Roman" w:hAnsi="Times New Roman" w:eastAsia="宋体" w:cs="Times New Roman"/>
                <w:b/>
                <w:bCs/>
                <w:color w:val="000000" w:themeColor="text1"/>
                <w:kern w:val="0"/>
                <w:sz w:val="24"/>
                <w:szCs w:val="24"/>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135" w:type="dxa"/>
            <w:gridSpan w:val="3"/>
            <w:vAlign w:val="center"/>
          </w:tcPr>
          <w:p>
            <w:pPr>
              <w:widowControl/>
              <w:spacing w:line="12" w:lineRule="atLeast"/>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二、上年结转政府信息公开申请数量</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98"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31"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09"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64"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33"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5" w:type="dxa"/>
            <w:vMerge w:val="restart"/>
            <w:vAlign w:val="center"/>
          </w:tcPr>
          <w:p>
            <w:pPr>
              <w:widowControl/>
              <w:spacing w:line="12" w:lineRule="atLeast"/>
              <w:rPr>
                <w:rFonts w:ascii="Times New Roman" w:hAnsi="Times New Roman" w:eastAsia="宋体" w:cs="Times New Roman"/>
                <w:color w:val="000000" w:themeColor="text1"/>
                <w:kern w:val="0"/>
                <w:sz w:val="20"/>
                <w:szCs w:val="20"/>
                <w14:textFill>
                  <w14:solidFill>
                    <w14:schemeClr w14:val="tx1"/>
                  </w14:solidFill>
                </w14:textFill>
              </w:rPr>
            </w:pPr>
          </w:p>
          <w:p>
            <w:pPr>
              <w:widowControl/>
              <w:spacing w:line="12" w:lineRule="atLeast"/>
              <w:rPr>
                <w:rFonts w:ascii="Times New Roman" w:hAnsi="Times New Roman" w:eastAsia="宋体" w:cs="Times New Roman"/>
                <w:color w:val="000000" w:themeColor="text1"/>
                <w:kern w:val="0"/>
                <w:sz w:val="20"/>
                <w:szCs w:val="20"/>
                <w14:textFill>
                  <w14:solidFill>
                    <w14:schemeClr w14:val="tx1"/>
                  </w14:solidFill>
                </w14:textFill>
              </w:rPr>
            </w:pPr>
          </w:p>
          <w:p>
            <w:pPr>
              <w:widowControl/>
              <w:spacing w:line="12" w:lineRule="atLeast"/>
              <w:rPr>
                <w:rFonts w:ascii="Times New Roman" w:hAnsi="Times New Roman" w:eastAsia="宋体" w:cs="Times New Roman"/>
                <w:color w:val="000000" w:themeColor="text1"/>
                <w:kern w:val="0"/>
                <w:sz w:val="20"/>
                <w:szCs w:val="20"/>
                <w14:textFill>
                  <w14:solidFill>
                    <w14:schemeClr w14:val="tx1"/>
                  </w14:solidFill>
                </w14:textFill>
              </w:rPr>
            </w:pPr>
          </w:p>
          <w:p>
            <w:pPr>
              <w:widowControl/>
              <w:spacing w:line="12" w:lineRule="atLeast"/>
              <w:rPr>
                <w:rFonts w:ascii="Times New Roman" w:hAnsi="Times New Roman" w:eastAsia="宋体" w:cs="Times New Roman"/>
                <w:color w:val="000000" w:themeColor="text1"/>
                <w:kern w:val="0"/>
                <w:sz w:val="20"/>
                <w:szCs w:val="20"/>
                <w14:textFill>
                  <w14:solidFill>
                    <w14:schemeClr w14:val="tx1"/>
                  </w14:solidFill>
                </w14:textFill>
              </w:rPr>
            </w:pPr>
          </w:p>
          <w:p>
            <w:pPr>
              <w:widowControl/>
              <w:spacing w:line="12" w:lineRule="atLeast"/>
              <w:rPr>
                <w:rFonts w:ascii="Times New Roman" w:hAnsi="Times New Roman" w:eastAsia="宋体" w:cs="Times New Roman"/>
                <w:color w:val="000000" w:themeColor="text1"/>
                <w:kern w:val="0"/>
                <w:sz w:val="20"/>
                <w:szCs w:val="20"/>
                <w14:textFill>
                  <w14:solidFill>
                    <w14:schemeClr w14:val="tx1"/>
                  </w14:solidFill>
                </w14:textFill>
              </w:rPr>
            </w:pPr>
          </w:p>
          <w:p>
            <w:pPr>
              <w:widowControl/>
              <w:spacing w:line="12" w:lineRule="atLeast"/>
              <w:rPr>
                <w:rFonts w:ascii="Times New Roman" w:hAnsi="Times New Roman" w:eastAsia="宋体" w:cs="Times New Roman"/>
                <w:color w:val="000000" w:themeColor="text1"/>
                <w:kern w:val="0"/>
                <w:sz w:val="20"/>
                <w:szCs w:val="20"/>
                <w14:textFill>
                  <w14:solidFill>
                    <w14:schemeClr w14:val="tx1"/>
                  </w14:solidFill>
                </w14:textFill>
              </w:rPr>
            </w:pPr>
          </w:p>
          <w:p>
            <w:pPr>
              <w:widowControl/>
              <w:spacing w:line="12" w:lineRule="atLeast"/>
              <w:rPr>
                <w:rFonts w:ascii="Times New Roman" w:hAnsi="Times New Roman" w:eastAsia="宋体" w:cs="Times New Roman"/>
                <w:color w:val="000000" w:themeColor="text1"/>
                <w:kern w:val="0"/>
                <w:sz w:val="20"/>
                <w:szCs w:val="20"/>
                <w14:textFill>
                  <w14:solidFill>
                    <w14:schemeClr w14:val="tx1"/>
                  </w14:solidFill>
                </w14:textFill>
              </w:rPr>
            </w:pPr>
          </w:p>
          <w:p>
            <w:pPr>
              <w:widowControl/>
              <w:spacing w:line="12" w:lineRule="atLeast"/>
              <w:rPr>
                <w:rFonts w:ascii="Times New Roman" w:hAnsi="Times New Roman" w:eastAsia="宋体" w:cs="Times New Roman"/>
                <w:color w:val="000000" w:themeColor="text1"/>
                <w:kern w:val="0"/>
                <w:sz w:val="20"/>
                <w:szCs w:val="20"/>
                <w14:textFill>
                  <w14:solidFill>
                    <w14:schemeClr w14:val="tx1"/>
                  </w14:solidFill>
                </w14:textFill>
              </w:rPr>
            </w:pPr>
          </w:p>
          <w:p>
            <w:pPr>
              <w:widowControl/>
              <w:spacing w:line="12" w:lineRule="atLeast"/>
              <w:rPr>
                <w:rFonts w:ascii="Times New Roman" w:hAnsi="Times New Roman" w:eastAsia="宋体" w:cs="Times New Roman"/>
                <w:color w:val="000000" w:themeColor="text1"/>
                <w:kern w:val="0"/>
                <w:sz w:val="20"/>
                <w:szCs w:val="20"/>
                <w14:textFill>
                  <w14:solidFill>
                    <w14:schemeClr w14:val="tx1"/>
                  </w14:solidFill>
                </w14:textFill>
              </w:rPr>
            </w:pPr>
          </w:p>
          <w:p>
            <w:pPr>
              <w:widowControl/>
              <w:spacing w:line="12" w:lineRule="atLeast"/>
              <w:rPr>
                <w:rFonts w:ascii="Times New Roman" w:hAnsi="Times New Roman" w:eastAsia="宋体" w:cs="Times New Roman"/>
                <w:color w:val="000000" w:themeColor="text1"/>
                <w:kern w:val="0"/>
                <w:sz w:val="20"/>
                <w:szCs w:val="20"/>
                <w14:textFill>
                  <w14:solidFill>
                    <w14:schemeClr w14:val="tx1"/>
                  </w14:solidFill>
                </w14:textFill>
              </w:rPr>
            </w:pPr>
          </w:p>
          <w:p>
            <w:pPr>
              <w:widowControl/>
              <w:spacing w:line="12" w:lineRule="atLeast"/>
              <w:rPr>
                <w:rFonts w:ascii="Times New Roman" w:hAnsi="Times New Roman" w:eastAsia="宋体" w:cs="Times New Roman"/>
                <w:color w:val="000000" w:themeColor="text1"/>
                <w:kern w:val="0"/>
                <w:sz w:val="20"/>
                <w:szCs w:val="20"/>
                <w14:textFill>
                  <w14:solidFill>
                    <w14:schemeClr w14:val="tx1"/>
                  </w14:solidFill>
                </w14:textFill>
              </w:rPr>
            </w:pPr>
          </w:p>
          <w:p>
            <w:pPr>
              <w:widowControl/>
              <w:spacing w:line="12" w:lineRule="atLeast"/>
              <w:rPr>
                <w:rFonts w:ascii="Times New Roman" w:hAnsi="Times New Roman" w:eastAsia="宋体" w:cs="Times New Roman"/>
                <w:color w:val="000000" w:themeColor="text1"/>
                <w:kern w:val="0"/>
                <w:sz w:val="20"/>
                <w:szCs w:val="20"/>
                <w14:textFill>
                  <w14:solidFill>
                    <w14:schemeClr w14:val="tx1"/>
                  </w14:solidFill>
                </w14:textFill>
              </w:rPr>
            </w:pPr>
          </w:p>
          <w:p>
            <w:pPr>
              <w:widowControl/>
              <w:spacing w:line="12" w:lineRule="atLeast"/>
              <w:rPr>
                <w:rFonts w:ascii="Times New Roman" w:hAnsi="Times New Roman" w:eastAsia="宋体" w:cs="Times New Roman"/>
                <w:color w:val="000000" w:themeColor="text1"/>
                <w:kern w:val="0"/>
                <w:sz w:val="20"/>
                <w:szCs w:val="20"/>
                <w14:textFill>
                  <w14:solidFill>
                    <w14:schemeClr w14:val="tx1"/>
                  </w14:solidFill>
                </w14:textFill>
              </w:rPr>
            </w:pPr>
          </w:p>
          <w:p>
            <w:pPr>
              <w:widowControl/>
              <w:spacing w:line="12" w:lineRule="atLeast"/>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三、本年度办理结果</w:t>
            </w:r>
          </w:p>
        </w:tc>
        <w:tc>
          <w:tcPr>
            <w:tcW w:w="3480" w:type="dxa"/>
            <w:gridSpan w:val="2"/>
            <w:vAlign w:val="center"/>
          </w:tcPr>
          <w:p>
            <w:pPr>
              <w:widowControl/>
              <w:spacing w:line="12" w:lineRule="atLeast"/>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（一）予以公开</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98"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31"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09"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64"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33"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3480" w:type="dxa"/>
            <w:gridSpan w:val="2"/>
            <w:vAlign w:val="center"/>
          </w:tcPr>
          <w:p>
            <w:pPr>
              <w:widowControl/>
              <w:spacing w:line="12" w:lineRule="atLeast"/>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（二）部分公开</w:t>
            </w:r>
            <w:r>
              <w:rPr>
                <w:rFonts w:ascii="Times New Roman" w:hAnsi="Times New Roman" w:eastAsia="楷体" w:cs="Times New Roman"/>
                <w:color w:val="000000" w:themeColor="text1"/>
                <w:kern w:val="0"/>
                <w:sz w:val="20"/>
                <w:szCs w:val="20"/>
                <w14:textFill>
                  <w14:solidFill>
                    <w14:schemeClr w14:val="tx1"/>
                  </w14:solidFill>
                </w14:textFill>
              </w:rPr>
              <w:t>（区分处理的，只计这一情形，不计其他情形）</w:t>
            </w:r>
          </w:p>
        </w:tc>
        <w:tc>
          <w:tcPr>
            <w:tcW w:w="687" w:type="dxa"/>
          </w:tcPr>
          <w:p>
            <w:pPr>
              <w:jc w:val="center"/>
              <w:rPr>
                <w:rFonts w:hint="eastAsia" w:ascii="Times New Roman" w:hAnsi="Times New Roman" w:eastAsia="宋体" w:cs="Times New Roman"/>
                <w:b/>
                <w:bCs/>
                <w:color w:val="000000" w:themeColor="text1"/>
                <w:kern w:val="0"/>
                <w:sz w:val="24"/>
                <w:szCs w:val="24"/>
                <w:lang w:eastAsia="zh-CN"/>
                <w14:textFill>
                  <w14:solidFill>
                    <w14:schemeClr w14:val="tx1"/>
                  </w14:solidFill>
                </w14:textFill>
              </w:rPr>
            </w:pPr>
            <w:r>
              <w:rPr>
                <w:rFonts w:hint="eastAsia" w:ascii="Times New Roman" w:hAnsi="Times New Roman" w:eastAsia="宋体" w:cs="Times New Roman"/>
                <w:b/>
                <w:bCs/>
                <w:color w:val="000000" w:themeColor="text1"/>
                <w:kern w:val="0"/>
                <w:sz w:val="24"/>
                <w:szCs w:val="24"/>
                <w:lang w:val="en-US" w:eastAsia="zh-CN"/>
                <w14:textFill>
                  <w14:solidFill>
                    <w14:schemeClr w14:val="tx1"/>
                  </w14:solidFill>
                </w14:textFill>
              </w:rPr>
              <w:t>1</w:t>
            </w:r>
          </w:p>
        </w:tc>
        <w:tc>
          <w:tcPr>
            <w:tcW w:w="698"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31"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09"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64"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33" w:type="dxa"/>
          </w:tcPr>
          <w:p>
            <w:pPr>
              <w:jc w:val="center"/>
              <w:rPr>
                <w:rFonts w:hint="eastAsia" w:ascii="Times New Roman" w:hAnsi="Times New Roman" w:eastAsia="宋体" w:cs="Times New Roman"/>
                <w:b/>
                <w:bCs/>
                <w:color w:val="000000" w:themeColor="text1"/>
                <w:kern w:val="0"/>
                <w:sz w:val="24"/>
                <w:szCs w:val="24"/>
                <w:lang w:eastAsia="zh-CN"/>
                <w14:textFill>
                  <w14:solidFill>
                    <w14:schemeClr w14:val="tx1"/>
                  </w14:solidFill>
                </w14:textFill>
              </w:rPr>
            </w:pPr>
            <w:r>
              <w:rPr>
                <w:rFonts w:hint="eastAsia" w:ascii="Times New Roman" w:hAnsi="Times New Roman" w:eastAsia="宋体" w:cs="Times New Roman"/>
                <w:b/>
                <w:bCs/>
                <w:color w:val="000000" w:themeColor="text1"/>
                <w:kern w:val="0"/>
                <w:sz w:val="24"/>
                <w:szCs w:val="24"/>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5"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818" w:type="dxa"/>
            <w:vMerge w:val="restart"/>
            <w:vAlign w:val="center"/>
          </w:tcPr>
          <w:p>
            <w:pP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（三）不予公开</w:t>
            </w:r>
          </w:p>
        </w:tc>
        <w:tc>
          <w:tcPr>
            <w:tcW w:w="2662" w:type="dxa"/>
            <w:vAlign w:val="center"/>
          </w:tcPr>
          <w:p>
            <w:pPr>
              <w:widowControl/>
              <w:spacing w:line="12" w:lineRule="atLeast"/>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1.属于国家秘密</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98"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31"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09"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64"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33"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818"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2662" w:type="dxa"/>
            <w:vAlign w:val="center"/>
          </w:tcPr>
          <w:p>
            <w:pPr>
              <w:widowControl/>
              <w:spacing w:line="12" w:lineRule="atLeast"/>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2.其他法律行政法规禁止公开</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98"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31"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09"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64"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33"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5"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818"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2662" w:type="dxa"/>
            <w:vAlign w:val="center"/>
          </w:tcPr>
          <w:p>
            <w:pPr>
              <w:widowControl/>
              <w:spacing w:line="12" w:lineRule="atLeast"/>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3.危及“三安全一稳定”</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98"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31"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09"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64"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33"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5"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818"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2662" w:type="dxa"/>
            <w:vAlign w:val="center"/>
          </w:tcPr>
          <w:p>
            <w:pPr>
              <w:widowControl/>
              <w:spacing w:line="12" w:lineRule="atLeast"/>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4.保护第三方合法权益</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98"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31"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09"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64"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33"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5"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818"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2662" w:type="dxa"/>
            <w:vAlign w:val="center"/>
          </w:tcPr>
          <w:p>
            <w:pPr>
              <w:widowControl/>
              <w:spacing w:line="12" w:lineRule="atLeast"/>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5.属于三类内部事务信息</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98"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31"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09"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64"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33"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55"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818"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2662" w:type="dxa"/>
            <w:vAlign w:val="center"/>
          </w:tcPr>
          <w:p>
            <w:pPr>
              <w:widowControl/>
              <w:spacing w:line="12" w:lineRule="atLeast"/>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6.属于四类过程性信息</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98"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31"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09"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64"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33"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5"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818"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2662" w:type="dxa"/>
            <w:vAlign w:val="center"/>
          </w:tcPr>
          <w:p>
            <w:pPr>
              <w:widowControl/>
              <w:spacing w:line="12" w:lineRule="atLeast"/>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7.属于行政执法案卷</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98"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31"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09"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64"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33"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5"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818"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2662" w:type="dxa"/>
            <w:vAlign w:val="center"/>
          </w:tcPr>
          <w:p>
            <w:pPr>
              <w:widowControl/>
              <w:spacing w:line="12" w:lineRule="atLeast"/>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8.属于行政查询事项</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98"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31"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09"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64"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33"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818" w:type="dxa"/>
            <w:vMerge w:val="restart"/>
            <w:vAlign w:val="center"/>
          </w:tcPr>
          <w:p>
            <w:pP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（四）无法提供</w:t>
            </w:r>
          </w:p>
        </w:tc>
        <w:tc>
          <w:tcPr>
            <w:tcW w:w="2662" w:type="dxa"/>
            <w:vAlign w:val="center"/>
          </w:tcPr>
          <w:p>
            <w:pPr>
              <w:widowControl/>
              <w:spacing w:line="12" w:lineRule="atLeast"/>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1.本机关不掌握相关政府信息</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98"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31"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09"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64"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33"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818" w:type="dxa"/>
            <w:vMerge w:val="continue"/>
            <w:vAlign w:val="center"/>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2662" w:type="dxa"/>
            <w:vAlign w:val="center"/>
          </w:tcPr>
          <w:p>
            <w:pPr>
              <w:widowControl/>
              <w:spacing w:line="12" w:lineRule="atLeast"/>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2.没有现成信息需要另行制作</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98"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31"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09"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64"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33"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5"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818" w:type="dxa"/>
            <w:vMerge w:val="continue"/>
            <w:vAlign w:val="center"/>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2662" w:type="dxa"/>
            <w:vAlign w:val="center"/>
          </w:tcPr>
          <w:p>
            <w:pPr>
              <w:widowControl/>
              <w:spacing w:line="12" w:lineRule="atLeast"/>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3.补正后申请内容仍不明确</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98"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31"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09"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64"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33"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5"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818" w:type="dxa"/>
            <w:vMerge w:val="restart"/>
            <w:vAlign w:val="center"/>
          </w:tcPr>
          <w:p>
            <w:pP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（五）不予处理</w:t>
            </w:r>
          </w:p>
        </w:tc>
        <w:tc>
          <w:tcPr>
            <w:tcW w:w="2662" w:type="dxa"/>
            <w:vAlign w:val="center"/>
          </w:tcPr>
          <w:p>
            <w:pPr>
              <w:widowControl/>
              <w:spacing w:line="12" w:lineRule="atLeast"/>
              <w:jc w:val="left"/>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1.信访举报投诉类申请</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98"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31"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09"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64"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33"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5"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818" w:type="dxa"/>
            <w:vMerge w:val="continue"/>
            <w:vAlign w:val="center"/>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2662" w:type="dxa"/>
            <w:vAlign w:val="center"/>
          </w:tcPr>
          <w:p>
            <w:pPr>
              <w:widowControl/>
              <w:spacing w:line="12" w:lineRule="atLeast"/>
              <w:jc w:val="left"/>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2.重复申请</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98"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31"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09"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64"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33"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55"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818" w:type="dxa"/>
            <w:vMerge w:val="continue"/>
            <w:vAlign w:val="center"/>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2662" w:type="dxa"/>
            <w:vAlign w:val="center"/>
          </w:tcPr>
          <w:p>
            <w:pPr>
              <w:widowControl/>
              <w:spacing w:line="12" w:lineRule="atLeast"/>
              <w:jc w:val="left"/>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3.要求提供公开出版物</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98"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31"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09"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64"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33"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55"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818" w:type="dxa"/>
            <w:vMerge w:val="continue"/>
            <w:vAlign w:val="center"/>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2662" w:type="dxa"/>
            <w:vAlign w:val="center"/>
          </w:tcPr>
          <w:p>
            <w:pPr>
              <w:widowControl/>
              <w:spacing w:line="12" w:lineRule="atLeast"/>
              <w:jc w:val="left"/>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4.无正当理由大量反复申请</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98"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31"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09"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64"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33"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818" w:type="dxa"/>
            <w:vMerge w:val="continue"/>
            <w:vAlign w:val="center"/>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2662" w:type="dxa"/>
            <w:vAlign w:val="center"/>
          </w:tcPr>
          <w:p>
            <w:pPr>
              <w:widowControl/>
              <w:spacing w:line="12" w:lineRule="atLeast"/>
              <w:jc w:val="left"/>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5.要求行政机关确认或重新出具已获取信息</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98"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31"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09"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64"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33"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818" w:type="dxa"/>
            <w:vMerge w:val="restart"/>
            <w:vAlign w:val="center"/>
          </w:tcPr>
          <w:p>
            <w:pP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（六）其他处理</w:t>
            </w:r>
          </w:p>
        </w:tc>
        <w:tc>
          <w:tcPr>
            <w:tcW w:w="2662" w:type="dxa"/>
            <w:vAlign w:val="center"/>
          </w:tcPr>
          <w:p>
            <w:pPr>
              <w:widowControl/>
              <w:spacing w:line="12" w:lineRule="atLeast"/>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1.申请人无正当理由逾期不补正、行政机关不再处理其政府信息公开申请</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98"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31"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09"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64"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33"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818"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2662" w:type="dxa"/>
            <w:vAlign w:val="center"/>
          </w:tcPr>
          <w:p>
            <w:pPr>
              <w:widowControl/>
              <w:spacing w:line="12" w:lineRule="atLeast"/>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2.申请人逾期未按收费通知要求缴纳费用、行政机关不再处理其政府信息公开申请</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98"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31"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09"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64"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33"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55"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818"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2662" w:type="dxa"/>
            <w:vAlign w:val="center"/>
          </w:tcPr>
          <w:p>
            <w:pPr>
              <w:widowControl/>
              <w:spacing w:line="12" w:lineRule="atLeast"/>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3.其他</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98"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31"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09"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64"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33"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55" w:type="dxa"/>
            <w:vMerge w:val="continue"/>
          </w:tcPr>
          <w:p>
            <w:pPr>
              <w:rPr>
                <w:rFonts w:ascii="Times New Roman" w:hAnsi="Times New Roman" w:eastAsia="宋体" w:cs="Times New Roman"/>
                <w:b/>
                <w:bCs/>
                <w:color w:val="000000" w:themeColor="text1"/>
                <w:kern w:val="0"/>
                <w:sz w:val="24"/>
                <w:szCs w:val="24"/>
                <w14:textFill>
                  <w14:solidFill>
                    <w14:schemeClr w14:val="tx1"/>
                  </w14:solidFill>
                </w14:textFill>
              </w:rPr>
            </w:pPr>
          </w:p>
        </w:tc>
        <w:tc>
          <w:tcPr>
            <w:tcW w:w="3480" w:type="dxa"/>
            <w:gridSpan w:val="2"/>
            <w:vAlign w:val="center"/>
          </w:tcPr>
          <w:p>
            <w:pP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（七）总计</w:t>
            </w:r>
          </w:p>
        </w:tc>
        <w:tc>
          <w:tcPr>
            <w:tcW w:w="687" w:type="dxa"/>
          </w:tcPr>
          <w:p>
            <w:pPr>
              <w:jc w:val="center"/>
              <w:rPr>
                <w:rFonts w:hint="eastAsia" w:ascii="Times New Roman" w:hAnsi="Times New Roman" w:eastAsia="宋体" w:cs="Times New Roman"/>
                <w:b/>
                <w:bCs/>
                <w:color w:val="000000" w:themeColor="text1"/>
                <w:kern w:val="0"/>
                <w:sz w:val="24"/>
                <w:szCs w:val="24"/>
                <w:lang w:eastAsia="zh-CN"/>
                <w14:textFill>
                  <w14:solidFill>
                    <w14:schemeClr w14:val="tx1"/>
                  </w14:solidFill>
                </w14:textFill>
              </w:rPr>
            </w:pPr>
            <w:r>
              <w:rPr>
                <w:rFonts w:hint="eastAsia" w:ascii="Times New Roman" w:hAnsi="Times New Roman" w:eastAsia="宋体" w:cs="Times New Roman"/>
                <w:b/>
                <w:bCs/>
                <w:color w:val="000000" w:themeColor="text1"/>
                <w:kern w:val="0"/>
                <w:sz w:val="24"/>
                <w:szCs w:val="24"/>
                <w:lang w:val="en-US" w:eastAsia="zh-CN"/>
                <w14:textFill>
                  <w14:solidFill>
                    <w14:schemeClr w14:val="tx1"/>
                  </w14:solidFill>
                </w14:textFill>
              </w:rPr>
              <w:t>1</w:t>
            </w:r>
          </w:p>
        </w:tc>
        <w:tc>
          <w:tcPr>
            <w:tcW w:w="698"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31"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09"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64"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33" w:type="dxa"/>
          </w:tcPr>
          <w:p>
            <w:pPr>
              <w:jc w:val="center"/>
              <w:rPr>
                <w:rFonts w:hint="eastAsia" w:ascii="Times New Roman" w:hAnsi="Times New Roman" w:eastAsia="宋体" w:cs="Times New Roman"/>
                <w:b/>
                <w:bCs/>
                <w:color w:val="000000" w:themeColor="text1"/>
                <w:kern w:val="0"/>
                <w:sz w:val="24"/>
                <w:szCs w:val="24"/>
                <w:lang w:eastAsia="zh-CN"/>
                <w14:textFill>
                  <w14:solidFill>
                    <w14:schemeClr w14:val="tx1"/>
                  </w14:solidFill>
                </w14:textFill>
              </w:rPr>
            </w:pPr>
            <w:r>
              <w:rPr>
                <w:rFonts w:hint="eastAsia" w:ascii="Times New Roman" w:hAnsi="Times New Roman" w:eastAsia="宋体" w:cs="Times New Roman"/>
                <w:b/>
                <w:bCs/>
                <w:color w:val="000000" w:themeColor="text1"/>
                <w:kern w:val="0"/>
                <w:sz w:val="24"/>
                <w:szCs w:val="24"/>
                <w:lang w:val="en-US" w:eastAsia="zh-CN"/>
                <w14:textFill>
                  <w14:solidFill>
                    <w14:schemeClr w14:val="tx1"/>
                  </w14:solidFill>
                </w14:textFill>
              </w:rPr>
              <w:t>1</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135" w:type="dxa"/>
            <w:gridSpan w:val="3"/>
            <w:vAlign w:val="center"/>
          </w:tcPr>
          <w:p>
            <w:pP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四、结转下年度继续办理</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98"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31"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09"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764"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87"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c>
          <w:tcPr>
            <w:tcW w:w="633" w:type="dxa"/>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0</w:t>
            </w:r>
          </w:p>
        </w:tc>
      </w:tr>
    </w:tbl>
    <w:p>
      <w:pPr>
        <w:ind w:left="482"/>
        <w:rPr>
          <w:rFonts w:ascii="宋体" w:hAnsi="宋体" w:eastAsia="宋体" w:cs="Times New Roman"/>
          <w:b/>
          <w:bCs/>
          <w:color w:val="000000" w:themeColor="text1"/>
          <w:sz w:val="24"/>
          <w:szCs w:val="24"/>
          <w14:textFill>
            <w14:solidFill>
              <w14:schemeClr w14:val="tx1"/>
            </w14:solidFill>
          </w14:textFill>
        </w:rPr>
      </w:pPr>
      <w:r>
        <w:rPr>
          <w:rFonts w:ascii="宋体" w:hAnsi="宋体" w:eastAsia="宋体" w:cs="Times New Roman"/>
          <w:b/>
          <w:bCs/>
          <w:color w:val="000000" w:themeColor="text1"/>
          <w:sz w:val="24"/>
          <w:szCs w:val="24"/>
          <w14:textFill>
            <w14:solidFill>
              <w14:schemeClr w14:val="tx1"/>
            </w14:solidFill>
          </w14:textFill>
        </w:rPr>
        <w:t>四、政府信息公开行政复议、行政诉讼情况</w:t>
      </w:r>
    </w:p>
    <w:tbl>
      <w:tblPr>
        <w:tblStyle w:val="4"/>
        <w:tblW w:w="9071" w:type="dxa"/>
        <w:jc w:val="center"/>
        <w:tblLayout w:type="autofit"/>
        <w:tblCellMar>
          <w:top w:w="0" w:type="dxa"/>
          <w:left w:w="0" w:type="dxa"/>
          <w:bottom w:w="0" w:type="dxa"/>
          <w:right w:w="0" w:type="dxa"/>
        </w:tblCellMar>
      </w:tblPr>
      <w:tblGrid>
        <w:gridCol w:w="599"/>
        <w:gridCol w:w="599"/>
        <w:gridCol w:w="599"/>
        <w:gridCol w:w="606"/>
        <w:gridCol w:w="600"/>
        <w:gridCol w:w="629"/>
        <w:gridCol w:w="600"/>
        <w:gridCol w:w="600"/>
        <w:gridCol w:w="618"/>
        <w:gridCol w:w="600"/>
        <w:gridCol w:w="600"/>
        <w:gridCol w:w="600"/>
        <w:gridCol w:w="607"/>
        <w:gridCol w:w="600"/>
        <w:gridCol w:w="614"/>
      </w:tblGrid>
      <w:tr>
        <w:trPr>
          <w:jc w:val="center"/>
        </w:trPr>
        <w:tc>
          <w:tcPr>
            <w:tcW w:w="302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行政复议</w:t>
            </w:r>
          </w:p>
        </w:tc>
        <w:tc>
          <w:tcPr>
            <w:tcW w:w="604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行政诉讼</w:t>
            </w:r>
          </w:p>
        </w:tc>
      </w:tr>
      <w:tr>
        <w:tblPrEx>
          <w:tblCellMar>
            <w:top w:w="0" w:type="dxa"/>
            <w:left w:w="0" w:type="dxa"/>
            <w:bottom w:w="0" w:type="dxa"/>
            <w:right w:w="0" w:type="dxa"/>
          </w:tblCellMar>
        </w:tblPrEx>
        <w:trPr>
          <w:jc w:val="center"/>
        </w:trPr>
        <w:tc>
          <w:tcPr>
            <w:tcW w:w="60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结果维持</w:t>
            </w:r>
          </w:p>
        </w:tc>
        <w:tc>
          <w:tcPr>
            <w:tcW w:w="59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其他结果</w:t>
            </w:r>
          </w:p>
        </w:tc>
        <w:tc>
          <w:tcPr>
            <w:tcW w:w="61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尚未审结</w:t>
            </w:r>
          </w:p>
        </w:tc>
        <w:tc>
          <w:tcPr>
            <w:tcW w:w="607"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总计</w:t>
            </w:r>
          </w:p>
        </w:tc>
        <w:tc>
          <w:tcPr>
            <w:tcW w:w="3042"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未经复议直接起诉</w:t>
            </w:r>
          </w:p>
        </w:tc>
        <w:tc>
          <w:tcPr>
            <w:tcW w:w="300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复议后起诉</w:t>
            </w:r>
          </w:p>
        </w:tc>
      </w:tr>
      <w:tr>
        <w:tblPrEx>
          <w:tblCellMar>
            <w:top w:w="0" w:type="dxa"/>
            <w:left w:w="0" w:type="dxa"/>
            <w:bottom w:w="0" w:type="dxa"/>
            <w:right w:w="0" w:type="dxa"/>
          </w:tblCellMar>
        </w:tblPrEx>
        <w:trPr>
          <w:jc w:val="center"/>
        </w:trPr>
        <w:tc>
          <w:tcPr>
            <w:tcW w:w="665"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592"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615"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548"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结果维持</w:t>
            </w:r>
          </w:p>
        </w:tc>
        <w:tc>
          <w:tcPr>
            <w:tcW w:w="5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结果纠正</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其他结果</w:t>
            </w:r>
          </w:p>
        </w:tc>
        <w:tc>
          <w:tcPr>
            <w:tcW w:w="6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尚未审结</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总计</w:t>
            </w:r>
          </w:p>
        </w:tc>
        <w:tc>
          <w:tcPr>
            <w:tcW w:w="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结果维持</w:t>
            </w:r>
          </w:p>
        </w:tc>
        <w:tc>
          <w:tcPr>
            <w:tcW w:w="6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结果纠正</w:t>
            </w:r>
          </w:p>
        </w:tc>
        <w:tc>
          <w:tcPr>
            <w:tcW w:w="6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其他结果</w:t>
            </w:r>
          </w:p>
        </w:tc>
        <w:tc>
          <w:tcPr>
            <w:tcW w:w="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尚未审结</w:t>
            </w:r>
          </w:p>
        </w:tc>
        <w:tc>
          <w:tcPr>
            <w:tcW w:w="6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总计</w:t>
            </w:r>
          </w:p>
        </w:tc>
      </w:tr>
      <w:tr>
        <w:tblPrEx>
          <w:tblCellMar>
            <w:top w:w="0" w:type="dxa"/>
            <w:left w:w="0" w:type="dxa"/>
            <w:bottom w:w="0" w:type="dxa"/>
            <w:right w:w="0" w:type="dxa"/>
          </w:tblCellMar>
        </w:tblPrEx>
        <w:trPr>
          <w:trHeight w:val="697" w:hRule="atLeast"/>
          <w:jc w:val="center"/>
        </w:trPr>
        <w:tc>
          <w:tcPr>
            <w:tcW w:w="6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0</w:t>
            </w:r>
          </w:p>
        </w:tc>
      </w:tr>
    </w:tbl>
    <w:p>
      <w:pPr>
        <w:ind w:firstLine="482" w:firstLineChars="200"/>
        <w:rPr>
          <w:rFonts w:ascii="宋体" w:hAnsi="宋体" w:eastAsia="宋体" w:cs="Times New Roman"/>
          <w:b/>
          <w:bCs/>
          <w:color w:val="000000" w:themeColor="text1"/>
          <w:sz w:val="24"/>
          <w:szCs w:val="24"/>
          <w14:textFill>
            <w14:solidFill>
              <w14:schemeClr w14:val="tx1"/>
            </w14:solidFill>
          </w14:textFill>
        </w:rPr>
      </w:pPr>
      <w:r>
        <w:rPr>
          <w:rFonts w:ascii="宋体" w:hAnsi="宋体" w:eastAsia="宋体" w:cs="Times New Roman"/>
          <w:b/>
          <w:bCs/>
          <w:color w:val="000000" w:themeColor="text1"/>
          <w:sz w:val="24"/>
          <w:szCs w:val="24"/>
          <w14:textFill>
            <w14:solidFill>
              <w14:schemeClr w14:val="tx1"/>
            </w14:solidFill>
          </w14:textFill>
        </w:rPr>
        <w:t>五、存在的主要问题及改进情况</w:t>
      </w:r>
    </w:p>
    <w:p>
      <w:pPr>
        <w:ind w:firstLine="480" w:firstLineChars="200"/>
        <w:rPr>
          <w:rFonts w:ascii="Times New Roman" w:hAnsi="Times New Roman" w:eastAsia="黑体" w:cs="Times New Roman"/>
          <w:b w:val="0"/>
          <w:bCs/>
          <w:color w:val="000000" w:themeColor="text1"/>
          <w:sz w:val="24"/>
          <w:szCs w:val="24"/>
          <w14:textFill>
            <w14:solidFill>
              <w14:schemeClr w14:val="tx1"/>
            </w14:solidFill>
          </w14:textFill>
        </w:rPr>
      </w:pPr>
      <w:r>
        <w:rPr>
          <w:rFonts w:ascii="Times New Roman" w:hAnsi="Times New Roman" w:eastAsia="楷体" w:cs="Times New Roman"/>
          <w:b w:val="0"/>
          <w:bCs/>
          <w:color w:val="000000" w:themeColor="text1"/>
          <w:kern w:val="0"/>
          <w:sz w:val="24"/>
          <w:szCs w:val="24"/>
          <w14:textFill>
            <w14:solidFill>
              <w14:schemeClr w14:val="tx1"/>
            </w14:solidFill>
          </w14:textFill>
        </w:rPr>
        <w:t>（一）存在的主要问题</w:t>
      </w:r>
    </w:p>
    <w:p>
      <w:pPr>
        <w:widowControl/>
        <w:shd w:val="clear" w:color="auto" w:fill="FFFFFF"/>
        <w:spacing w:line="379" w:lineRule="atLeast"/>
        <w:ind w:firstLine="480"/>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一是在公开质量、公开形式、公开内容等方面还需进一步加强，媒介手段运用不够；二是业务培训不够专业，专题研究不够深入；三是公开意识和自觉性有待提升，主动公开的深度和广度需要进一步加强，依法公开能力仍需提升。</w:t>
      </w:r>
    </w:p>
    <w:p>
      <w:pPr>
        <w:widowControl/>
        <w:shd w:val="clear" w:color="auto" w:fill="FFFFFF"/>
        <w:spacing w:line="379" w:lineRule="atLeast"/>
        <w:ind w:firstLine="480"/>
        <w:jc w:val="left"/>
        <w:rPr>
          <w:rFonts w:ascii="Times New Roman" w:hAnsi="Times New Roman" w:eastAsia="宋体" w:cs="Times New Roman"/>
          <w:b w:val="0"/>
          <w:bCs/>
          <w:color w:val="000000" w:themeColor="text1"/>
          <w:kern w:val="0"/>
          <w:sz w:val="24"/>
          <w:szCs w:val="24"/>
          <w14:textFill>
            <w14:solidFill>
              <w14:schemeClr w14:val="tx1"/>
            </w14:solidFill>
          </w14:textFill>
        </w:rPr>
      </w:pPr>
      <w:r>
        <w:rPr>
          <w:rFonts w:ascii="Times New Roman" w:hAnsi="Times New Roman" w:eastAsia="楷体" w:cs="Times New Roman"/>
          <w:b w:val="0"/>
          <w:bCs/>
          <w:color w:val="000000" w:themeColor="text1"/>
          <w:kern w:val="0"/>
          <w:sz w:val="24"/>
          <w:szCs w:val="24"/>
          <w14:textFill>
            <w14:solidFill>
              <w14:schemeClr w14:val="tx1"/>
            </w14:solidFill>
          </w14:textFill>
        </w:rPr>
        <w:t>（二）改进措施</w:t>
      </w:r>
    </w:p>
    <w:p>
      <w:pPr>
        <w:widowControl/>
        <w:shd w:val="clear" w:color="auto" w:fill="FFFFFF"/>
        <w:spacing w:line="379" w:lineRule="atLeast"/>
        <w:ind w:firstLine="480"/>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一是提高工作站位。牢记“全心全意为人民服务”的宗旨，提高主动公开意识，确保思想认识到位、工作人员到位、工作措施到位，切实保障人民群众知情权、参与权、表达权和监督权。</w:t>
      </w:r>
    </w:p>
    <w:p>
      <w:pPr>
        <w:widowControl/>
        <w:shd w:val="clear" w:color="auto" w:fill="FFFFFF"/>
        <w:spacing w:line="379" w:lineRule="atLeast"/>
        <w:ind w:firstLine="480"/>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二是加强信息公开。重点围绕群众需求，加强主动公开力度，持续关注回应社会热点问题。积极创新公开形式，进一步拓宽政府信息公开渠道，充分利用网络、电视、报刊等多种手段进行信息公开。</w:t>
      </w:r>
    </w:p>
    <w:p>
      <w:pPr>
        <w:widowControl/>
        <w:shd w:val="clear" w:color="auto" w:fill="FFFFFF"/>
        <w:spacing w:line="379" w:lineRule="atLeast"/>
        <w:ind w:firstLine="480"/>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三是加大信息公开培训力度。深入学习《中华人民共和国政府信息公开条例》和省、市有关规定，提高工作人员对政策的认识、理解和把握，补齐工作短板，进一步提高工作技能和服务水平。</w:t>
      </w:r>
    </w:p>
    <w:p>
      <w:pPr>
        <w:widowControl/>
        <w:shd w:val="clear" w:color="auto" w:fill="FFFFFF"/>
        <w:spacing w:line="379" w:lineRule="atLeast"/>
        <w:ind w:firstLine="480"/>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四是全方位提升信息公开能力。深入做好《条例》的贯彻落实，细化《条例》主体适用，严格落实依申请公开规范办理机制和工作要求。进一步规范主动公开流程，健全舆情的监测、研判、回应机制，落实回应责任。</w:t>
      </w:r>
    </w:p>
    <w:p>
      <w:pPr>
        <w:widowControl/>
        <w:shd w:val="clear" w:color="auto" w:fill="FFFFFF"/>
        <w:spacing w:line="379" w:lineRule="atLeast"/>
        <w:ind w:firstLine="480"/>
        <w:jc w:val="left"/>
        <w:rPr>
          <w:rFonts w:ascii="宋体" w:hAnsi="宋体" w:eastAsia="宋体" w:cs="Times New Roman"/>
          <w:b/>
          <w:color w:val="000000" w:themeColor="text1"/>
          <w:kern w:val="0"/>
          <w:sz w:val="24"/>
          <w:szCs w:val="24"/>
          <w14:textFill>
            <w14:solidFill>
              <w14:schemeClr w14:val="tx1"/>
            </w14:solidFill>
          </w14:textFill>
        </w:rPr>
      </w:pPr>
      <w:r>
        <w:rPr>
          <w:rFonts w:ascii="宋体" w:hAnsi="宋体" w:eastAsia="宋体" w:cs="Times New Roman"/>
          <w:b/>
          <w:bCs/>
          <w:color w:val="000000" w:themeColor="text1"/>
          <w:sz w:val="24"/>
          <w:szCs w:val="24"/>
          <w14:textFill>
            <w14:solidFill>
              <w14:schemeClr w14:val="tx1"/>
            </w14:solidFill>
          </w14:textFill>
        </w:rPr>
        <w:t>六、其他需要报告的事项</w:t>
      </w:r>
    </w:p>
    <w:p>
      <w:pPr>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514360"/>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51"/>
    <w:rsid w:val="00011842"/>
    <w:rsid w:val="000214A4"/>
    <w:rsid w:val="00021AE6"/>
    <w:rsid w:val="000C3B7A"/>
    <w:rsid w:val="000C72CD"/>
    <w:rsid w:val="000E2597"/>
    <w:rsid w:val="000E2F53"/>
    <w:rsid w:val="00105FB9"/>
    <w:rsid w:val="00126B14"/>
    <w:rsid w:val="00134186"/>
    <w:rsid w:val="001C2047"/>
    <w:rsid w:val="001D7DC3"/>
    <w:rsid w:val="001E7F02"/>
    <w:rsid w:val="002218DB"/>
    <w:rsid w:val="00262EAF"/>
    <w:rsid w:val="002A4504"/>
    <w:rsid w:val="002B2EF7"/>
    <w:rsid w:val="002C72D7"/>
    <w:rsid w:val="002E04C0"/>
    <w:rsid w:val="002E7358"/>
    <w:rsid w:val="002F031E"/>
    <w:rsid w:val="002F45DE"/>
    <w:rsid w:val="00311729"/>
    <w:rsid w:val="00314A62"/>
    <w:rsid w:val="00324AD4"/>
    <w:rsid w:val="00324FC4"/>
    <w:rsid w:val="00334416"/>
    <w:rsid w:val="00350F0D"/>
    <w:rsid w:val="00353A9C"/>
    <w:rsid w:val="00361B49"/>
    <w:rsid w:val="0039554E"/>
    <w:rsid w:val="003A1FD8"/>
    <w:rsid w:val="003A5411"/>
    <w:rsid w:val="003B473E"/>
    <w:rsid w:val="00414977"/>
    <w:rsid w:val="00423402"/>
    <w:rsid w:val="00492789"/>
    <w:rsid w:val="00494211"/>
    <w:rsid w:val="004A64DF"/>
    <w:rsid w:val="004D5BCB"/>
    <w:rsid w:val="004E0763"/>
    <w:rsid w:val="004E1759"/>
    <w:rsid w:val="004E4679"/>
    <w:rsid w:val="004F34C7"/>
    <w:rsid w:val="00504899"/>
    <w:rsid w:val="005070D8"/>
    <w:rsid w:val="00520F9C"/>
    <w:rsid w:val="005242C1"/>
    <w:rsid w:val="00524A46"/>
    <w:rsid w:val="00547FD6"/>
    <w:rsid w:val="005745DD"/>
    <w:rsid w:val="00583563"/>
    <w:rsid w:val="00593937"/>
    <w:rsid w:val="005975F3"/>
    <w:rsid w:val="005A6F26"/>
    <w:rsid w:val="005C61B8"/>
    <w:rsid w:val="005D3CDB"/>
    <w:rsid w:val="005D6448"/>
    <w:rsid w:val="005F0A0A"/>
    <w:rsid w:val="005F452D"/>
    <w:rsid w:val="00625ABC"/>
    <w:rsid w:val="00625F6B"/>
    <w:rsid w:val="00647893"/>
    <w:rsid w:val="00653317"/>
    <w:rsid w:val="00660FC1"/>
    <w:rsid w:val="006843D9"/>
    <w:rsid w:val="00686781"/>
    <w:rsid w:val="00690D7A"/>
    <w:rsid w:val="006B73ED"/>
    <w:rsid w:val="006F79A5"/>
    <w:rsid w:val="0071698C"/>
    <w:rsid w:val="00737CC3"/>
    <w:rsid w:val="00743951"/>
    <w:rsid w:val="0077217E"/>
    <w:rsid w:val="00781F27"/>
    <w:rsid w:val="00787DBF"/>
    <w:rsid w:val="007B4845"/>
    <w:rsid w:val="00804E46"/>
    <w:rsid w:val="008115CF"/>
    <w:rsid w:val="008157D6"/>
    <w:rsid w:val="00817CEE"/>
    <w:rsid w:val="00842FEE"/>
    <w:rsid w:val="00850324"/>
    <w:rsid w:val="00863B46"/>
    <w:rsid w:val="00882337"/>
    <w:rsid w:val="008A7AFC"/>
    <w:rsid w:val="008D6B51"/>
    <w:rsid w:val="008F0381"/>
    <w:rsid w:val="008F318B"/>
    <w:rsid w:val="008F349A"/>
    <w:rsid w:val="008F4EC0"/>
    <w:rsid w:val="008F749F"/>
    <w:rsid w:val="0095171E"/>
    <w:rsid w:val="00974183"/>
    <w:rsid w:val="0098649D"/>
    <w:rsid w:val="009F7040"/>
    <w:rsid w:val="009F77BA"/>
    <w:rsid w:val="00A05354"/>
    <w:rsid w:val="00A13E1E"/>
    <w:rsid w:val="00A412EB"/>
    <w:rsid w:val="00A43711"/>
    <w:rsid w:val="00A914CC"/>
    <w:rsid w:val="00AA0A42"/>
    <w:rsid w:val="00AA38A0"/>
    <w:rsid w:val="00AE5824"/>
    <w:rsid w:val="00AF1BAF"/>
    <w:rsid w:val="00B26252"/>
    <w:rsid w:val="00B34CD0"/>
    <w:rsid w:val="00B54429"/>
    <w:rsid w:val="00B804BD"/>
    <w:rsid w:val="00BA6AE3"/>
    <w:rsid w:val="00BC4835"/>
    <w:rsid w:val="00BD2D6F"/>
    <w:rsid w:val="00BD4D40"/>
    <w:rsid w:val="00C44CC7"/>
    <w:rsid w:val="00C54F69"/>
    <w:rsid w:val="00C84DB5"/>
    <w:rsid w:val="00C930F2"/>
    <w:rsid w:val="00CB5A41"/>
    <w:rsid w:val="00D05E42"/>
    <w:rsid w:val="00D127BF"/>
    <w:rsid w:val="00D3095D"/>
    <w:rsid w:val="00D530CF"/>
    <w:rsid w:val="00D54139"/>
    <w:rsid w:val="00DC1FFE"/>
    <w:rsid w:val="00DC30BE"/>
    <w:rsid w:val="00DE7B04"/>
    <w:rsid w:val="00DF3916"/>
    <w:rsid w:val="00E259B6"/>
    <w:rsid w:val="00E365E1"/>
    <w:rsid w:val="00EB3122"/>
    <w:rsid w:val="00EC6BC2"/>
    <w:rsid w:val="00ED6AA1"/>
    <w:rsid w:val="00F40769"/>
    <w:rsid w:val="00F56772"/>
    <w:rsid w:val="00F7577B"/>
    <w:rsid w:val="00F932C6"/>
    <w:rsid w:val="00F967B0"/>
    <w:rsid w:val="00FB017E"/>
    <w:rsid w:val="00FB6222"/>
    <w:rsid w:val="00FE4557"/>
    <w:rsid w:val="00FE4F6D"/>
    <w:rsid w:val="17B0304B"/>
    <w:rsid w:val="1F6E419B"/>
    <w:rsid w:val="267F4669"/>
    <w:rsid w:val="47F600C2"/>
    <w:rsid w:val="553C640D"/>
    <w:rsid w:val="5E765DF7"/>
    <w:rsid w:val="79A90F48"/>
    <w:rsid w:val="79D21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476</Words>
  <Characters>2718</Characters>
  <Lines>22</Lines>
  <Paragraphs>6</Paragraphs>
  <TotalTime>268</TotalTime>
  <ScaleCrop>false</ScaleCrop>
  <LinksUpToDate>false</LinksUpToDate>
  <CharactersWithSpaces>3188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2022-01-12T01:11:00Z</dcterms:created>
  <dc:creator>XiaoFeixia</dc:creator>
  <cp:lastModifiedBy>铀秸桶骄铣</cp:lastModifiedBy>
  <dcterms:modified xsi:type="dcterms:W3CDTF">2022-01-20T03:03:42Z</dcterms:modified>
  <cp:revision>337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69F12E8FB8834F1891BDC9977EFD9450</vt:lpwstr>
  </property>
</Properties>
</file>