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04244">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方正小标宋简体" w:hAnsi="方正小标宋简体" w:eastAsia="方正小标宋简体" w:cs="方正小标宋简体"/>
          <w:sz w:val="44"/>
          <w:szCs w:val="44"/>
          <w:lang w:eastAsia="zh-CN"/>
        </w:rPr>
      </w:pPr>
    </w:p>
    <w:p w14:paraId="5BC484E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方正小标宋简体" w:hAnsi="方正小标宋简体" w:eastAsia="方正小标宋简体" w:cs="方正小标宋简体"/>
          <w:sz w:val="44"/>
          <w:szCs w:val="44"/>
          <w:lang w:eastAsia="zh-CN"/>
        </w:rPr>
      </w:pPr>
    </w:p>
    <w:p w14:paraId="3D2968DB">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r>
        <w:rPr>
          <w:rFonts w:hint="eastAsia" w:ascii="方正小标宋简体" w:hAnsi="方正小标宋简体" w:eastAsia="方正小标宋简体" w:cs="方正小标宋简体"/>
          <w:b w:val="0"/>
          <w:bCs/>
          <w:color w:val="000000"/>
          <w:sz w:val="44"/>
          <w:szCs w:val="44"/>
          <w:highlight w:val="none"/>
          <w:lang w:eastAsia="zh-CN"/>
        </w:rPr>
        <w:t>中韩（长春）国际合作示范区国际文教</w:t>
      </w:r>
    </w:p>
    <w:p w14:paraId="40539174">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r>
        <w:rPr>
          <w:rFonts w:hint="eastAsia" w:ascii="方正小标宋简体" w:hAnsi="方正小标宋简体" w:eastAsia="方正小标宋简体" w:cs="方正小标宋简体"/>
          <w:b w:val="0"/>
          <w:bCs/>
          <w:color w:val="000000"/>
          <w:sz w:val="44"/>
          <w:szCs w:val="44"/>
          <w:highlight w:val="none"/>
          <w:lang w:eastAsia="zh-CN"/>
        </w:rPr>
        <w:t>科技产业园项目</w:t>
      </w:r>
      <w:bookmarkStart w:id="0" w:name="_Toc7013"/>
      <w:bookmarkStart w:id="1" w:name="_Toc28113"/>
      <w:bookmarkStart w:id="2" w:name="_Toc31782"/>
      <w:bookmarkStart w:id="3" w:name="_Toc23758"/>
      <w:bookmarkStart w:id="4" w:name="_Toc9664"/>
      <w:bookmarkStart w:id="5" w:name="_Toc20477"/>
      <w:bookmarkStart w:id="6" w:name="_Toc7413"/>
      <w:bookmarkStart w:id="7" w:name="_Toc14741"/>
      <w:bookmarkStart w:id="8" w:name="_Toc10920"/>
      <w:bookmarkStart w:id="9" w:name="_Toc32127"/>
      <w:bookmarkStart w:id="10" w:name="_Toc25055"/>
      <w:bookmarkStart w:id="11" w:name="_Toc14543"/>
      <w:r>
        <w:rPr>
          <w:rFonts w:hint="eastAsia" w:ascii="方正小标宋简体" w:hAnsi="方正小标宋简体" w:eastAsia="方正小标宋简体" w:cs="方正小标宋简体"/>
          <w:b w:val="0"/>
          <w:bCs/>
          <w:color w:val="000000"/>
          <w:sz w:val="44"/>
          <w:szCs w:val="44"/>
          <w:highlight w:val="none"/>
          <w:lang w:eastAsia="zh-CN"/>
        </w:rPr>
        <w:t>专项债券项目绩效评价报告</w:t>
      </w:r>
      <w:bookmarkEnd w:id="0"/>
      <w:bookmarkEnd w:id="1"/>
      <w:bookmarkEnd w:id="2"/>
      <w:bookmarkEnd w:id="3"/>
      <w:bookmarkEnd w:id="4"/>
      <w:bookmarkEnd w:id="5"/>
      <w:bookmarkEnd w:id="6"/>
      <w:bookmarkEnd w:id="7"/>
      <w:bookmarkEnd w:id="8"/>
      <w:bookmarkEnd w:id="9"/>
      <w:bookmarkEnd w:id="10"/>
      <w:bookmarkEnd w:id="11"/>
    </w:p>
    <w:p w14:paraId="6B096FD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27A97A0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4D709478">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default" w:ascii="Times New Roman" w:hAnsi="Times New Roman" w:eastAsia="宋体" w:cs="Times New Roman"/>
          <w:b/>
          <w:bCs w:val="0"/>
          <w:color w:val="000000"/>
          <w:sz w:val="28"/>
          <w:szCs w:val="28"/>
          <w:highlight w:val="none"/>
          <w:lang w:val="en-US" w:eastAsia="zh-CN"/>
        </w:rPr>
      </w:pPr>
      <w:bookmarkStart w:id="12" w:name="_Toc17500"/>
      <w:bookmarkStart w:id="13" w:name="_Toc6114"/>
      <w:bookmarkStart w:id="14" w:name="_Toc5614"/>
      <w:bookmarkStart w:id="15" w:name="_Toc20749"/>
      <w:bookmarkStart w:id="16" w:name="_Toc25810"/>
      <w:bookmarkStart w:id="17" w:name="_Toc1344"/>
      <w:bookmarkStart w:id="18" w:name="_Toc26105"/>
      <w:bookmarkStart w:id="19" w:name="_Toc27051"/>
      <w:r>
        <w:rPr>
          <w:rFonts w:hint="eastAsia" w:ascii="方正小标宋简体" w:hAnsi="方正小标宋简体" w:eastAsia="方正小标宋简体" w:cs="方正小标宋简体"/>
          <w:b w:val="0"/>
          <w:bCs/>
          <w:color w:val="000000"/>
          <w:sz w:val="28"/>
          <w:szCs w:val="28"/>
          <w:highlight w:val="none"/>
          <w:lang w:eastAsia="zh-CN"/>
        </w:rPr>
        <w:t>项目编号：</w:t>
      </w:r>
      <w:bookmarkEnd w:id="12"/>
      <w:bookmarkEnd w:id="13"/>
      <w:bookmarkEnd w:id="14"/>
      <w:bookmarkEnd w:id="15"/>
      <w:r>
        <w:rPr>
          <w:rFonts w:hint="default" w:ascii="Times New Roman" w:hAnsi="Times New Roman" w:eastAsia="方正小标宋简体" w:cs="Times New Roman"/>
          <w:b/>
          <w:bCs w:val="0"/>
          <w:color w:val="000000"/>
          <w:sz w:val="28"/>
          <w:szCs w:val="28"/>
          <w:highlight w:val="none"/>
          <w:lang w:eastAsia="zh-CN"/>
        </w:rPr>
        <w:t>JXPJ-XM-202</w:t>
      </w:r>
      <w:bookmarkEnd w:id="16"/>
      <w:bookmarkEnd w:id="17"/>
      <w:r>
        <w:rPr>
          <w:rFonts w:hint="eastAsia" w:ascii="Times New Roman" w:hAnsi="Times New Roman" w:eastAsia="方正小标宋简体" w:cs="Times New Roman"/>
          <w:b/>
          <w:bCs w:val="0"/>
          <w:color w:val="000000"/>
          <w:sz w:val="28"/>
          <w:szCs w:val="28"/>
          <w:highlight w:val="none"/>
          <w:lang w:val="en-US" w:eastAsia="zh-CN"/>
        </w:rPr>
        <w:t>5</w:t>
      </w:r>
      <w:r>
        <w:rPr>
          <w:rFonts w:hint="default" w:ascii="Times New Roman" w:hAnsi="Times New Roman" w:eastAsia="方正小标宋简体" w:cs="Times New Roman"/>
          <w:b/>
          <w:bCs w:val="0"/>
          <w:color w:val="000000"/>
          <w:sz w:val="28"/>
          <w:szCs w:val="28"/>
          <w:highlight w:val="none"/>
          <w:lang w:val="en-US" w:eastAsia="zh-CN"/>
        </w:rPr>
        <w:t>0</w:t>
      </w:r>
      <w:bookmarkEnd w:id="18"/>
      <w:bookmarkEnd w:id="19"/>
      <w:r>
        <w:rPr>
          <w:rFonts w:hint="eastAsia" w:ascii="Times New Roman" w:hAnsi="Times New Roman" w:eastAsia="方正小标宋简体" w:cs="Times New Roman"/>
          <w:b/>
          <w:bCs w:val="0"/>
          <w:color w:val="000000"/>
          <w:sz w:val="28"/>
          <w:szCs w:val="28"/>
          <w:highlight w:val="none"/>
          <w:lang w:val="en-US" w:eastAsia="zh-CN"/>
        </w:rPr>
        <w:t>92</w:t>
      </w:r>
    </w:p>
    <w:p w14:paraId="4DDFA7D5">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0E399FCD">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40985600">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6F7EE66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1511C6CE">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26373D4E">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1E5F365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6D14B58C">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7631B9E1">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7B45733D">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3EB8120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5AD25843">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46F80DDC">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019715D2">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09A53C6F">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18D49001">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02C8071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69F26B9A">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default" w:ascii="方正小标宋简体" w:hAnsi="方正小标宋简体" w:eastAsia="方正小标宋简体" w:cs="方正小标宋简体"/>
          <w:b w:val="0"/>
          <w:bCs/>
          <w:color w:val="000000"/>
          <w:sz w:val="40"/>
          <w:szCs w:val="40"/>
          <w:highlight w:val="none"/>
          <w:lang w:val="en-US" w:eastAsia="zh-CN"/>
        </w:rPr>
      </w:pPr>
      <w:bookmarkStart w:id="20" w:name="_Toc31377"/>
      <w:bookmarkStart w:id="21" w:name="_Toc3346"/>
      <w:bookmarkStart w:id="22" w:name="_Toc17738"/>
      <w:bookmarkStart w:id="23" w:name="_Toc23103"/>
      <w:bookmarkStart w:id="24" w:name="_Toc9872"/>
      <w:bookmarkStart w:id="25" w:name="_Toc15645"/>
      <w:bookmarkStart w:id="26" w:name="_Toc30063"/>
      <w:bookmarkStart w:id="27" w:name="_Toc21708"/>
      <w:bookmarkStart w:id="28" w:name="_Toc12896"/>
      <w:bookmarkStart w:id="29" w:name="_Toc16853"/>
      <w:bookmarkStart w:id="30" w:name="_Toc26639"/>
      <w:bookmarkStart w:id="31" w:name="_Toc30795"/>
      <w:bookmarkStart w:id="32" w:name="_Toc18271"/>
      <w:bookmarkStart w:id="33" w:name="_Toc9436"/>
      <w:bookmarkStart w:id="34" w:name="_Toc17651"/>
      <w:bookmarkStart w:id="35" w:name="_Toc19730"/>
      <w:bookmarkStart w:id="36" w:name="_Toc27114"/>
      <w:bookmarkStart w:id="37" w:name="_Toc28716"/>
      <w:bookmarkStart w:id="38" w:name="_Toc24850"/>
      <w:r>
        <w:rPr>
          <w:rFonts w:hint="eastAsia" w:ascii="方正小标宋简体" w:hAnsi="方正小标宋简体" w:eastAsia="方正小标宋简体" w:cs="方正小标宋简体"/>
          <w:b w:val="0"/>
          <w:bCs/>
          <w:color w:val="000000"/>
          <w:sz w:val="40"/>
          <w:szCs w:val="40"/>
          <w:highlight w:val="none"/>
          <w:lang w:eastAsia="zh-CN"/>
        </w:rPr>
        <w:t>委托单位：</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方正小标宋简体" w:hAnsi="方正小标宋简体" w:eastAsia="方正小标宋简体" w:cs="方正小标宋简体"/>
          <w:b w:val="0"/>
          <w:bCs/>
          <w:color w:val="000000"/>
          <w:sz w:val="40"/>
          <w:szCs w:val="40"/>
          <w:highlight w:val="none"/>
          <w:lang w:eastAsia="zh-CN"/>
        </w:rPr>
        <w:t>中韩（长春）国际合作示范区</w:t>
      </w:r>
      <w:r>
        <w:rPr>
          <w:rFonts w:hint="eastAsia" w:ascii="方正小标宋简体" w:hAnsi="方正小标宋简体" w:eastAsia="方正小标宋简体" w:cs="方正小标宋简体"/>
          <w:b w:val="0"/>
          <w:bCs/>
          <w:color w:val="000000"/>
          <w:sz w:val="40"/>
          <w:szCs w:val="40"/>
          <w:highlight w:val="none"/>
          <w:lang w:val="en-US" w:eastAsia="zh-CN"/>
        </w:rPr>
        <w:t>管理委员会</w:t>
      </w:r>
    </w:p>
    <w:p w14:paraId="29C31A07">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0"/>
          <w:szCs w:val="40"/>
          <w:highlight w:val="none"/>
          <w:lang w:eastAsia="zh-CN"/>
        </w:rPr>
      </w:pPr>
      <w:bookmarkStart w:id="39" w:name="_Toc31284"/>
      <w:r>
        <w:rPr>
          <w:rFonts w:hint="eastAsia" w:ascii="方正小标宋简体" w:hAnsi="方正小标宋简体" w:eastAsia="方正小标宋简体" w:cs="方正小标宋简体"/>
          <w:b w:val="0"/>
          <w:bCs/>
          <w:color w:val="000000"/>
          <w:sz w:val="40"/>
          <w:szCs w:val="40"/>
          <w:highlight w:val="none"/>
          <w:lang w:eastAsia="zh-CN"/>
        </w:rPr>
        <w:t>评价机构：吉林省绩效评价咨询有限公司</w:t>
      </w:r>
      <w:bookmarkEnd w:id="39"/>
    </w:p>
    <w:p w14:paraId="63ABD2EE">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default" w:ascii="Times New Roman" w:hAnsi="Times New Roman" w:eastAsia="方正小标宋简体" w:cs="Times New Roman"/>
          <w:b w:val="0"/>
          <w:bCs/>
          <w:color w:val="000000"/>
          <w:sz w:val="40"/>
          <w:szCs w:val="40"/>
          <w:highlight w:val="none"/>
          <w:lang w:eastAsia="zh-CN"/>
        </w:rPr>
      </w:pPr>
      <w:bookmarkStart w:id="40" w:name="_Toc16316"/>
      <w:bookmarkStart w:id="41" w:name="_Toc27634"/>
      <w:bookmarkStart w:id="42" w:name="_Toc1634"/>
      <w:bookmarkStart w:id="43" w:name="_Toc24283"/>
      <w:bookmarkStart w:id="44" w:name="_Toc22031"/>
      <w:bookmarkStart w:id="45" w:name="_Toc29916"/>
      <w:bookmarkStart w:id="46" w:name="_Toc24362"/>
      <w:bookmarkStart w:id="47" w:name="_Toc12418"/>
      <w:bookmarkStart w:id="48" w:name="_Toc5334"/>
      <w:bookmarkStart w:id="49" w:name="_Toc22404"/>
      <w:bookmarkStart w:id="50" w:name="_Toc16895"/>
      <w:bookmarkStart w:id="51" w:name="_Toc27669"/>
      <w:bookmarkStart w:id="52" w:name="_Toc13254"/>
      <w:bookmarkStart w:id="53" w:name="_Toc13462"/>
      <w:bookmarkStart w:id="54" w:name="_Toc20976"/>
      <w:bookmarkStart w:id="55" w:name="_Toc2485"/>
      <w:bookmarkStart w:id="56" w:name="_Toc32544"/>
      <w:bookmarkStart w:id="57" w:name="_Toc16519"/>
      <w:bookmarkStart w:id="58" w:name="_Toc17184"/>
      <w:r>
        <w:rPr>
          <w:rFonts w:hint="default" w:ascii="Times New Roman" w:hAnsi="Times New Roman" w:eastAsia="方正小标宋简体" w:cs="Times New Roman"/>
          <w:b w:val="0"/>
          <w:bCs/>
          <w:color w:val="000000"/>
          <w:sz w:val="40"/>
          <w:szCs w:val="40"/>
          <w:highlight w:val="none"/>
          <w:lang w:eastAsia="zh-CN"/>
        </w:rPr>
        <w:t>202</w:t>
      </w:r>
      <w:r>
        <w:rPr>
          <w:rFonts w:hint="eastAsia" w:ascii="Times New Roman" w:hAnsi="Times New Roman" w:eastAsia="方正小标宋简体" w:cs="Times New Roman"/>
          <w:b w:val="0"/>
          <w:bCs/>
          <w:color w:val="000000"/>
          <w:sz w:val="40"/>
          <w:szCs w:val="40"/>
          <w:highlight w:val="none"/>
          <w:lang w:val="en-US" w:eastAsia="zh-CN"/>
        </w:rPr>
        <w:t>5</w:t>
      </w:r>
      <w:r>
        <w:rPr>
          <w:rFonts w:hint="default" w:ascii="Times New Roman" w:hAnsi="Times New Roman" w:eastAsia="方正小标宋简体" w:cs="Times New Roman"/>
          <w:b w:val="0"/>
          <w:bCs/>
          <w:color w:val="000000"/>
          <w:sz w:val="40"/>
          <w:szCs w:val="40"/>
          <w:highlight w:val="none"/>
          <w:lang w:eastAsia="zh-CN"/>
        </w:rPr>
        <w:t>年</w:t>
      </w:r>
      <w:r>
        <w:rPr>
          <w:rFonts w:hint="eastAsia" w:ascii="Times New Roman" w:hAnsi="Times New Roman" w:eastAsia="方正小标宋简体" w:cs="Times New Roman"/>
          <w:b w:val="0"/>
          <w:bCs/>
          <w:color w:val="000000"/>
          <w:sz w:val="40"/>
          <w:szCs w:val="40"/>
          <w:highlight w:val="none"/>
          <w:lang w:val="en-US" w:eastAsia="zh-CN"/>
        </w:rPr>
        <w:t>6</w:t>
      </w:r>
      <w:r>
        <w:rPr>
          <w:rFonts w:hint="default" w:ascii="Times New Roman" w:hAnsi="Times New Roman" w:eastAsia="方正小标宋简体" w:cs="Times New Roman"/>
          <w:b w:val="0"/>
          <w:bCs/>
          <w:color w:val="000000"/>
          <w:sz w:val="40"/>
          <w:szCs w:val="40"/>
          <w:highlight w:val="none"/>
          <w:lang w:eastAsia="zh-CN"/>
        </w:rPr>
        <w:t>月</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8C154BF">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default" w:ascii="Times New Roman" w:hAnsi="Times New Roman" w:eastAsia="方正小标宋简体" w:cs="Times New Roman"/>
          <w:b w:val="0"/>
          <w:bCs/>
          <w:color w:val="000000"/>
          <w:sz w:val="40"/>
          <w:szCs w:val="40"/>
          <w:highlight w:val="none"/>
          <w:lang w:eastAsia="zh-CN"/>
        </w:rPr>
        <w:sectPr>
          <w:pgSz w:w="11906" w:h="16838"/>
          <w:pgMar w:top="1440" w:right="1080" w:bottom="1440" w:left="1080" w:header="851" w:footer="850" w:gutter="0"/>
          <w:pgNumType w:start="1"/>
          <w:cols w:space="720" w:num="1"/>
          <w:docGrid w:type="lines" w:linePitch="312" w:charSpace="0"/>
        </w:sectPr>
      </w:pPr>
    </w:p>
    <w:p w14:paraId="09C07AF9">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r>
        <w:rPr>
          <w:rFonts w:hint="eastAsia" w:ascii="方正小标宋简体" w:hAnsi="方正小标宋简体" w:eastAsia="方正小标宋简体" w:cs="方正小标宋简体"/>
          <w:b w:val="0"/>
          <w:bCs/>
          <w:color w:val="000000"/>
          <w:sz w:val="44"/>
          <w:szCs w:val="44"/>
          <w:highlight w:val="none"/>
          <w:lang w:eastAsia="zh-CN"/>
        </w:rPr>
        <w:t>中韩（长春）国际合作示范区</w:t>
      </w:r>
    </w:p>
    <w:p w14:paraId="7C0F35FD">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r>
        <w:rPr>
          <w:rFonts w:hint="eastAsia" w:ascii="方正小标宋简体" w:hAnsi="方正小标宋简体" w:eastAsia="方正小标宋简体" w:cs="方正小标宋简体"/>
          <w:b w:val="0"/>
          <w:bCs/>
          <w:color w:val="000000"/>
          <w:sz w:val="44"/>
          <w:szCs w:val="44"/>
          <w:highlight w:val="none"/>
          <w:lang w:eastAsia="zh-CN"/>
        </w:rPr>
        <w:t>国际文教科技产业园项目</w:t>
      </w:r>
    </w:p>
    <w:p w14:paraId="014F0961">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bookmarkStart w:id="59" w:name="_Toc16062"/>
      <w:r>
        <w:rPr>
          <w:rFonts w:hint="eastAsia" w:ascii="方正小标宋简体" w:hAnsi="方正小标宋简体" w:eastAsia="方正小标宋简体" w:cs="方正小标宋简体"/>
          <w:b w:val="0"/>
          <w:bCs/>
          <w:color w:val="000000"/>
          <w:sz w:val="44"/>
          <w:szCs w:val="44"/>
          <w:highlight w:val="none"/>
          <w:lang w:eastAsia="zh-CN"/>
        </w:rPr>
        <w:t>专项债券项目绩效评价</w:t>
      </w:r>
      <w:bookmarkEnd w:id="59"/>
    </w:p>
    <w:p w14:paraId="35F222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sz w:val="36"/>
          <w:szCs w:val="36"/>
          <w:highlight w:val="none"/>
          <w:lang w:eastAsia="zh-CN"/>
        </w:rPr>
      </w:pPr>
    </w:p>
    <w:p w14:paraId="73D700D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项目编号：JXPJ-XM-202</w:t>
      </w:r>
      <w:r>
        <w:rPr>
          <w:rFonts w:hint="eastAsia" w:ascii="Times New Roman" w:hAnsi="Times New Roman" w:eastAsia="仿宋_GB2312" w:cs="Times New Roman"/>
          <w:color w:val="auto"/>
          <w:sz w:val="32"/>
          <w:szCs w:val="32"/>
          <w:highlight w:val="none"/>
          <w:lang w:val="en-US" w:eastAsia="zh-CN"/>
        </w:rPr>
        <w:t>5092）</w:t>
      </w:r>
    </w:p>
    <w:p w14:paraId="36A047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仿宋" w:cs="Times New Roman"/>
          <w:sz w:val="32"/>
          <w:szCs w:val="40"/>
          <w:highlight w:val="none"/>
          <w:lang w:eastAsia="zh-CN"/>
        </w:rPr>
      </w:pPr>
    </w:p>
    <w:p w14:paraId="29E65496">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中韩（长春）国际合作示范区管理委员会：</w:t>
      </w:r>
    </w:p>
    <w:p w14:paraId="3C73AA0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受贵单位委托，我公司成立绩效评价工作组，于2025年6月开展中韩（长春）国际合作示范区国际文教科技产业园项目绩效评价工作。</w:t>
      </w:r>
    </w:p>
    <w:p w14:paraId="17882FAC">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问卷调查等方式，对中韩（长春）国际合作示范区国际文教科技产业园项目进行客观评价，可考察指标总分为100分，本项目最终得分78.94分，得分率78.94%，评价等级为“中”。</w:t>
      </w:r>
    </w:p>
    <w:p w14:paraId="0D58B457">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2AF445DB">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1126563D">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主评人（签字/盖章）：          副评人（签字/盖章）：</w:t>
      </w:r>
    </w:p>
    <w:p w14:paraId="0666A32E">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5DDBD4A2">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4805C1F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吉林省绩效评价咨询有限公司</w:t>
      </w:r>
    </w:p>
    <w:p w14:paraId="111FDA6D">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righ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2025年6月25日</w:t>
      </w:r>
    </w:p>
    <w:p w14:paraId="381E8542">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right"/>
        <w:textAlignment w:val="auto"/>
        <w:rPr>
          <w:rFonts w:hint="eastAsia" w:ascii="Times New Roman" w:hAnsi="Times New Roman" w:eastAsia="仿宋_GB2312" w:cs="Times New Roman"/>
          <w:color w:val="auto"/>
          <w:sz w:val="32"/>
          <w:szCs w:val="32"/>
          <w:highlight w:val="none"/>
          <w:lang w:val="en-US" w:eastAsia="zh-CN"/>
        </w:rPr>
      </w:pPr>
    </w:p>
    <w:p w14:paraId="462F8AF0">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right"/>
        <w:textAlignment w:val="auto"/>
        <w:rPr>
          <w:rFonts w:hint="eastAsia" w:ascii="Times New Roman" w:hAnsi="Times New Roman" w:eastAsia="仿宋_GB2312" w:cs="Times New Roman"/>
          <w:color w:val="auto"/>
          <w:sz w:val="32"/>
          <w:szCs w:val="32"/>
          <w:highlight w:val="none"/>
          <w:lang w:val="en-US" w:eastAsia="zh-CN"/>
        </w:rPr>
      </w:pPr>
    </w:p>
    <w:p w14:paraId="2460255B">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right"/>
        <w:textAlignment w:val="auto"/>
        <w:rPr>
          <w:rFonts w:hint="eastAsia" w:ascii="Times New Roman" w:hAnsi="Times New Roman" w:eastAsia="仿宋_GB2312" w:cs="Times New Roman"/>
          <w:color w:val="auto"/>
          <w:sz w:val="32"/>
          <w:szCs w:val="32"/>
          <w:highlight w:val="none"/>
          <w:lang w:val="en-US" w:eastAsia="zh-CN"/>
        </w:rPr>
        <w:sectPr>
          <w:pgSz w:w="11906" w:h="16838"/>
          <w:pgMar w:top="1440" w:right="1080" w:bottom="1440" w:left="1080" w:header="851" w:footer="850" w:gutter="0"/>
          <w:pgNumType w:start="1"/>
          <w:cols w:space="720" w:num="1"/>
          <w:docGrid w:type="lines" w:linePitch="312" w:charSpace="0"/>
        </w:sectPr>
      </w:pPr>
    </w:p>
    <w:sdt>
      <w:sdtPr>
        <w:rPr>
          <w:rFonts w:ascii="宋体" w:hAnsi="宋体" w:eastAsia="宋体" w:cstheme="minorBidi"/>
          <w:kern w:val="2"/>
          <w:sz w:val="21"/>
          <w:szCs w:val="24"/>
          <w:lang w:val="en-US" w:eastAsia="zh-CN" w:bidi="ar-SA"/>
        </w:rPr>
        <w:id w:val="14746022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286221A4">
          <w:pPr>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rPr>
              <w:rFonts w:hint="eastAsia" w:ascii="仿宋_GB2312" w:hAnsi="仿宋_GB2312" w:eastAsia="仿宋_GB2312" w:cs="仿宋_GB2312"/>
              <w:b/>
              <w:bCs/>
              <w:sz w:val="32"/>
              <w:szCs w:val="40"/>
              <w:highlight w:val="none"/>
            </w:rPr>
          </w:pPr>
          <w:bookmarkStart w:id="60" w:name="_Toc11966"/>
          <w:bookmarkStart w:id="109" w:name="_GoBack"/>
          <w:bookmarkEnd w:id="109"/>
          <w:r>
            <w:rPr>
              <w:rFonts w:hint="eastAsia" w:ascii="仿宋_GB2312" w:hAnsi="仿宋_GB2312" w:eastAsia="仿宋_GB2312" w:cs="仿宋_GB2312"/>
              <w:b/>
              <w:bCs/>
              <w:sz w:val="32"/>
              <w:szCs w:val="40"/>
              <w:highlight w:val="none"/>
            </w:rPr>
            <w:t>目</w:t>
          </w:r>
          <w:r>
            <w:rPr>
              <w:rFonts w:hint="eastAsia" w:ascii="仿宋_GB2312" w:hAnsi="仿宋_GB2312" w:eastAsia="仿宋_GB2312" w:cs="仿宋_GB2312"/>
              <w:b/>
              <w:bCs/>
              <w:sz w:val="32"/>
              <w:szCs w:val="40"/>
              <w:highlight w:val="none"/>
              <w:lang w:val="en-US" w:eastAsia="zh-CN"/>
            </w:rPr>
            <w:t xml:space="preserve">  </w:t>
          </w:r>
          <w:r>
            <w:rPr>
              <w:rFonts w:hint="eastAsia" w:ascii="仿宋_GB2312" w:hAnsi="仿宋_GB2312" w:eastAsia="仿宋_GB2312" w:cs="仿宋_GB2312"/>
              <w:b/>
              <w:bCs/>
              <w:sz w:val="32"/>
              <w:szCs w:val="40"/>
              <w:highlight w:val="none"/>
            </w:rPr>
            <w:t>录</w:t>
          </w:r>
        </w:p>
        <w:p w14:paraId="3E15D2A6">
          <w:pPr>
            <w:pStyle w:val="11"/>
            <w:tabs>
              <w:tab w:val="right" w:leader="dot" w:pos="9746"/>
            </w:tabs>
            <w:rPr>
              <w:rFonts w:hint="default" w:ascii="Times New Roman" w:hAnsi="Times New Roman" w:eastAsia="仿宋_GB2312" w:cs="Times New Roman"/>
              <w:b/>
              <w:bCs/>
              <w:sz w:val="32"/>
              <w:szCs w:val="32"/>
            </w:rPr>
          </w:pPr>
          <w:r>
            <w:fldChar w:fldCharType="begin"/>
          </w:r>
          <w:r>
            <w:instrText xml:space="preserve">TOC \o "1-3" \h \u </w:instrText>
          </w:r>
          <w:r>
            <w:fldChar w:fldCharType="separate"/>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_Toc7270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一、基本情况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_Toc7270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1ADDE2A">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_Toc2747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（一）项目概况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_Toc2747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332A27C">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_Toc3117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（二）项目绩效目标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_Toc3117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0177DAF">
          <w:pPr>
            <w:pStyle w:val="11"/>
            <w:tabs>
              <w:tab w:val="right" w:leader="dot" w:pos="9746"/>
            </w:tabs>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_Toc22578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二、绩效评价工作开展情况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_Toc22578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5</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27D748F5">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_Toc8706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（一）绩效评价目标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_Toc8706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DABBFD0">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_Toc7717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（二）绩效评价对象和范围</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_Toc7717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FCB2650">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_Toc13173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（三）绩效评价原则</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_Toc13173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0320E96">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_Toc21261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（四）绩效评价指标体系</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_Toc21261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F176503">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_Toc8088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（五）绩效评价方法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_Toc8088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CBBDC81">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_Toc6705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（六）绩效评价标准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_Toc6705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43E0DA3">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_Toc9006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（七）绩效评价依据</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_Toc9006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00AA617">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_Toc4492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（八）绩效评价工作过程</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_Toc4492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3B0C32C">
          <w:pPr>
            <w:pStyle w:val="11"/>
            <w:tabs>
              <w:tab w:val="right" w:leader="dot" w:pos="9746"/>
            </w:tabs>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_Toc3941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三、综合评价情况及评价结论（附相关评分表）</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_Toc3941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D9D77AD">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_Toc19505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（一）评分结果</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_Toc19505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F50F9A8">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_Toc32565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（二）主要绩效</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_Toc32565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853C413">
          <w:pPr>
            <w:pStyle w:val="11"/>
            <w:tabs>
              <w:tab w:val="right" w:leader="dot" w:pos="9746"/>
            </w:tabs>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_Toc17571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四、绩效评价指标分析</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_Toc17571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12</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7F8AC5D0">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_Toc18648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（一）项目决策情况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_Toc18648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FE0B866">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_Toc12013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（二）项目管理情况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_Toc12013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6DE6E731">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_Toc5120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（三）项目产出情况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_Toc5120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592F586">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_Toc4228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（四）项目效益情况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_Toc4228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A299364">
          <w:pPr>
            <w:pStyle w:val="11"/>
            <w:tabs>
              <w:tab w:val="right" w:leader="dot" w:pos="9746"/>
            </w:tabs>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_Toc687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五、存在的问题</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_Toc687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24</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76A4549">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_Toc29754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（一）决策方面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_Toc29754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9383FB6">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_Toc2527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（二）管理方面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_Toc2527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2B3D9F2">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_Toc717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（三）产出方面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_Toc717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E6FD9F4">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_Toc16478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（四）效益方面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_Toc16478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8877ACA">
          <w:pPr>
            <w:pStyle w:val="11"/>
            <w:tabs>
              <w:tab w:val="right" w:leader="dot" w:pos="9746"/>
            </w:tabs>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_Toc19663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六、有关建议</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_Toc19663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26</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522437B0">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_Toc23938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（一）决策方面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_Toc23938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0C53ACD">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_Toc14592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（二）管理方面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_Toc14592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5E881D4">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_Toc11952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（三）产出方面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_Toc11952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032B23E">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_Toc25173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（四）效益方面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_Toc25173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6AE59C2E">
          <w:pPr>
            <w:pStyle w:val="11"/>
            <w:tabs>
              <w:tab w:val="right" w:leader="dot" w:pos="9746"/>
            </w:tabs>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_Toc16828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七、附件</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_Toc16828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28</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4C26F5CA">
          <w:pPr>
            <w:pStyle w:val="11"/>
            <w:tabs>
              <w:tab w:val="right" w:leader="dot" w:pos="9746"/>
            </w:tabs>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_Toc19253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val="en-US" w:eastAsia="zh-CN"/>
            </w:rPr>
            <w:t>附件1：绩效评价指标体系</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_Toc19253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28</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6A585FBE">
          <w:pPr>
            <w:pStyle w:val="11"/>
            <w:tabs>
              <w:tab w:val="right" w:leader="dot" w:pos="9746"/>
            </w:tabs>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_Toc13232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val="en-US" w:eastAsia="zh-CN"/>
            </w:rPr>
            <w:t>附件</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：绩效评价评分表</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_Toc13232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36</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7880FBBE">
          <w:pPr>
            <w:pStyle w:val="11"/>
            <w:keepNext w:val="0"/>
            <w:keepLines w:val="0"/>
            <w:pageBreakBefore w:val="0"/>
            <w:widowControl w:val="0"/>
            <w:tabs>
              <w:tab w:val="right" w:leader="dot" w:pos="9746"/>
            </w:tabs>
            <w:kinsoku/>
            <w:wordWrap/>
            <w:overflowPunct/>
            <w:topLinePunct w:val="0"/>
            <w:autoSpaceDE/>
            <w:autoSpaceDN/>
            <w:bidi w:val="0"/>
            <w:spacing w:line="576" w:lineRule="exact"/>
            <w:textAlignment w:val="auto"/>
          </w:pPr>
          <w:r>
            <w:fldChar w:fldCharType="end"/>
          </w:r>
        </w:p>
      </w:sdtContent>
    </w:sdt>
    <w:p w14:paraId="4F2411C1">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highlight w:val="none"/>
          <w:lang w:val="en-US" w:eastAsia="zh-CN"/>
        </w:rPr>
        <w:sectPr>
          <w:footerReference r:id="rId4" w:type="default"/>
          <w:pgSz w:w="11906" w:h="16838"/>
          <w:pgMar w:top="1440" w:right="1080" w:bottom="1440" w:left="1080" w:header="851" w:footer="850" w:gutter="0"/>
          <w:pgNumType w:fmt="decimal" w:start="1"/>
          <w:cols w:space="720" w:num="1"/>
          <w:docGrid w:type="lines" w:linePitch="312" w:charSpace="0"/>
        </w:sectPr>
      </w:pPr>
    </w:p>
    <w:p w14:paraId="4E42E3FF">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引言</w:t>
      </w:r>
      <w:bookmarkEnd w:id="60"/>
    </w:p>
    <w:p w14:paraId="4854CE30">
      <w:pPr>
        <w:ind w:firstLine="640"/>
        <w:rPr>
          <w:rFonts w:hint="eastAsia" w:ascii="Times New Roman" w:hAnsi="Times New Roman" w:eastAsia="仿宋_GB2312" w:cs="Times New Roman"/>
          <w:sz w:val="32"/>
          <w:szCs w:val="32"/>
          <w:lang w:val="en-US" w:eastAsia="zh-CN"/>
        </w:rPr>
      </w:pPr>
    </w:p>
    <w:p w14:paraId="18C548D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为贯彻落实党中央、国务院决策部署，加强地方政府专项债券项目资金绩效管理，提高专项债券资金使用效益，有效防范政府债务风险，根据财政部印发《项目支出绩效评价管理办法》（财预</w:t>
      </w:r>
      <w:r>
        <w:rPr>
          <w:rFonts w:hint="default" w:ascii="Times New Roman" w:hAnsi="Times New Roman" w:eastAsia="仿宋_GB2312" w:cs="Times New Roman"/>
          <w:sz w:val="32"/>
          <w:szCs w:val="32"/>
          <w:highlight w:val="none"/>
          <w:lang w:val="en-US" w:eastAsia="zh-CN"/>
        </w:rPr>
        <w:t>〔2020〕10号）、财政部印发《地方政府专项债券项目资金绩效管理办法》（财预〔2021〕61号）、《中共吉林省委吉林省人民政府关于全面实施预算绩效管理的实施意见》（吉发〔2019〕10号）、《关于印发&lt;吉林省项目支出绩效评价管理暂行办法&gt;的通知》（吉财绩〔2020〕711号）和吉林省财政厅印发的《吉林省地方政府专项债券项目资金绩效管理办法（试行）》（吉财债〔2021〕1044号</w:t>
      </w:r>
      <w:r>
        <w:rPr>
          <w:rFonts w:hint="eastAsia" w:ascii="仿宋_GB2312" w:hAnsi="仿宋_GB2312" w:eastAsia="仿宋_GB2312" w:cs="仿宋_GB2312"/>
          <w:sz w:val="32"/>
          <w:szCs w:val="32"/>
          <w:highlight w:val="none"/>
          <w:lang w:val="en-US" w:eastAsia="zh-CN"/>
        </w:rPr>
        <w:t>）等相关规定，吉林省绩效评价咨询有限公司受中韩（长春）国际合作示范区管理委员会的委托，针对中韩（长春）国际合作示范区国际文教科技产业园项目开展绩效评价。</w:t>
      </w:r>
    </w:p>
    <w:p w14:paraId="6F123B1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本次评价适用于对中韩（长春）国际合作示范区国际文教科技产业园项目（以下简称“本项目”）绩效评价（以下简称“绩效评价”）。</w:t>
      </w:r>
    </w:p>
    <w:p w14:paraId="7EF503D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highlight w:val="none"/>
          <w:lang w:val="en-US" w:eastAsia="zh-CN"/>
        </w:rPr>
        <w:t>本次评价所称的项目资金，是指本项目的执行主体为完成既定的各种指标和社会经济发展目标，通过申请专项债券资金、自筹资金的方式，所构成的仅用于该项目的资金。</w:t>
      </w:r>
    </w:p>
    <w:p w14:paraId="2FDC0ED5">
      <w:pPr>
        <w:rPr>
          <w:rFonts w:hint="eastAsia"/>
          <w:lang w:val="en-US" w:eastAsia="zh-CN"/>
        </w:rPr>
        <w:sectPr>
          <w:pgSz w:w="11906" w:h="16838"/>
          <w:pgMar w:top="1440" w:right="1080" w:bottom="1440" w:left="1080" w:header="851" w:footer="850" w:gutter="0"/>
          <w:pgNumType w:fmt="decimal" w:start="1"/>
          <w:cols w:space="720" w:num="1"/>
          <w:docGrid w:type="lines" w:linePitch="312" w:charSpace="0"/>
        </w:sectPr>
      </w:pPr>
    </w:p>
    <w:p w14:paraId="6C0FF64C">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eastAsia="zh-CN"/>
        </w:rPr>
      </w:pPr>
      <w:bookmarkStart w:id="61" w:name="_Toc7270"/>
      <w:r>
        <w:rPr>
          <w:rFonts w:hint="eastAsia" w:ascii="黑体" w:hAnsi="黑体" w:eastAsia="黑体" w:cs="黑体"/>
          <w:b w:val="0"/>
          <w:bCs w:val="0"/>
          <w:highlight w:val="none"/>
          <w:lang w:eastAsia="zh-CN"/>
        </w:rPr>
        <w:t>一、基本情况</w:t>
      </w:r>
      <w:bookmarkEnd w:id="61"/>
    </w:p>
    <w:p w14:paraId="0E290E70">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2" w:name="_Toc2747"/>
      <w:r>
        <w:rPr>
          <w:rFonts w:hint="eastAsia" w:ascii="仿宋_GB2312" w:hAnsi="仿宋_GB2312" w:eastAsia="仿宋_GB2312" w:cs="仿宋_GB2312"/>
          <w:highlight w:val="none"/>
          <w:lang w:val="en-US" w:eastAsia="zh-CN"/>
        </w:rPr>
        <w:t>（一）项目概况</w:t>
      </w:r>
      <w:bookmarkEnd w:id="62"/>
    </w:p>
    <w:p w14:paraId="623DA0D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1.项目背景</w:t>
      </w:r>
    </w:p>
    <w:p w14:paraId="3CC6315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随着我国经济社会的长足发展，科技和人才越来越显得重要，而教育是培养科技和人才的孵化器。因此，近年来，国家坚持把教育科研放在优先发展的突出位置，有力地促进了科研需求的不断增加，科研质量的不断提高，科研队伍的不断壮大。随着时代变化和我国改革开放的进一步深入，科教对后勤服务保障的要求也越来越高。新形势下，要用科学发展观统领全局，充分认识科教园区后勤保障的重要性，把握好科教后勤服务的规律，优化资源配置，有效控制成本，形成服务优势和特色。要处理好改革发展与稳定的关系，处理好长远目标与实现途径的关系，处理好管理体制改革与运行机制改革的关系，处理好推进改革与加强管理的关系，抓住机遇，因地制宜、循序渐进，积极探索符合高校发展的后勤管理模式。以创新的精神，努力形成结构合理、制度健全、管理科学、服务优良、效益显著的科教园区后勤工作的新局面。</w:t>
      </w:r>
    </w:p>
    <w:p w14:paraId="1EC20BC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通过建设国际文教科技产业园区</w:t>
      </w:r>
      <w:r>
        <w:rPr>
          <w:rFonts w:hint="eastAsia" w:ascii="Times New Roman" w:hAnsi="Times New Roman" w:eastAsia="仿宋_GB2312" w:cs="Times New Roman"/>
          <w:sz w:val="32"/>
          <w:szCs w:val="32"/>
          <w:highlight w:val="none"/>
          <w:lang w:val="en-US" w:eastAsia="zh-CN"/>
        </w:rPr>
        <w:t>，能够</w:t>
      </w:r>
      <w:r>
        <w:rPr>
          <w:rFonts w:hint="default" w:ascii="Times New Roman" w:hAnsi="Times New Roman" w:eastAsia="仿宋_GB2312" w:cs="Times New Roman"/>
          <w:sz w:val="32"/>
          <w:szCs w:val="32"/>
          <w:highlight w:val="none"/>
          <w:lang w:val="en-US" w:eastAsia="zh-CN"/>
        </w:rPr>
        <w:t>打造具有国际竞争力的对外开放平台，进而在示范区建成集合作科研、教育培训、产业研究、高科技企业孵化等产学研一体的完整产业链，为示范区注入发展活力。</w:t>
      </w:r>
    </w:p>
    <w:p w14:paraId="1873E1B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2.主要内容及实施情况</w:t>
      </w:r>
    </w:p>
    <w:p w14:paraId="0D15C95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（1）项目建设单位：中韩（长春）国际合作示范区长荣城市建设投资（集团）有限公司。</w:t>
      </w:r>
    </w:p>
    <w:p w14:paraId="1F70F9A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（2）项目</w:t>
      </w:r>
      <w:r>
        <w:rPr>
          <w:rFonts w:hint="default" w:ascii="Times New Roman" w:hAnsi="Times New Roman" w:eastAsia="仿宋_GB2312" w:cs="Times New Roman"/>
          <w:sz w:val="32"/>
          <w:szCs w:val="32"/>
          <w:highlight w:val="none"/>
          <w:lang w:val="en-US" w:eastAsia="zh-CN"/>
        </w:rPr>
        <w:t>建设地点</w:t>
      </w:r>
      <w:r>
        <w:rPr>
          <w:rFonts w:hint="eastAsia" w:ascii="Times New Roman" w:hAnsi="Times New Roman" w:eastAsia="仿宋_GB2312" w:cs="Times New Roman"/>
          <w:sz w:val="32"/>
          <w:szCs w:val="32"/>
          <w:highlight w:val="none"/>
          <w:lang w:val="en-US" w:eastAsia="zh-CN"/>
        </w:rPr>
        <w:t>：位于中韩（长春）国际合作示范区，中韩乙五街以西、仁德大街以东、中韩乙一路以北、中韩丙一路以南。</w:t>
      </w:r>
    </w:p>
    <w:p w14:paraId="6E62E81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项目建设</w:t>
      </w:r>
      <w:r>
        <w:rPr>
          <w:rFonts w:hint="eastAsia" w:ascii="Times New Roman" w:hAnsi="Times New Roman" w:eastAsia="仿宋_GB2312" w:cs="Times New Roman"/>
          <w:sz w:val="32"/>
          <w:szCs w:val="32"/>
          <w:highlight w:val="none"/>
          <w:lang w:val="en-US" w:eastAsia="zh-CN"/>
        </w:rPr>
        <w:t>内容：</w:t>
      </w:r>
      <w:r>
        <w:rPr>
          <w:rFonts w:hint="default" w:ascii="Times New Roman" w:hAnsi="Times New Roman" w:eastAsia="仿宋_GB2312" w:cs="Times New Roman"/>
          <w:sz w:val="32"/>
          <w:szCs w:val="32"/>
          <w:highlight w:val="none"/>
          <w:lang w:val="en-US" w:eastAsia="zh-CN"/>
        </w:rPr>
        <w:t>项目规划总占地面积974298平方米，总建筑面积653436.24平方米。园区建设综合楼、行政办公楼</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科技楼、国际楼、美术楼、附属医院、特教公寓、特教生活楼</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特教研发楼、配套公寓、实训楼、专业实验组团、基础实验组团、工程训练中心、汽车检测线、食堂、活动中心、花窖、国际交流中心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含人防地下车库</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、综合体育馆、体育场看台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含人防地下车库</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、社团活动中心、园区大门、垃圾转运间等</w:t>
      </w:r>
      <w:r>
        <w:rPr>
          <w:rFonts w:hint="eastAsia" w:ascii="Times New Roman" w:hAnsi="Times New Roman" w:eastAsia="仿宋_GB2312" w:cs="Times New Roman"/>
          <w:sz w:val="32"/>
          <w:szCs w:val="32"/>
          <w:highlight w:val="none"/>
          <w:lang w:val="en-US" w:eastAsia="zh-CN"/>
        </w:rPr>
        <w:t>。</w:t>
      </w:r>
    </w:p>
    <w:p w14:paraId="7D93CC1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（4）项目实施情况：根据《开工报告》，项目于2020年10月24日开工建设。截至2024年12月31日，已完成总工程的56.11%。</w:t>
      </w:r>
    </w:p>
    <w:p w14:paraId="6B5DE65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项目照片如下：</w:t>
      </w:r>
    </w:p>
    <w:p w14:paraId="14006E56">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060065" cy="2520315"/>
            <wp:effectExtent l="0" t="0" r="6985" b="13335"/>
            <wp:docPr id="14" name="图片 14" descr="1"/>
            <wp:cNvGraphicFramePr/>
            <a:graphic xmlns:a="http://schemas.openxmlformats.org/drawingml/2006/main">
              <a:graphicData uri="http://schemas.openxmlformats.org/drawingml/2006/picture">
                <pic:pic xmlns:pic="http://schemas.openxmlformats.org/drawingml/2006/picture">
                  <pic:nvPicPr>
                    <pic:cNvPr id="14" name="图片 14" descr="1"/>
                    <pic:cNvPicPr/>
                  </pic:nvPicPr>
                  <pic:blipFill>
                    <a:blip r:embed="rId8"/>
                    <a:stretch>
                      <a:fillRect/>
                    </a:stretch>
                  </pic:blipFill>
                  <pic:spPr>
                    <a:xfrm>
                      <a:off x="0" y="0"/>
                      <a:ext cx="3060065" cy="2520315"/>
                    </a:xfrm>
                    <a:prstGeom prst="rect">
                      <a:avLst/>
                    </a:prstGeom>
                  </pic:spPr>
                </pic:pic>
              </a:graphicData>
            </a:graphic>
          </wp:inline>
        </w:drawing>
      </w:r>
      <w:r>
        <w:rPr>
          <w:rFonts w:hint="default" w:ascii="Times New Roman" w:hAnsi="Times New Roman" w:eastAsia="仿宋_GB2312" w:cs="Times New Roman"/>
          <w:sz w:val="32"/>
          <w:szCs w:val="32"/>
          <w:highlight w:val="none"/>
          <w:lang w:val="en-US" w:eastAsia="zh-CN"/>
        </w:rPr>
        <w:drawing>
          <wp:inline distT="0" distB="0" distL="114300" distR="114300">
            <wp:extent cx="3060065" cy="2520315"/>
            <wp:effectExtent l="0" t="0" r="6985" b="13335"/>
            <wp:docPr id="15" name="图片 15" descr="2"/>
            <wp:cNvGraphicFramePr/>
            <a:graphic xmlns:a="http://schemas.openxmlformats.org/drawingml/2006/main">
              <a:graphicData uri="http://schemas.openxmlformats.org/drawingml/2006/picture">
                <pic:pic xmlns:pic="http://schemas.openxmlformats.org/drawingml/2006/picture">
                  <pic:nvPicPr>
                    <pic:cNvPr id="15" name="图片 15" descr="2"/>
                    <pic:cNvPicPr/>
                  </pic:nvPicPr>
                  <pic:blipFill>
                    <a:blip r:embed="rId9"/>
                    <a:stretch>
                      <a:fillRect/>
                    </a:stretch>
                  </pic:blipFill>
                  <pic:spPr>
                    <a:xfrm>
                      <a:off x="0" y="0"/>
                      <a:ext cx="3060065" cy="2520315"/>
                    </a:xfrm>
                    <a:prstGeom prst="rect">
                      <a:avLst/>
                    </a:prstGeom>
                  </pic:spPr>
                </pic:pic>
              </a:graphicData>
            </a:graphic>
          </wp:inline>
        </w:drawing>
      </w:r>
    </w:p>
    <w:p w14:paraId="1E2EA57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060065" cy="2520315"/>
            <wp:effectExtent l="0" t="0" r="6985" b="13335"/>
            <wp:docPr id="16" name="图片 16" descr="3"/>
            <wp:cNvGraphicFramePr/>
            <a:graphic xmlns:a="http://schemas.openxmlformats.org/drawingml/2006/main">
              <a:graphicData uri="http://schemas.openxmlformats.org/drawingml/2006/picture">
                <pic:pic xmlns:pic="http://schemas.openxmlformats.org/drawingml/2006/picture">
                  <pic:nvPicPr>
                    <pic:cNvPr id="16" name="图片 16" descr="3"/>
                    <pic:cNvPicPr/>
                  </pic:nvPicPr>
                  <pic:blipFill>
                    <a:blip r:embed="rId10"/>
                    <a:stretch>
                      <a:fillRect/>
                    </a:stretch>
                  </pic:blipFill>
                  <pic:spPr>
                    <a:xfrm>
                      <a:off x="0" y="0"/>
                      <a:ext cx="3060065" cy="2520315"/>
                    </a:xfrm>
                    <a:prstGeom prst="rect">
                      <a:avLst/>
                    </a:prstGeom>
                  </pic:spPr>
                </pic:pic>
              </a:graphicData>
            </a:graphic>
          </wp:inline>
        </w:drawing>
      </w:r>
      <w:r>
        <w:rPr>
          <w:rFonts w:hint="default" w:ascii="Times New Roman" w:hAnsi="Times New Roman" w:eastAsia="仿宋_GB2312" w:cs="Times New Roman"/>
          <w:sz w:val="32"/>
          <w:szCs w:val="32"/>
          <w:highlight w:val="none"/>
          <w:lang w:val="en-US" w:eastAsia="zh-CN"/>
        </w:rPr>
        <w:drawing>
          <wp:inline distT="0" distB="0" distL="114300" distR="114300">
            <wp:extent cx="3060065" cy="2520315"/>
            <wp:effectExtent l="0" t="0" r="6985" b="13335"/>
            <wp:docPr id="17" name="图片 17" descr="4"/>
            <wp:cNvGraphicFramePr/>
            <a:graphic xmlns:a="http://schemas.openxmlformats.org/drawingml/2006/main">
              <a:graphicData uri="http://schemas.openxmlformats.org/drawingml/2006/picture">
                <pic:pic xmlns:pic="http://schemas.openxmlformats.org/drawingml/2006/picture">
                  <pic:nvPicPr>
                    <pic:cNvPr id="17" name="图片 17" descr="4"/>
                    <pic:cNvPicPr/>
                  </pic:nvPicPr>
                  <pic:blipFill>
                    <a:blip r:embed="rId11"/>
                    <a:stretch>
                      <a:fillRect/>
                    </a:stretch>
                  </pic:blipFill>
                  <pic:spPr>
                    <a:xfrm>
                      <a:off x="0" y="0"/>
                      <a:ext cx="3060065" cy="2520315"/>
                    </a:xfrm>
                    <a:prstGeom prst="rect">
                      <a:avLst/>
                    </a:prstGeom>
                  </pic:spPr>
                </pic:pic>
              </a:graphicData>
            </a:graphic>
          </wp:inline>
        </w:drawing>
      </w:r>
    </w:p>
    <w:p w14:paraId="649B75BB">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060065" cy="2520315"/>
            <wp:effectExtent l="0" t="0" r="6985" b="13335"/>
            <wp:docPr id="18" name="图片 18" descr="5"/>
            <wp:cNvGraphicFramePr/>
            <a:graphic xmlns:a="http://schemas.openxmlformats.org/drawingml/2006/main">
              <a:graphicData uri="http://schemas.openxmlformats.org/drawingml/2006/picture">
                <pic:pic xmlns:pic="http://schemas.openxmlformats.org/drawingml/2006/picture">
                  <pic:nvPicPr>
                    <pic:cNvPr id="18" name="图片 18" descr="5"/>
                    <pic:cNvPicPr/>
                  </pic:nvPicPr>
                  <pic:blipFill>
                    <a:blip r:embed="rId12"/>
                    <a:stretch>
                      <a:fillRect/>
                    </a:stretch>
                  </pic:blipFill>
                  <pic:spPr>
                    <a:xfrm>
                      <a:off x="0" y="0"/>
                      <a:ext cx="3060065" cy="2520315"/>
                    </a:xfrm>
                    <a:prstGeom prst="rect">
                      <a:avLst/>
                    </a:prstGeom>
                  </pic:spPr>
                </pic:pic>
              </a:graphicData>
            </a:graphic>
          </wp:inline>
        </w:drawing>
      </w:r>
      <w:r>
        <w:rPr>
          <w:rFonts w:hint="default" w:ascii="Times New Roman" w:hAnsi="Times New Roman" w:eastAsia="仿宋_GB2312" w:cs="Times New Roman"/>
          <w:sz w:val="32"/>
          <w:szCs w:val="32"/>
          <w:highlight w:val="none"/>
          <w:lang w:val="en-US" w:eastAsia="zh-CN"/>
        </w:rPr>
        <w:drawing>
          <wp:inline distT="0" distB="0" distL="114300" distR="114300">
            <wp:extent cx="3060065" cy="2520315"/>
            <wp:effectExtent l="0" t="0" r="6985" b="13335"/>
            <wp:docPr id="19" name="图片 19" descr="6"/>
            <wp:cNvGraphicFramePr/>
            <a:graphic xmlns:a="http://schemas.openxmlformats.org/drawingml/2006/main">
              <a:graphicData uri="http://schemas.openxmlformats.org/drawingml/2006/picture">
                <pic:pic xmlns:pic="http://schemas.openxmlformats.org/drawingml/2006/picture">
                  <pic:nvPicPr>
                    <pic:cNvPr id="19" name="图片 19" descr="6"/>
                    <pic:cNvPicPr/>
                  </pic:nvPicPr>
                  <pic:blipFill>
                    <a:blip r:embed="rId13"/>
                    <a:stretch>
                      <a:fillRect/>
                    </a:stretch>
                  </pic:blipFill>
                  <pic:spPr>
                    <a:xfrm>
                      <a:off x="0" y="0"/>
                      <a:ext cx="3060065" cy="2520315"/>
                    </a:xfrm>
                    <a:prstGeom prst="rect">
                      <a:avLst/>
                    </a:prstGeom>
                  </pic:spPr>
                </pic:pic>
              </a:graphicData>
            </a:graphic>
          </wp:inline>
        </w:drawing>
      </w:r>
    </w:p>
    <w:p w14:paraId="20F9DAA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3.资金投入和使用情况等</w:t>
      </w:r>
    </w:p>
    <w:p w14:paraId="73170C3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根据《中韩（长春）国际合作示范区国际文教科技产业园项目收益与融资自求平衡方案》，本项目计划申请专项债券252000万元（2020年计划发行20000万元，2022年计划发行125000万元，2023年计划发行107000万元）。</w:t>
      </w:r>
    </w:p>
    <w:p w14:paraId="29C8686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根据《关于中韩（长春）国际合作示范区国际文教科技产业园项目初步设计的批复》（中韩发改审批字〔2021〕39号），项目概算总投资393912.34万元。专项债券资金预算252000万元，项目资本金预算141912.34万元。</w:t>
      </w:r>
    </w:p>
    <w:p w14:paraId="258124C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截至2024年12月31日，专项债券资金到位145000万元，项目资本金到位51406.98万元，到位资金合计196406.98万元；专项债券资金支出145000万元，项目资本金支出51406.98万元，支出资金合计196406.98万元。</w:t>
      </w:r>
      <w:r>
        <w:rPr>
          <w:rFonts w:hint="default" w:ascii="Times New Roman" w:hAnsi="Times New Roman" w:eastAsia="仿宋_GB2312" w:cs="Times New Roman"/>
          <w:sz w:val="32"/>
          <w:szCs w:val="32"/>
          <w:highlight w:val="none"/>
          <w:lang w:val="en-US" w:eastAsia="zh-CN"/>
        </w:rPr>
        <w:t>资金到位情况见表1-1</w:t>
      </w:r>
      <w:r>
        <w:rPr>
          <w:rFonts w:hint="eastAsia" w:ascii="Times New Roman" w:hAnsi="Times New Roman" w:eastAsia="仿宋_GB2312" w:cs="Times New Roman"/>
          <w:sz w:val="32"/>
          <w:szCs w:val="32"/>
          <w:highlight w:val="none"/>
          <w:lang w:val="en-US" w:eastAsia="zh-CN"/>
        </w:rPr>
        <w:t>，资金支出情况详见表4-2-3。</w:t>
      </w:r>
    </w:p>
    <w:p w14:paraId="0DAE6D08">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表1-1 资金到位情况表</w:t>
      </w:r>
    </w:p>
    <w:p w14:paraId="45D93F5E">
      <w:pPr>
        <w:keepNext w:val="0"/>
        <w:keepLines w:val="0"/>
        <w:pageBreakBefore w:val="0"/>
        <w:widowControl w:val="0"/>
        <w:kinsoku/>
        <w:wordWrap/>
        <w:overflowPunct/>
        <w:topLinePunct w:val="0"/>
        <w:autoSpaceDE/>
        <w:autoSpaceDN/>
        <w:bidi w:val="0"/>
        <w:snapToGrid w:val="0"/>
        <w:spacing w:line="576" w:lineRule="exact"/>
        <w:jc w:val="right"/>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8"/>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551"/>
        <w:gridCol w:w="3394"/>
        <w:gridCol w:w="2877"/>
      </w:tblGrid>
      <w:tr w14:paraId="6CAA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513" w:type="pct"/>
            <w:shd w:val="clear" w:color="auto" w:fill="C8C8C8" w:themeFill="accent3" w:themeFillTint="99"/>
            <w:vAlign w:val="top"/>
          </w:tcPr>
          <w:p w14:paraId="01FAEE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297" w:type="pct"/>
            <w:shd w:val="clear" w:color="auto" w:fill="C8C8C8" w:themeFill="accent3" w:themeFillTint="99"/>
            <w:vAlign w:val="top"/>
          </w:tcPr>
          <w:p w14:paraId="626AC8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资金性质</w:t>
            </w:r>
          </w:p>
        </w:tc>
        <w:tc>
          <w:tcPr>
            <w:tcW w:w="1725" w:type="pct"/>
            <w:shd w:val="clear" w:color="auto" w:fill="C8C8C8" w:themeFill="accent3" w:themeFillTint="99"/>
            <w:vAlign w:val="top"/>
          </w:tcPr>
          <w:p w14:paraId="60B259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到位时间</w:t>
            </w:r>
          </w:p>
        </w:tc>
        <w:tc>
          <w:tcPr>
            <w:tcW w:w="1463" w:type="pct"/>
            <w:shd w:val="clear" w:color="auto" w:fill="C8C8C8" w:themeFill="accent3" w:themeFillTint="99"/>
            <w:vAlign w:val="top"/>
          </w:tcPr>
          <w:p w14:paraId="62658D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到位金额</w:t>
            </w:r>
          </w:p>
        </w:tc>
      </w:tr>
      <w:tr w14:paraId="09B0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3" w:type="pct"/>
            <w:vAlign w:val="center"/>
          </w:tcPr>
          <w:p w14:paraId="3C207C5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bookmarkStart w:id="63" w:name="OLE_LINK1" w:colFirst="3" w:colLast="3"/>
          </w:p>
        </w:tc>
        <w:tc>
          <w:tcPr>
            <w:tcW w:w="1297" w:type="pct"/>
            <w:vMerge w:val="restart"/>
            <w:vAlign w:val="center"/>
          </w:tcPr>
          <w:p w14:paraId="588017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专项债券资金</w:t>
            </w:r>
          </w:p>
        </w:tc>
        <w:tc>
          <w:tcPr>
            <w:tcW w:w="1725" w:type="pct"/>
            <w:vAlign w:val="center"/>
          </w:tcPr>
          <w:p w14:paraId="019E36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2020.12.14</w:t>
            </w:r>
          </w:p>
        </w:tc>
        <w:tc>
          <w:tcPr>
            <w:tcW w:w="1463" w:type="pct"/>
            <w:vAlign w:val="center"/>
          </w:tcPr>
          <w:p w14:paraId="210DD3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20000.00</w:t>
            </w:r>
          </w:p>
        </w:tc>
      </w:tr>
      <w:tr w14:paraId="4597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3" w:type="pct"/>
            <w:vAlign w:val="center"/>
          </w:tcPr>
          <w:p w14:paraId="1B215F7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97" w:type="pct"/>
            <w:vMerge w:val="continue"/>
            <w:vAlign w:val="center"/>
          </w:tcPr>
          <w:p w14:paraId="2F61F5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725" w:type="pct"/>
            <w:vAlign w:val="center"/>
          </w:tcPr>
          <w:p w14:paraId="5ABFA3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2022.02.14</w:t>
            </w:r>
          </w:p>
        </w:tc>
        <w:tc>
          <w:tcPr>
            <w:tcW w:w="1463" w:type="pct"/>
            <w:vAlign w:val="center"/>
          </w:tcPr>
          <w:p w14:paraId="0C94A2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100000.00</w:t>
            </w:r>
          </w:p>
        </w:tc>
      </w:tr>
      <w:tr w14:paraId="0B6E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3" w:type="pct"/>
            <w:vAlign w:val="center"/>
          </w:tcPr>
          <w:p w14:paraId="72516EA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97" w:type="pct"/>
            <w:vMerge w:val="continue"/>
            <w:vAlign w:val="center"/>
          </w:tcPr>
          <w:p w14:paraId="5A8A7E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725" w:type="pct"/>
            <w:vAlign w:val="center"/>
          </w:tcPr>
          <w:p w14:paraId="3FBF11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2022.07.13</w:t>
            </w:r>
          </w:p>
        </w:tc>
        <w:tc>
          <w:tcPr>
            <w:tcW w:w="1463" w:type="pct"/>
            <w:vAlign w:val="center"/>
          </w:tcPr>
          <w:p w14:paraId="72A6B4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10000.00</w:t>
            </w:r>
          </w:p>
        </w:tc>
      </w:tr>
      <w:tr w14:paraId="0A2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3" w:type="pct"/>
            <w:vAlign w:val="center"/>
          </w:tcPr>
          <w:p w14:paraId="41FBDA1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97" w:type="pct"/>
            <w:vMerge w:val="continue"/>
            <w:vAlign w:val="center"/>
          </w:tcPr>
          <w:p w14:paraId="40B46D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725" w:type="pct"/>
            <w:vAlign w:val="center"/>
          </w:tcPr>
          <w:p w14:paraId="5A2F34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2022.10.10</w:t>
            </w:r>
          </w:p>
        </w:tc>
        <w:tc>
          <w:tcPr>
            <w:tcW w:w="1463" w:type="pct"/>
            <w:vAlign w:val="center"/>
          </w:tcPr>
          <w:p w14:paraId="041860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5000.00</w:t>
            </w:r>
          </w:p>
        </w:tc>
      </w:tr>
      <w:tr w14:paraId="574B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3" w:type="pct"/>
            <w:vAlign w:val="center"/>
          </w:tcPr>
          <w:p w14:paraId="4437FC8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97" w:type="pct"/>
            <w:vMerge w:val="continue"/>
            <w:vAlign w:val="center"/>
          </w:tcPr>
          <w:p w14:paraId="549F4F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725" w:type="pct"/>
            <w:vAlign w:val="center"/>
          </w:tcPr>
          <w:p w14:paraId="1BEDB2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2022.11.11</w:t>
            </w:r>
          </w:p>
        </w:tc>
        <w:tc>
          <w:tcPr>
            <w:tcW w:w="1463" w:type="pct"/>
            <w:vAlign w:val="center"/>
          </w:tcPr>
          <w:p w14:paraId="4ECF53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80.00</w:t>
            </w:r>
          </w:p>
        </w:tc>
      </w:tr>
      <w:tr w14:paraId="713A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3" w:type="pct"/>
            <w:vAlign w:val="center"/>
          </w:tcPr>
          <w:p w14:paraId="7705961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297" w:type="pct"/>
            <w:vMerge w:val="continue"/>
            <w:vAlign w:val="center"/>
          </w:tcPr>
          <w:p w14:paraId="0F595F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725" w:type="pct"/>
            <w:vAlign w:val="center"/>
          </w:tcPr>
          <w:p w14:paraId="1433A9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2022.11.24</w:t>
            </w:r>
          </w:p>
        </w:tc>
        <w:tc>
          <w:tcPr>
            <w:tcW w:w="1463" w:type="pct"/>
            <w:vAlign w:val="center"/>
          </w:tcPr>
          <w:p w14:paraId="76BD47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9920.00</w:t>
            </w:r>
          </w:p>
        </w:tc>
      </w:tr>
      <w:tr w14:paraId="5E47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536" w:type="pct"/>
            <w:gridSpan w:val="3"/>
            <w:vAlign w:val="center"/>
          </w:tcPr>
          <w:p w14:paraId="0379DA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专项债券资金到位合计</w:t>
            </w:r>
          </w:p>
        </w:tc>
        <w:tc>
          <w:tcPr>
            <w:tcW w:w="1463" w:type="pct"/>
            <w:vAlign w:val="top"/>
          </w:tcPr>
          <w:p w14:paraId="06876A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145000.00</w:t>
            </w:r>
          </w:p>
        </w:tc>
      </w:tr>
      <w:tr w14:paraId="2094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13" w:type="pct"/>
            <w:vAlign w:val="center"/>
          </w:tcPr>
          <w:p w14:paraId="7DEE86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7</w:t>
            </w:r>
          </w:p>
        </w:tc>
        <w:tc>
          <w:tcPr>
            <w:tcW w:w="1297" w:type="pct"/>
            <w:vAlign w:val="center"/>
          </w:tcPr>
          <w:p w14:paraId="3003A8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项目资本金</w:t>
            </w:r>
          </w:p>
        </w:tc>
        <w:tc>
          <w:tcPr>
            <w:tcW w:w="1725" w:type="pct"/>
            <w:vAlign w:val="center"/>
          </w:tcPr>
          <w:p w14:paraId="2F0251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w:t>
            </w:r>
          </w:p>
        </w:tc>
        <w:tc>
          <w:tcPr>
            <w:tcW w:w="1463" w:type="pct"/>
            <w:vAlign w:val="top"/>
          </w:tcPr>
          <w:p w14:paraId="67AA29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51406.98</w:t>
            </w:r>
          </w:p>
        </w:tc>
      </w:tr>
      <w:tr w14:paraId="60DA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536" w:type="pct"/>
            <w:gridSpan w:val="3"/>
            <w:vAlign w:val="center"/>
          </w:tcPr>
          <w:p w14:paraId="68256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项目资本金到位合计</w:t>
            </w:r>
          </w:p>
        </w:tc>
        <w:tc>
          <w:tcPr>
            <w:tcW w:w="1463" w:type="pct"/>
            <w:vAlign w:val="top"/>
          </w:tcPr>
          <w:p w14:paraId="0EB321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51406.98</w:t>
            </w:r>
          </w:p>
        </w:tc>
      </w:tr>
      <w:tr w14:paraId="7D80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536" w:type="pct"/>
            <w:gridSpan w:val="3"/>
            <w:vAlign w:val="center"/>
          </w:tcPr>
          <w:p w14:paraId="69E8FB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项目所有资金到位合计</w:t>
            </w:r>
          </w:p>
        </w:tc>
        <w:tc>
          <w:tcPr>
            <w:tcW w:w="1463" w:type="pct"/>
            <w:vAlign w:val="top"/>
          </w:tcPr>
          <w:p w14:paraId="5DC4C9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196406.98</w:t>
            </w:r>
          </w:p>
        </w:tc>
      </w:tr>
      <w:bookmarkEnd w:id="63"/>
    </w:tbl>
    <w:p w14:paraId="7F0E92C0">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4" w:name="_Toc3117"/>
      <w:r>
        <w:rPr>
          <w:rFonts w:hint="eastAsia" w:ascii="仿宋_GB2312" w:hAnsi="仿宋_GB2312" w:eastAsia="仿宋_GB2312" w:cs="仿宋_GB2312"/>
          <w:highlight w:val="none"/>
          <w:lang w:val="en-US" w:eastAsia="zh-CN"/>
        </w:rPr>
        <w:t>（二）项目绩效目标</w:t>
      </w:r>
      <w:bookmarkEnd w:id="64"/>
    </w:p>
    <w:p w14:paraId="362BC3A7">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根据项目单位填报的《专项债券项目</w:t>
      </w:r>
      <w:r>
        <w:rPr>
          <w:rFonts w:hint="eastAsia" w:ascii="Times New Roman" w:hAnsi="Times New Roman" w:eastAsia="仿宋_GB2312" w:cs="Times New Roman"/>
          <w:color w:val="auto"/>
          <w:sz w:val="32"/>
          <w:szCs w:val="32"/>
          <w:highlight w:val="none"/>
          <w:lang w:val="en-US" w:eastAsia="zh-CN"/>
        </w:rPr>
        <w:t>绩效目标</w:t>
      </w:r>
      <w:r>
        <w:rPr>
          <w:rFonts w:hint="default" w:ascii="Times New Roman" w:hAnsi="Times New Roman" w:eastAsia="仿宋_GB2312" w:cs="Times New Roman"/>
          <w:color w:val="auto"/>
          <w:sz w:val="32"/>
          <w:szCs w:val="32"/>
          <w:highlight w:val="none"/>
          <w:lang w:val="en-US" w:eastAsia="zh-CN"/>
        </w:rPr>
        <w:t>申报表》，项目绩效目标设置如下：</w:t>
      </w:r>
    </w:p>
    <w:p w14:paraId="3470E7EC">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1.年度总体目标：</w:t>
      </w:r>
    </w:p>
    <w:p w14:paraId="1A6927E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目标1：完成本年投资。</w:t>
      </w:r>
    </w:p>
    <w:p w14:paraId="2E67715E">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目标2：按标准完成施工建设，达到可使用状态。</w:t>
      </w:r>
    </w:p>
    <w:p w14:paraId="25358FB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2.项目实施期目标：</w:t>
      </w:r>
    </w:p>
    <w:p w14:paraId="2722B082">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目标1：项目未来50年可持续发挥作用。</w:t>
      </w:r>
    </w:p>
    <w:p w14:paraId="176F7367">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目标2：对本行业未来可持续发展。</w:t>
      </w:r>
    </w:p>
    <w:p w14:paraId="2207D4E5">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目标3：带动周边群众就业及区域发展。</w:t>
      </w:r>
    </w:p>
    <w:p w14:paraId="5379FD28">
      <w:pPr>
        <w:rPr>
          <w:rFonts w:hint="eastAsia"/>
          <w:lang w:val="en-US" w:eastAsia="zh-CN"/>
        </w:rPr>
      </w:pPr>
    </w:p>
    <w:p w14:paraId="1A7BC5E7">
      <w:pPr>
        <w:keepNext w:val="0"/>
        <w:keepLines w:val="0"/>
        <w:pageBreakBefore w:val="0"/>
        <w:widowControl w:val="0"/>
        <w:kinsoku/>
        <w:wordWrap/>
        <w:overflowPunct/>
        <w:topLinePunct w:val="0"/>
        <w:autoSpaceDE/>
        <w:autoSpaceDN/>
        <w:bidi w:val="0"/>
        <w:ind w:firstLine="640" w:firstLineChars="200"/>
        <w:textAlignment w:val="auto"/>
        <w:rPr>
          <w:rFonts w:hint="eastAsia" w:ascii="Times New Roman" w:hAnsi="Times New Roman" w:eastAsia="仿宋_GB2312" w:cs="Times New Roman"/>
          <w:color w:val="auto"/>
          <w:sz w:val="32"/>
          <w:szCs w:val="32"/>
          <w:highlight w:val="none"/>
          <w:lang w:val="en-US" w:eastAsia="zh-CN"/>
        </w:rPr>
        <w:sectPr>
          <w:footerReference r:id="rId5" w:type="default"/>
          <w:pgSz w:w="11906" w:h="16838"/>
          <w:pgMar w:top="1440" w:right="1080" w:bottom="1440" w:left="1080" w:header="851" w:footer="992" w:gutter="0"/>
          <w:pgNumType w:fmt="decimal" w:start="1"/>
          <w:cols w:space="425" w:num="1"/>
          <w:docGrid w:type="lines" w:linePitch="312" w:charSpace="0"/>
        </w:sectPr>
      </w:pPr>
    </w:p>
    <w:p w14:paraId="661305CE">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65" w:name="_Toc22578"/>
      <w:r>
        <w:rPr>
          <w:rFonts w:hint="eastAsia" w:ascii="黑体" w:hAnsi="黑体" w:eastAsia="黑体" w:cs="黑体"/>
          <w:b w:val="0"/>
          <w:bCs w:val="0"/>
          <w:highlight w:val="none"/>
          <w:lang w:val="en-US" w:eastAsia="zh-CN"/>
        </w:rPr>
        <w:t>二、绩效评价工作开展情况</w:t>
      </w:r>
      <w:bookmarkEnd w:id="65"/>
    </w:p>
    <w:p w14:paraId="55A8B698">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6" w:name="_Toc8706"/>
      <w:r>
        <w:rPr>
          <w:rFonts w:hint="eastAsia" w:ascii="仿宋_GB2312" w:hAnsi="仿宋_GB2312" w:eastAsia="仿宋_GB2312" w:cs="仿宋_GB2312"/>
          <w:highlight w:val="none"/>
          <w:lang w:val="en-US" w:eastAsia="zh-CN"/>
        </w:rPr>
        <w:t>（一）绩效评价目标</w:t>
      </w:r>
      <w:bookmarkEnd w:id="66"/>
    </w:p>
    <w:p w14:paraId="5D9AE22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评价的主要目的是为了全面贯彻落实《中共吉林省委吉林省人民政府关于全面实施预算绩效管理的实施意见》（吉发〔2019〕10号）文件精神，建立科学、合理的地方政府专项债券绩效评价管理体系，从而提升专项债券资金的使用效率及效果，发挥专项债券资金促进稳投资、扩内需、补短板的积极作用。</w:t>
      </w:r>
    </w:p>
    <w:p w14:paraId="2978C46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本次绩效评价，通过科学、合理的评价方法，对</w:t>
      </w:r>
      <w:r>
        <w:rPr>
          <w:rFonts w:hint="eastAsia" w:ascii="Times New Roman" w:hAnsi="Times New Roman" w:eastAsia="仿宋_GB2312" w:cs="Times New Roman"/>
          <w:sz w:val="32"/>
          <w:szCs w:val="32"/>
          <w:highlight w:val="none"/>
          <w:lang w:val="en-US" w:eastAsia="zh-CN"/>
        </w:rPr>
        <w:t>中韩（长春）国际合作示范区国际文教科技产业园项目</w:t>
      </w:r>
      <w:r>
        <w:rPr>
          <w:rFonts w:hint="default" w:ascii="Times New Roman" w:hAnsi="Times New Roman" w:eastAsia="仿宋_GB2312" w:cs="Times New Roman"/>
          <w:sz w:val="32"/>
          <w:szCs w:val="32"/>
          <w:highlight w:val="none"/>
          <w:lang w:val="en-US" w:eastAsia="zh-CN"/>
        </w:rPr>
        <w:t>绩效进行可靠的绩效评价，分析绩效目标的完成度以及预期由此产生的相关效益，旨在发现项目实施过程中存在的问题，得出关于项目的初步结论，并在此基础上提出修正性建议，以促进债券项目资金的管理和使用水平进一步提高。</w:t>
      </w:r>
    </w:p>
    <w:p w14:paraId="541D7657">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7" w:name="_Toc7717"/>
      <w:r>
        <w:rPr>
          <w:rFonts w:hint="eastAsia" w:ascii="仿宋_GB2312" w:hAnsi="仿宋_GB2312" w:eastAsia="仿宋_GB2312" w:cs="仿宋_GB2312"/>
          <w:highlight w:val="none"/>
          <w:lang w:val="en-US" w:eastAsia="zh-CN"/>
        </w:rPr>
        <w:t>（二）绩效评价对象和范围</w:t>
      </w:r>
      <w:bookmarkEnd w:id="67"/>
    </w:p>
    <w:p w14:paraId="76AC237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本次评价的对象为中韩（长春）国际合作示范区国际文教科技产业园项目，根据项目初步设计批复，本项目总投资</w:t>
      </w:r>
      <w:r>
        <w:rPr>
          <w:rFonts w:hint="eastAsia" w:ascii="Times New Roman" w:hAnsi="Times New Roman" w:eastAsia="仿宋_GB2312" w:cs="Times New Roman"/>
          <w:sz w:val="32"/>
          <w:szCs w:val="32"/>
          <w:highlight w:val="none"/>
          <w:lang w:val="en-US" w:eastAsia="zh-CN"/>
        </w:rPr>
        <w:t>393912.34</w:t>
      </w:r>
      <w:r>
        <w:rPr>
          <w:rFonts w:hint="default" w:ascii="Times New Roman" w:hAnsi="Times New Roman" w:eastAsia="仿宋_GB2312" w:cs="Times New Roman"/>
          <w:sz w:val="32"/>
          <w:szCs w:val="32"/>
          <w:highlight w:val="none"/>
          <w:lang w:val="en-US" w:eastAsia="zh-CN"/>
        </w:rPr>
        <w:t>万元，截</w:t>
      </w:r>
      <w:r>
        <w:rPr>
          <w:rFonts w:hint="eastAsia"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年12月31日，项目实际到位资金</w:t>
      </w:r>
      <w:r>
        <w:rPr>
          <w:rFonts w:hint="eastAsia" w:ascii="Times New Roman" w:hAnsi="Times New Roman" w:eastAsia="仿宋_GB2312" w:cs="Times New Roman"/>
          <w:sz w:val="32"/>
          <w:szCs w:val="32"/>
          <w:highlight w:val="none"/>
          <w:lang w:val="en-US" w:eastAsia="zh-CN"/>
        </w:rPr>
        <w:t>196406.98</w:t>
      </w:r>
      <w:r>
        <w:rPr>
          <w:rFonts w:hint="default" w:ascii="Times New Roman" w:hAnsi="Times New Roman" w:eastAsia="仿宋_GB2312" w:cs="Times New Roman"/>
          <w:sz w:val="32"/>
          <w:szCs w:val="32"/>
          <w:highlight w:val="none"/>
          <w:lang w:val="en-US" w:eastAsia="zh-CN"/>
        </w:rPr>
        <w:t>万元，项目实际支出资金196406.98万元。资金来源</w:t>
      </w:r>
      <w:r>
        <w:rPr>
          <w:rFonts w:hint="eastAsia" w:ascii="仿宋_GB2312" w:hAnsi="仿宋_GB2312" w:eastAsia="仿宋_GB2312" w:cs="仿宋_GB2312"/>
          <w:sz w:val="32"/>
          <w:szCs w:val="32"/>
          <w:highlight w:val="none"/>
          <w:lang w:val="en-US" w:eastAsia="zh-CN"/>
        </w:rPr>
        <w:t>为专项债券资金和自筹资金。</w:t>
      </w:r>
    </w:p>
    <w:p w14:paraId="0330E466">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仿宋_GB2312" w:hAnsi="仿宋_GB2312" w:eastAsia="仿宋_GB2312" w:cs="仿宋_GB2312"/>
          <w:highlight w:val="none"/>
          <w:lang w:val="en-US" w:eastAsia="zh-CN"/>
        </w:rPr>
      </w:pPr>
      <w:bookmarkStart w:id="68" w:name="_Toc13173"/>
      <w:r>
        <w:rPr>
          <w:rFonts w:hint="eastAsia" w:ascii="仿宋_GB2312" w:hAnsi="仿宋_GB2312" w:eastAsia="仿宋_GB2312" w:cs="仿宋_GB2312"/>
          <w:highlight w:val="none"/>
          <w:lang w:val="en-US" w:eastAsia="zh-CN"/>
        </w:rPr>
        <w:t>（三）绩效评价原则</w:t>
      </w:r>
      <w:bookmarkEnd w:id="68"/>
    </w:p>
    <w:p w14:paraId="42BC257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一是科学规范原则：绩效评价严格遵循既定程序，科学可行；</w:t>
      </w:r>
    </w:p>
    <w:p w14:paraId="4D54E93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二是公开公正原则：评价结果客观公正，并接受社会公开监督；</w:t>
      </w:r>
    </w:p>
    <w:p w14:paraId="08FDEE7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三是分级分类原则：根据评价对象特点分类组织实施；</w:t>
      </w:r>
    </w:p>
    <w:p w14:paraId="3A73018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四是绩效相关原则：支出与其产出之间有紧密相关关系。</w:t>
      </w:r>
    </w:p>
    <w:p w14:paraId="277108C4">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9" w:name="_Toc21261"/>
      <w:r>
        <w:rPr>
          <w:rFonts w:hint="eastAsia" w:ascii="仿宋_GB2312" w:hAnsi="仿宋_GB2312" w:eastAsia="仿宋_GB2312" w:cs="仿宋_GB2312"/>
          <w:highlight w:val="none"/>
          <w:lang w:val="en-US" w:eastAsia="zh-CN"/>
        </w:rPr>
        <w:t>（四）绩效评价指标体系</w:t>
      </w:r>
      <w:bookmarkEnd w:id="69"/>
    </w:p>
    <w:p w14:paraId="30F3C68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根据《吉林省地方政府专项债券项目资金绩效管理办法（试行）》（吉财债</w:t>
      </w:r>
      <w:r>
        <w:rPr>
          <w:rFonts w:hint="default" w:ascii="Times New Roman" w:hAnsi="Times New Roman" w:eastAsia="仿宋_GB2312" w:cs="Times New Roman"/>
          <w:color w:val="auto"/>
          <w:sz w:val="32"/>
          <w:szCs w:val="32"/>
          <w:highlight w:val="none"/>
          <w:lang w:val="en-US" w:eastAsia="zh-CN"/>
        </w:rPr>
        <w:t>〔2021〕1044</w:t>
      </w:r>
      <w:r>
        <w:rPr>
          <w:rFonts w:hint="eastAsia" w:ascii="仿宋_GB2312" w:hAnsi="仿宋_GB2312" w:eastAsia="仿宋_GB2312" w:cs="仿宋_GB2312"/>
          <w:color w:val="auto"/>
          <w:sz w:val="32"/>
          <w:szCs w:val="32"/>
          <w:highlight w:val="none"/>
          <w:lang w:val="en-US" w:eastAsia="zh-CN"/>
        </w:rPr>
        <w:t>号），绩效评价结果量化为百分制综合评分，并按照综合评分进行分级。综合评分为</w:t>
      </w:r>
      <w:r>
        <w:rPr>
          <w:rFonts w:hint="eastAsia" w:ascii="Times New Roman" w:hAnsi="Times New Roman" w:eastAsia="仿宋_GB2312" w:cs="Times New Roman"/>
          <w:color w:val="auto"/>
          <w:sz w:val="32"/>
          <w:szCs w:val="32"/>
          <w:highlight w:val="none"/>
          <w:lang w:val="en-US" w:eastAsia="zh-CN"/>
        </w:rPr>
        <w:t>90</w:t>
      </w:r>
      <w:r>
        <w:rPr>
          <w:rFonts w:hint="eastAsia" w:ascii="仿宋_GB2312" w:hAnsi="仿宋_GB2312" w:eastAsia="仿宋_GB2312" w:cs="仿宋_GB2312"/>
          <w:color w:val="auto"/>
          <w:sz w:val="32"/>
          <w:szCs w:val="32"/>
          <w:highlight w:val="none"/>
          <w:lang w:val="en-US" w:eastAsia="zh-CN"/>
        </w:rPr>
        <w:t>分（含）以上的为“优”，</w:t>
      </w:r>
      <w:r>
        <w:rPr>
          <w:rFonts w:hint="eastAsia" w:ascii="Times New Roman" w:hAnsi="Times New Roman" w:eastAsia="仿宋_GB2312" w:cs="Times New Roman"/>
          <w:color w:val="auto"/>
          <w:sz w:val="32"/>
          <w:szCs w:val="32"/>
          <w:highlight w:val="none"/>
          <w:lang w:val="en-US" w:eastAsia="zh-CN"/>
        </w:rPr>
        <w:t>80分（含）至90分的为“良”，60分（含）至80分的为“中”，60</w:t>
      </w:r>
      <w:r>
        <w:rPr>
          <w:rFonts w:hint="eastAsia" w:ascii="仿宋_GB2312" w:hAnsi="仿宋_GB2312" w:eastAsia="仿宋_GB2312" w:cs="仿宋_GB2312"/>
          <w:color w:val="auto"/>
          <w:sz w:val="32"/>
          <w:szCs w:val="32"/>
          <w:highlight w:val="none"/>
          <w:lang w:val="en-US" w:eastAsia="zh-CN"/>
        </w:rPr>
        <w:t>分以下的为“差”。</w:t>
      </w:r>
    </w:p>
    <w:p w14:paraId="3ABA11C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本次绩效评价采用定量与定性相结合的方式，对收集的相关资料，在汇总、整理、分析的基础上，运用审阅资料、对比分析法、公众评判法、实地调查法等方法，系统、科学地反映项目综合绩效情况。</w:t>
      </w:r>
    </w:p>
    <w:p w14:paraId="3214924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本项目绩效评价指标体系详见附件</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p>
    <w:p w14:paraId="118442F6">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仿宋_GB2312" w:hAnsi="仿宋_GB2312" w:eastAsia="仿宋_GB2312" w:cs="仿宋_GB2312"/>
          <w:highlight w:val="none"/>
          <w:lang w:val="en-US" w:eastAsia="zh-CN"/>
        </w:rPr>
      </w:pPr>
      <w:bookmarkStart w:id="70" w:name="_Toc8088"/>
      <w:r>
        <w:rPr>
          <w:rFonts w:hint="eastAsia" w:ascii="仿宋_GB2312" w:hAnsi="仿宋_GB2312" w:eastAsia="仿宋_GB2312" w:cs="仿宋_GB2312"/>
          <w:highlight w:val="none"/>
          <w:lang w:val="en-US" w:eastAsia="zh-CN"/>
        </w:rPr>
        <w:t>（五）绩效评价方法</w:t>
      </w:r>
      <w:bookmarkEnd w:id="70"/>
    </w:p>
    <w:p w14:paraId="4AAF2EB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财政部关于印发〈项目支出绩效评价管理办法〉的通知》（财预〔2020〕10号）、《吉林省地方政府专项债券项目资金绩效管理办法（试行）》（吉财债〔2021〕1044号），财政和部门评价的方法主要包括成本效益分析法、比较法、因素分析法、最低成本法、公众评判法、标杆管理法等。根据评价对象的具体情况，可采用一种或多种方法。</w:t>
      </w:r>
    </w:p>
    <w:p w14:paraId="629AA90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1.成本效益分析法。通过将财政预算资金的投入与产出、效益进行关联性分析，得出评价结论。这种分析方法主要用于对具有直接经济效益的财政支出项目进行微观效益分析。</w:t>
      </w:r>
    </w:p>
    <w:p w14:paraId="3A1E80B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2.比较法。通过对绩效目标与实施效果、历史与当期情况、不同部门和地区同类支出的比较，综合分析绩效目标实现程度。</w:t>
      </w:r>
    </w:p>
    <w:p w14:paraId="291360F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——历史比较法：将相同或类似的财政支出在不同时期的支出效果进行比较，分析判断绩效的评价方法。</w:t>
      </w:r>
    </w:p>
    <w:p w14:paraId="0534DE4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——横向比较法：通过对相同或类似的财政支出在不同地区或不同部门、单位间的支出效果进行比较，分析判断绩效的评价方法。</w:t>
      </w:r>
    </w:p>
    <w:p w14:paraId="17A47C2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——目标比较法：通过对财政支出产生的实际效果与预定目标的比较，分析完成目标或未完成目标的原因，从而评价绩效的方法。</w:t>
      </w:r>
    </w:p>
    <w:p w14:paraId="7B22D66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3.因素分析法。通过综合分析影响绩效目标实现、实施效果的内外因素，评价绩效目标实现程度；通过列举所有影响成本与收益的因素，进行全面、综合的分析，从而得出评价结果的方法。</w:t>
      </w:r>
    </w:p>
    <w:p w14:paraId="50653D9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专家评议法。通过邀请相关领域的专家通过实地勘察、查看项目资料，充分了解掌握项目情况后，根据自己的专业判断，进行评议，得出评价结果的方法。对于无法直接用指标计量其效益的支出项目，可以选择有关专家进行评价。</w:t>
      </w:r>
    </w:p>
    <w:p w14:paraId="096A285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5.公众评判法。通过设计不同形式的调查问卷，在一定范围内发放，收集、分析调查问卷，进行评价和判断。在一些公共服务、公共投资项目上可设置目标群体满意度或公众满意度指标来评价绩效。</w:t>
      </w:r>
    </w:p>
    <w:p w14:paraId="536FB12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6.标杆管理法。是指以国内外同行业中较高的绩效水平为标杆进行评判的方法。在评价过程中，参考国家标准、行业标准、历史标准对项目各指标设置目标标杆。</w:t>
      </w:r>
    </w:p>
    <w:p w14:paraId="1563534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7.其他评价方法。</w:t>
      </w:r>
    </w:p>
    <w:p w14:paraId="182DAF32">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Times New Roman" w:hAnsi="Times New Roman" w:eastAsia="仿宋_GB2312" w:cs="Times New Roman"/>
          <w:highlight w:val="none"/>
          <w:lang w:val="en-US" w:eastAsia="zh-CN"/>
        </w:rPr>
      </w:pPr>
      <w:bookmarkStart w:id="71" w:name="_Toc6705"/>
      <w:r>
        <w:rPr>
          <w:rFonts w:hint="eastAsia" w:ascii="Times New Roman" w:hAnsi="Times New Roman" w:eastAsia="仿宋_GB2312" w:cs="Times New Roman"/>
          <w:highlight w:val="none"/>
          <w:lang w:val="en-US" w:eastAsia="zh-CN"/>
        </w:rPr>
        <w:t>（六）绩效评价标准</w:t>
      </w:r>
      <w:bookmarkEnd w:id="71"/>
    </w:p>
    <w:p w14:paraId="17694EC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绩效评价标准是指衡量绩效目标完成程度的尺度。绩效评价标准通常包括计划标准、行业标准、历史标准等，用于对绩效指标完成情况进行比较。</w:t>
      </w:r>
    </w:p>
    <w:p w14:paraId="2F0F92D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1.计划标准。指以预先制定的目标、计划、预算、定额等作为评价的标准。</w:t>
      </w:r>
    </w:p>
    <w:p w14:paraId="3095FAC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2.行业标准。指参照国家公布的行业指标数据制定的评价标准。</w:t>
      </w:r>
    </w:p>
    <w:p w14:paraId="1FF8390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3.历史标准。指参照历史数据制定的评价标准。为体现绩效改进的原则，在可实现的条件下应当确定相对较高的评价标准。</w:t>
      </w:r>
    </w:p>
    <w:p w14:paraId="4F216EA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4.财政和项目主管部门确认或认可的其他标准。</w:t>
      </w:r>
    </w:p>
    <w:p w14:paraId="676A122D">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Times New Roman" w:hAnsi="Times New Roman" w:eastAsia="仿宋_GB2312" w:cs="Times New Roman"/>
          <w:highlight w:val="none"/>
          <w:lang w:val="en-US" w:eastAsia="zh-CN"/>
        </w:rPr>
      </w:pPr>
      <w:bookmarkStart w:id="72" w:name="_Toc9006"/>
      <w:r>
        <w:rPr>
          <w:rFonts w:hint="eastAsia" w:ascii="Times New Roman" w:hAnsi="Times New Roman" w:eastAsia="仿宋_GB2312" w:cs="Times New Roman"/>
          <w:highlight w:val="none"/>
          <w:lang w:val="en-US" w:eastAsia="zh-CN"/>
        </w:rPr>
        <w:t>（七）绩效评价依据</w:t>
      </w:r>
      <w:bookmarkEnd w:id="72"/>
    </w:p>
    <w:p w14:paraId="12C7431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项目评价依据主要包括国家、省（市）等绩效相关政策文件，同时参考项目全部过程材料。</w:t>
      </w:r>
    </w:p>
    <w:p w14:paraId="6371ED6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1.《中华人民共和国预算法（2018修正）》（中华人民共和国主席令第22号）；</w:t>
      </w:r>
    </w:p>
    <w:p w14:paraId="7AC542A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2.《中华人民共和国预算法实施条例（2020修正）》（中华人民共和国国务院令第729号）；</w:t>
      </w:r>
    </w:p>
    <w:p w14:paraId="05A5B38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3.《中共中央、国务院关于全面实施预算绩效管理的意见》（中发〔2018〕34号）；</w:t>
      </w:r>
    </w:p>
    <w:p w14:paraId="7DCB4FB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4.《财政部关于推进政府购买服务第三方绩效评价工作的指导意见》（财综〔2018〕10号）；</w:t>
      </w:r>
    </w:p>
    <w:p w14:paraId="3E7431A5">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5.《财政部关于委托第三方机构参与预算绩效管理的指导意见》（财预〔2021〕6号）；</w:t>
      </w:r>
    </w:p>
    <w:p w14:paraId="14D11FB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6.《中共吉林省委吉林省人民政府关于全面实施预算绩效管理的实施意见》（吉发〔2019〕10号）；</w:t>
      </w:r>
    </w:p>
    <w:p w14:paraId="3A8AB08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7.《关于印发&lt;吉林省项目支出绩效评价管理暂行办法&gt;的通知》（吉财绩〔2020〕711号）；</w:t>
      </w:r>
    </w:p>
    <w:p w14:paraId="1BA945B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8.《关于印发&lt;吉林省地方政府专项债券项目资金绩效管理办法（试行）&gt;的通知》（吉财债〔2021〕1044号）；</w:t>
      </w:r>
    </w:p>
    <w:p w14:paraId="057281E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9.《中韩（长春）国际合作示范区国际文教科技产业园项目》的可行性研究报告、项目收益与融资自求平衡方案等其他资料；</w:t>
      </w:r>
    </w:p>
    <w:p w14:paraId="11D1D39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10.项目实施期的相关记录、现场资料等。</w:t>
      </w:r>
    </w:p>
    <w:p w14:paraId="646D618E">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Times New Roman" w:hAnsi="Times New Roman" w:eastAsia="仿宋_GB2312" w:cs="Times New Roman"/>
          <w:highlight w:val="none"/>
          <w:lang w:val="en-US" w:eastAsia="zh-CN"/>
        </w:rPr>
      </w:pPr>
      <w:bookmarkStart w:id="73" w:name="_Toc4492"/>
      <w:r>
        <w:rPr>
          <w:rFonts w:hint="eastAsia" w:ascii="Times New Roman" w:hAnsi="Times New Roman" w:eastAsia="仿宋_GB2312" w:cs="Times New Roman"/>
          <w:highlight w:val="none"/>
          <w:lang w:val="en-US" w:eastAsia="zh-CN"/>
        </w:rPr>
        <w:t>（八）绩效评价工作过程</w:t>
      </w:r>
      <w:bookmarkEnd w:id="73"/>
    </w:p>
    <w:p w14:paraId="3577A01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本次绩效评价工作主要分为前期准备、评价实施和形成报告三个阶段。具体情况如下：</w:t>
      </w:r>
    </w:p>
    <w:p w14:paraId="7E701DB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1.前期准备阶段</w:t>
      </w:r>
    </w:p>
    <w:p w14:paraId="269232E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pPr>
      <w:r>
        <w:rPr>
          <w:rFonts w:hint="eastAsia" w:ascii="Times New Roman" w:hAnsi="Times New Roman" w:eastAsia="仿宋_GB2312" w:cs="Times New Roman"/>
          <w:color w:val="auto"/>
          <w:sz w:val="32"/>
          <w:szCs w:val="32"/>
          <w:highlight w:val="none"/>
          <w:lang w:val="en-US" w:eastAsia="zh-CN"/>
        </w:rPr>
        <w:t>（1）成立工作组。在明确委托方要求后，组建工作组，明确工作组内的任务分工。</w:t>
      </w:r>
    </w:p>
    <w:p w14:paraId="515D45E2">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编制工作方案。编制绩效评价工作方案，对评价对象、评价内容、评价方式方法、评价体系和标准、工作程序和时间安排、人员安排及相关附件等做出具体规定。工作方案将报委托方审阅征求意见，并进行调整完善。</w:t>
      </w:r>
    </w:p>
    <w:p w14:paraId="4ECE85C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2.评价实施阶段</w:t>
      </w:r>
    </w:p>
    <w:p w14:paraId="1DC89D5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（1）前期准备通知。工作组通过委托方获取项目单位联系方式，与项目单位提前沟通，下发资料清单，由项目单位进行前期资料准备。</w:t>
      </w:r>
    </w:p>
    <w:p w14:paraId="211BBD1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收集部门资料。为满足评价工作需要，通过邮件、电话、建立微信工作群等方式，根据需要准备资料清单，跟踪辅导被评价项目单位准备评价所需相关资料，对遇到的疑惑，及时予以解答，为被评价项目单位能够提供满足评价需要的资料提供辅导支持。</w:t>
      </w:r>
    </w:p>
    <w:p w14:paraId="0AF8CFA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（3）资料收集及审核反馈。工作组将依据资料收集清单对资料进行形式审核，对于不符合要求、存在重大缺项漏项的资料予以退回，并反馈原因，辅导被评价项目单位补充完善。</w:t>
      </w:r>
    </w:p>
    <w:p w14:paraId="4E7D9B6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（4）现场评价。工作组到被评价项目单位进行现场调研，拟通过实地勘察、资料查阅、沟通访谈、问卷调查等形式，了解项目实施的实际情况，并对勘察情况进行视图和文字记录。</w:t>
      </w:r>
    </w:p>
    <w:p w14:paraId="65029B6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14:paraId="79E7B39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综合评价。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14:paraId="79D047A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3.报告撰写阶段</w:t>
      </w:r>
    </w:p>
    <w:p w14:paraId="4C0B8F3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在前期工作开展的基础上，工作组对项目情况进行汇总和分析，撰写绩效评价报告，经公司内部审核后，递交委托方征求意见并根据反馈意见修改完成形成报告终稿。</w:t>
      </w:r>
    </w:p>
    <w:p w14:paraId="1A60D374">
      <w:pPr>
        <w:rPr>
          <w:rFonts w:hint="eastAsia"/>
          <w:lang w:val="en-US" w:eastAsia="zh-CN"/>
        </w:rPr>
      </w:pPr>
    </w:p>
    <w:p w14:paraId="54642062">
      <w:pPr>
        <w:rPr>
          <w:rFonts w:hint="eastAsia"/>
          <w:lang w:val="en-US" w:eastAsia="zh-CN"/>
        </w:rPr>
        <w:sectPr>
          <w:footerReference r:id="rId6" w:type="default"/>
          <w:pgSz w:w="11906" w:h="16838"/>
          <w:pgMar w:top="1440" w:right="1080" w:bottom="1440" w:left="1080" w:header="851" w:footer="992" w:gutter="0"/>
          <w:pgNumType w:fmt="decimal"/>
          <w:cols w:space="425" w:num="1"/>
          <w:docGrid w:type="lines" w:linePitch="312" w:charSpace="0"/>
        </w:sectPr>
      </w:pPr>
    </w:p>
    <w:p w14:paraId="5E2E9FD6">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74" w:name="_Toc3941"/>
      <w:r>
        <w:rPr>
          <w:rFonts w:hint="eastAsia" w:ascii="黑体" w:hAnsi="黑体" w:eastAsia="黑体" w:cs="黑体"/>
          <w:b w:val="0"/>
          <w:bCs w:val="0"/>
          <w:highlight w:val="none"/>
          <w:lang w:val="en-US" w:eastAsia="zh-CN"/>
        </w:rPr>
        <w:t>三、综合评价情况及评价结论（附相关评分表）</w:t>
      </w:r>
      <w:bookmarkEnd w:id="74"/>
    </w:p>
    <w:p w14:paraId="01111092">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75" w:name="_Toc19505"/>
      <w:r>
        <w:rPr>
          <w:rFonts w:hint="eastAsia" w:ascii="仿宋_GB2312" w:hAnsi="仿宋_GB2312" w:eastAsia="仿宋_GB2312" w:cs="仿宋_GB2312"/>
          <w:highlight w:val="none"/>
          <w:lang w:val="en-US" w:eastAsia="zh-CN"/>
        </w:rPr>
        <w:t>（一）评分结果</w:t>
      </w:r>
      <w:bookmarkEnd w:id="75"/>
    </w:p>
    <w:p w14:paraId="10A66F8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访谈，对中韩（长春）国际合作示范区国际文教科技产业园项目进行客观评价，可考察指标总分为100分，最终得分78.94分，得分率78.94%，评价结果为“中”。</w:t>
      </w:r>
    </w:p>
    <w:p w14:paraId="7650D0C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表3-1可见，该项目的决策类指标权重为10分，得分为7.3分，得分率为73%；管理类指标权重为30分，得分为23.22分，得分率为77.4%；产出类指标权重为40分，得分为33.42分，得分率为83.55%；效益类指标权重为20分，得分为15分，得分率为75%。</w:t>
      </w:r>
    </w:p>
    <w:p w14:paraId="65E178B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表3-1中韩（长春）国际合作示范区国际文教科技产业园项目得分情况表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314"/>
        <w:gridCol w:w="1998"/>
        <w:gridCol w:w="2525"/>
      </w:tblGrid>
      <w:tr w14:paraId="1DFA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shd w:val="clear" w:color="auto" w:fill="C8C8C8" w:themeFill="accent3" w:themeFillTint="99"/>
            <w:vAlign w:val="center"/>
          </w:tcPr>
          <w:p w14:paraId="2BD272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一级指标</w:t>
            </w:r>
          </w:p>
        </w:tc>
        <w:tc>
          <w:tcPr>
            <w:tcW w:w="1162" w:type="pct"/>
            <w:shd w:val="clear" w:color="auto" w:fill="C8C8C8" w:themeFill="accent3" w:themeFillTint="99"/>
            <w:vAlign w:val="center"/>
          </w:tcPr>
          <w:p w14:paraId="7F7CCE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权重</w:t>
            </w:r>
          </w:p>
        </w:tc>
        <w:tc>
          <w:tcPr>
            <w:tcW w:w="1003" w:type="pct"/>
            <w:shd w:val="clear" w:color="auto" w:fill="C8C8C8" w:themeFill="accent3" w:themeFillTint="99"/>
            <w:vAlign w:val="center"/>
          </w:tcPr>
          <w:p w14:paraId="3CF873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分值</w:t>
            </w:r>
          </w:p>
        </w:tc>
        <w:tc>
          <w:tcPr>
            <w:tcW w:w="1268" w:type="pct"/>
            <w:shd w:val="clear" w:color="auto" w:fill="C8C8C8" w:themeFill="accent3" w:themeFillTint="99"/>
            <w:vAlign w:val="center"/>
          </w:tcPr>
          <w:p w14:paraId="4EA407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得分率</w:t>
            </w:r>
          </w:p>
        </w:tc>
      </w:tr>
      <w:tr w14:paraId="35AA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5887D3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决策</w:t>
            </w:r>
          </w:p>
        </w:tc>
        <w:tc>
          <w:tcPr>
            <w:tcW w:w="2314" w:type="dxa"/>
            <w:vAlign w:val="center"/>
          </w:tcPr>
          <w:p w14:paraId="40DFA3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spacing w:val="-6"/>
                <w:kern w:val="0"/>
                <w:sz w:val="24"/>
                <w:szCs w:val="24"/>
                <w:u w:val="none"/>
                <w:lang w:val="en-US" w:eastAsia="zh-CN" w:bidi="ar"/>
              </w:rPr>
              <w:t>10</w:t>
            </w:r>
          </w:p>
        </w:tc>
        <w:tc>
          <w:tcPr>
            <w:tcW w:w="1003" w:type="pct"/>
            <w:vAlign w:val="center"/>
          </w:tcPr>
          <w:p w14:paraId="185541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7.3</w:t>
            </w:r>
          </w:p>
        </w:tc>
        <w:tc>
          <w:tcPr>
            <w:tcW w:w="1268" w:type="pct"/>
            <w:vAlign w:val="center"/>
          </w:tcPr>
          <w:p w14:paraId="01A600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73%</w:t>
            </w:r>
          </w:p>
        </w:tc>
      </w:tr>
      <w:tr w14:paraId="4742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2E12DD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管理</w:t>
            </w:r>
          </w:p>
        </w:tc>
        <w:tc>
          <w:tcPr>
            <w:tcW w:w="2314" w:type="dxa"/>
            <w:vAlign w:val="center"/>
          </w:tcPr>
          <w:p w14:paraId="04189F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spacing w:val="-6"/>
                <w:kern w:val="0"/>
                <w:sz w:val="24"/>
                <w:szCs w:val="24"/>
                <w:u w:val="none"/>
                <w:lang w:val="en-US" w:eastAsia="zh-CN" w:bidi="ar"/>
              </w:rPr>
              <w:t>30</w:t>
            </w:r>
          </w:p>
        </w:tc>
        <w:tc>
          <w:tcPr>
            <w:tcW w:w="1003" w:type="pct"/>
            <w:vAlign w:val="center"/>
          </w:tcPr>
          <w:p w14:paraId="3C56FF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23.22</w:t>
            </w:r>
          </w:p>
        </w:tc>
        <w:tc>
          <w:tcPr>
            <w:tcW w:w="1268" w:type="pct"/>
            <w:vAlign w:val="center"/>
          </w:tcPr>
          <w:p w14:paraId="391307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77.4%</w:t>
            </w:r>
          </w:p>
        </w:tc>
      </w:tr>
      <w:tr w14:paraId="428A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06729F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产出</w:t>
            </w:r>
          </w:p>
        </w:tc>
        <w:tc>
          <w:tcPr>
            <w:tcW w:w="2314" w:type="dxa"/>
            <w:vAlign w:val="center"/>
          </w:tcPr>
          <w:p w14:paraId="4A04D2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spacing w:val="-6"/>
                <w:kern w:val="0"/>
                <w:sz w:val="24"/>
                <w:szCs w:val="24"/>
                <w:u w:val="none"/>
                <w:lang w:val="en-US" w:eastAsia="zh-CN" w:bidi="ar"/>
              </w:rPr>
              <w:t>4</w:t>
            </w:r>
            <w:r>
              <w:rPr>
                <w:rFonts w:hint="default" w:ascii="Times New Roman" w:hAnsi="Times New Roman" w:eastAsia="仿宋_GB2312" w:cs="Times New Roman"/>
                <w:b w:val="0"/>
                <w:bCs w:val="0"/>
                <w:i w:val="0"/>
                <w:iCs w:val="0"/>
                <w:color w:val="000000"/>
                <w:spacing w:val="-6"/>
                <w:kern w:val="0"/>
                <w:sz w:val="24"/>
                <w:szCs w:val="24"/>
                <w:u w:val="none"/>
                <w:lang w:val="en-US" w:eastAsia="zh-CN" w:bidi="ar"/>
              </w:rPr>
              <w:t>0</w:t>
            </w:r>
          </w:p>
        </w:tc>
        <w:tc>
          <w:tcPr>
            <w:tcW w:w="1003" w:type="pct"/>
            <w:vAlign w:val="center"/>
          </w:tcPr>
          <w:p w14:paraId="09BCEF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33.42</w:t>
            </w:r>
          </w:p>
        </w:tc>
        <w:tc>
          <w:tcPr>
            <w:tcW w:w="1268" w:type="pct"/>
            <w:vAlign w:val="center"/>
          </w:tcPr>
          <w:p w14:paraId="044920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83.55%</w:t>
            </w:r>
          </w:p>
        </w:tc>
      </w:tr>
      <w:tr w14:paraId="7EA2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720961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效益</w:t>
            </w:r>
          </w:p>
        </w:tc>
        <w:tc>
          <w:tcPr>
            <w:tcW w:w="2314" w:type="dxa"/>
            <w:vAlign w:val="center"/>
          </w:tcPr>
          <w:p w14:paraId="0D2E56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spacing w:val="-6"/>
                <w:kern w:val="0"/>
                <w:sz w:val="24"/>
                <w:szCs w:val="24"/>
                <w:u w:val="none"/>
                <w:lang w:val="en-US" w:eastAsia="zh-CN" w:bidi="ar"/>
              </w:rPr>
              <w:t>2</w:t>
            </w:r>
            <w:r>
              <w:rPr>
                <w:rFonts w:hint="default" w:ascii="Times New Roman" w:hAnsi="Times New Roman" w:eastAsia="仿宋_GB2312" w:cs="Times New Roman"/>
                <w:b w:val="0"/>
                <w:bCs w:val="0"/>
                <w:i w:val="0"/>
                <w:iCs w:val="0"/>
                <w:color w:val="000000"/>
                <w:spacing w:val="-6"/>
                <w:kern w:val="0"/>
                <w:sz w:val="24"/>
                <w:szCs w:val="24"/>
                <w:u w:val="none"/>
                <w:lang w:val="en-US" w:eastAsia="zh-CN" w:bidi="ar"/>
              </w:rPr>
              <w:t>0</w:t>
            </w:r>
          </w:p>
        </w:tc>
        <w:tc>
          <w:tcPr>
            <w:tcW w:w="1003" w:type="pct"/>
            <w:vAlign w:val="center"/>
          </w:tcPr>
          <w:p w14:paraId="2F464C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15</w:t>
            </w:r>
          </w:p>
        </w:tc>
        <w:tc>
          <w:tcPr>
            <w:tcW w:w="1268" w:type="pct"/>
            <w:vAlign w:val="center"/>
          </w:tcPr>
          <w:p w14:paraId="6901C9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75%</w:t>
            </w:r>
          </w:p>
        </w:tc>
      </w:tr>
      <w:tr w14:paraId="674E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1AE959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合计</w:t>
            </w:r>
          </w:p>
        </w:tc>
        <w:tc>
          <w:tcPr>
            <w:tcW w:w="1162" w:type="pct"/>
            <w:vAlign w:val="center"/>
          </w:tcPr>
          <w:p w14:paraId="1D8F16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100</w:t>
            </w:r>
          </w:p>
        </w:tc>
        <w:tc>
          <w:tcPr>
            <w:tcW w:w="1003" w:type="pct"/>
            <w:vAlign w:val="center"/>
          </w:tcPr>
          <w:p w14:paraId="60F309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78.94</w:t>
            </w:r>
          </w:p>
        </w:tc>
        <w:tc>
          <w:tcPr>
            <w:tcW w:w="1268" w:type="pct"/>
            <w:vAlign w:val="center"/>
          </w:tcPr>
          <w:p w14:paraId="38EF38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78.94%</w:t>
            </w:r>
          </w:p>
        </w:tc>
      </w:tr>
    </w:tbl>
    <w:p w14:paraId="42B5244F">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仿宋_GB2312" w:hAnsi="仿宋_GB2312" w:eastAsia="仿宋_GB2312" w:cs="仿宋_GB2312"/>
          <w:highlight w:val="none"/>
          <w:lang w:val="en-US" w:eastAsia="zh-CN"/>
        </w:rPr>
      </w:pPr>
      <w:bookmarkStart w:id="76" w:name="_Toc32565"/>
      <w:r>
        <w:rPr>
          <w:rFonts w:hint="eastAsia" w:ascii="仿宋_GB2312" w:hAnsi="仿宋_GB2312" w:eastAsia="仿宋_GB2312" w:cs="仿宋_GB2312"/>
          <w:highlight w:val="none"/>
          <w:lang w:val="en-US" w:eastAsia="zh-CN"/>
        </w:rPr>
        <w:t>（二）主要绩效</w:t>
      </w:r>
      <w:bookmarkEnd w:id="76"/>
    </w:p>
    <w:p w14:paraId="7A14521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中韩（长春）国际合作示范区国际文教科技产业园项目主要绩效如下：</w:t>
      </w:r>
    </w:p>
    <w:p w14:paraId="696B60D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项目立项依据充分，符合专项债券支持领域和方向；项目建设期间成立了专门的管理机构；核算入账及时；专项债券资金到位率及执行率均为100%；</w:t>
      </w:r>
      <w:r>
        <w:rPr>
          <w:rFonts w:hint="eastAsia" w:ascii="Times New Roman" w:hAnsi="Times New Roman" w:eastAsia="仿宋_GB2312" w:cs="Times New Roman"/>
          <w:b w:val="0"/>
          <w:bCs w:val="0"/>
          <w:color w:val="auto"/>
          <w:sz w:val="32"/>
          <w:szCs w:val="32"/>
          <w:highlight w:val="none"/>
          <w:lang w:val="en-US" w:eastAsia="zh-CN"/>
        </w:rPr>
        <w:t>工程所用材料质量检测达标</w:t>
      </w:r>
      <w:r>
        <w:rPr>
          <w:rFonts w:hint="eastAsia" w:ascii="Times New Roman" w:hAnsi="Times New Roman" w:eastAsia="仿宋_GB2312" w:cs="Times New Roman"/>
          <w:sz w:val="32"/>
          <w:szCs w:val="32"/>
          <w:highlight w:val="none"/>
          <w:lang w:val="en-US" w:eastAsia="zh-CN"/>
        </w:rPr>
        <w:t>；按照合同约定的计划期限，于</w:t>
      </w:r>
      <w:r>
        <w:rPr>
          <w:rFonts w:hint="eastAsia" w:ascii="Times New Roman" w:hAnsi="Times New Roman" w:eastAsia="仿宋_GB2312" w:cs="Times New Roman"/>
          <w:b w:val="0"/>
          <w:bCs w:val="0"/>
          <w:color w:val="auto"/>
          <w:sz w:val="32"/>
          <w:szCs w:val="32"/>
          <w:highlight w:val="none"/>
          <w:lang w:val="en-US" w:eastAsia="zh-CN"/>
        </w:rPr>
        <w:t>2020年10月24日</w:t>
      </w:r>
      <w:r>
        <w:rPr>
          <w:rFonts w:hint="eastAsia" w:ascii="Times New Roman" w:hAnsi="Times New Roman" w:eastAsia="仿宋_GB2312" w:cs="Times New Roman"/>
          <w:sz w:val="32"/>
          <w:szCs w:val="32"/>
          <w:highlight w:val="none"/>
          <w:lang w:val="en-US" w:eastAsia="zh-CN"/>
        </w:rPr>
        <w:t>开工，开工及时；社会效益显著；受益群众满意度较高。</w:t>
      </w:r>
    </w:p>
    <w:p w14:paraId="48373CA4">
      <w:pPr>
        <w:rPr>
          <w:rFonts w:hint="default"/>
          <w:lang w:val="en-US" w:eastAsia="zh-CN"/>
        </w:rPr>
        <w:sectPr>
          <w:pgSz w:w="11906" w:h="16838"/>
          <w:pgMar w:top="1440" w:right="1080" w:bottom="1440" w:left="1080" w:header="851" w:footer="992" w:gutter="0"/>
          <w:pgNumType w:fmt="decimal"/>
          <w:cols w:space="425" w:num="1"/>
          <w:docGrid w:type="lines" w:linePitch="312" w:charSpace="0"/>
        </w:sectPr>
      </w:pPr>
    </w:p>
    <w:p w14:paraId="744C58FF">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77" w:name="_Toc17571"/>
      <w:r>
        <w:rPr>
          <w:rFonts w:hint="eastAsia" w:ascii="黑体" w:hAnsi="黑体" w:eastAsia="黑体" w:cs="黑体"/>
          <w:b w:val="0"/>
          <w:bCs w:val="0"/>
          <w:highlight w:val="none"/>
          <w:lang w:val="en-US" w:eastAsia="zh-CN"/>
        </w:rPr>
        <w:t>四、绩效评价指标分析</w:t>
      </w:r>
      <w:bookmarkEnd w:id="77"/>
    </w:p>
    <w:p w14:paraId="77D61B93">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78" w:name="_Toc18648"/>
      <w:r>
        <w:rPr>
          <w:rFonts w:hint="eastAsia" w:ascii="仿宋_GB2312" w:hAnsi="仿宋_GB2312" w:eastAsia="仿宋_GB2312" w:cs="仿宋_GB2312"/>
          <w:highlight w:val="none"/>
          <w:lang w:val="en-US" w:eastAsia="zh-CN"/>
        </w:rPr>
        <w:t>（一）项目决策情况</w:t>
      </w:r>
      <w:bookmarkEnd w:id="78"/>
    </w:p>
    <w:p w14:paraId="72D764C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项目建设符合《“十四五”国家高新技术产业开发区发展规划》《关于支持中韩（长春）国际合作示范区建设的意见》（发改振兴〔2020〕711号）等文件要求，项目建成后可</w:t>
      </w:r>
      <w:r>
        <w:rPr>
          <w:rFonts w:hint="default" w:ascii="Times New Roman" w:hAnsi="Times New Roman" w:eastAsia="仿宋_GB2312" w:cs="Times New Roman"/>
          <w:sz w:val="32"/>
          <w:szCs w:val="32"/>
          <w:highlight w:val="none"/>
          <w:lang w:val="en-US" w:eastAsia="zh-CN"/>
        </w:rPr>
        <w:t>支持中外科研机构共建联合实验室、技术实验示范基地和科技示范园区，</w:t>
      </w:r>
      <w:r>
        <w:rPr>
          <w:rFonts w:hint="eastAsia" w:ascii="Times New Roman" w:hAnsi="Times New Roman" w:eastAsia="仿宋_GB2312" w:cs="Times New Roman"/>
          <w:sz w:val="32"/>
          <w:szCs w:val="32"/>
          <w:highlight w:val="none"/>
          <w:lang w:val="en-US" w:eastAsia="zh-CN"/>
        </w:rPr>
        <w:t>能够</w:t>
      </w:r>
      <w:r>
        <w:rPr>
          <w:rFonts w:hint="default" w:ascii="Times New Roman" w:hAnsi="Times New Roman" w:eastAsia="仿宋_GB2312" w:cs="Times New Roman"/>
          <w:sz w:val="32"/>
          <w:szCs w:val="32"/>
          <w:highlight w:val="none"/>
          <w:lang w:val="en-US" w:eastAsia="zh-CN"/>
        </w:rPr>
        <w:t>加快示范区科技成果转化和促进人才培养</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项目属于产业园基础设施建设领域，符合专项债券支持领域和方向。</w:t>
      </w:r>
    </w:p>
    <w:p w14:paraId="4DDC35F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递交了可行性研究报告、初步设计等请示，经过专家审查评估后，取得了相关批复。除可行性研究报告批复、项目建议书批复及建设项目环境影响登记表外，其余批件均在开工后取得。本项目批件取得情况见下表。</w:t>
      </w:r>
    </w:p>
    <w:p w14:paraId="46DD2CB0">
      <w:pPr>
        <w:pStyle w:val="2"/>
        <w:keepNext w:val="0"/>
        <w:keepLines w:val="0"/>
        <w:pageBreakBefore w:val="0"/>
        <w:widowControl w:val="0"/>
        <w:kinsoku/>
        <w:wordWrap/>
        <w:overflowPunct/>
        <w:topLinePunct w:val="0"/>
        <w:autoSpaceDE/>
        <w:autoSpaceDN/>
        <w:bidi w:val="0"/>
        <w:adjustRightInd w:val="0"/>
        <w:snapToGrid w:val="0"/>
        <w:spacing w:after="157" w:afterLines="50" w:line="576"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表4-1-1 中韩（长春）国际合作示范区国际文教科技产业园项目批件汇总表</w:t>
      </w:r>
    </w:p>
    <w:tbl>
      <w:tblPr>
        <w:tblStyle w:val="1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019"/>
        <w:gridCol w:w="6867"/>
      </w:tblGrid>
      <w:tr w14:paraId="48B5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475" w:type="pct"/>
            <w:shd w:val="clear" w:color="auto" w:fill="C8C8C8" w:themeFill="accent3" w:themeFillTint="99"/>
            <w:vAlign w:val="center"/>
          </w:tcPr>
          <w:p w14:paraId="606B65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序号</w:t>
            </w:r>
          </w:p>
        </w:tc>
        <w:tc>
          <w:tcPr>
            <w:tcW w:w="1028" w:type="pct"/>
            <w:shd w:val="clear" w:color="auto" w:fill="C8C8C8" w:themeFill="accent3" w:themeFillTint="99"/>
            <w:vAlign w:val="center"/>
          </w:tcPr>
          <w:p w14:paraId="59F76E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批件日期</w:t>
            </w:r>
          </w:p>
        </w:tc>
        <w:tc>
          <w:tcPr>
            <w:tcW w:w="3496" w:type="pct"/>
            <w:shd w:val="clear" w:color="auto" w:fill="C8C8C8" w:themeFill="accent3" w:themeFillTint="99"/>
            <w:vAlign w:val="center"/>
          </w:tcPr>
          <w:p w14:paraId="3794A2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批件名称</w:t>
            </w:r>
          </w:p>
        </w:tc>
      </w:tr>
      <w:tr w14:paraId="1D99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20D553FA">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520A5C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2020.05.27</w:t>
            </w:r>
          </w:p>
        </w:tc>
        <w:tc>
          <w:tcPr>
            <w:tcW w:w="3496" w:type="pct"/>
            <w:shd w:val="clear" w:color="auto" w:fill="auto"/>
            <w:vAlign w:val="center"/>
          </w:tcPr>
          <w:p w14:paraId="0D5757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《关于中韩（长春）合作示范区国际文教科技产业园项目建议书的批复》（长新发改叁〔2020〕10号）</w:t>
            </w:r>
          </w:p>
        </w:tc>
      </w:tr>
      <w:tr w14:paraId="0127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77D3A88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153E50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2020.07.31</w:t>
            </w:r>
          </w:p>
        </w:tc>
        <w:tc>
          <w:tcPr>
            <w:tcW w:w="3496" w:type="pct"/>
            <w:shd w:val="clear" w:color="auto" w:fill="auto"/>
            <w:vAlign w:val="center"/>
          </w:tcPr>
          <w:p w14:paraId="7A34D5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《关于中韩（长春）国际合作示范区国际文教科技产业园项目可行性研究报告的批复》（长新发改叁〔2020〕35号）</w:t>
            </w:r>
          </w:p>
        </w:tc>
      </w:tr>
      <w:tr w14:paraId="3A09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7E6C7656">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1ACF5A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2020.10.26</w:t>
            </w:r>
          </w:p>
        </w:tc>
        <w:tc>
          <w:tcPr>
            <w:tcW w:w="3496" w:type="pct"/>
            <w:shd w:val="clear" w:color="auto" w:fill="auto"/>
            <w:vAlign w:val="center"/>
          </w:tcPr>
          <w:p w14:paraId="6F0D7A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《建设项目环境影响登记表》</w:t>
            </w:r>
          </w:p>
        </w:tc>
      </w:tr>
      <w:tr w14:paraId="46CA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41D6E1D1">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7F02EA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2020.11.30</w:t>
            </w:r>
          </w:p>
        </w:tc>
        <w:tc>
          <w:tcPr>
            <w:tcW w:w="3496" w:type="pct"/>
            <w:shd w:val="clear" w:color="auto" w:fill="auto"/>
            <w:vAlign w:val="center"/>
          </w:tcPr>
          <w:p w14:paraId="58975A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《吉林省发展改革委关于中韩（长春）国际合作示范区国际文教科技产业园节能报告的审查意见》（吉发改审批〔2020〕299号）</w:t>
            </w:r>
          </w:p>
        </w:tc>
      </w:tr>
      <w:tr w14:paraId="14D6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1B261D0B">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40B1AC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2021.02.03</w:t>
            </w:r>
          </w:p>
        </w:tc>
        <w:tc>
          <w:tcPr>
            <w:tcW w:w="3496" w:type="pct"/>
            <w:shd w:val="clear" w:color="auto" w:fill="auto"/>
            <w:vAlign w:val="center"/>
          </w:tcPr>
          <w:p w14:paraId="382B83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《建设用地规划许可证》（地字第220173202100017号）</w:t>
            </w:r>
          </w:p>
        </w:tc>
      </w:tr>
      <w:tr w14:paraId="2654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6DB07A35">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12148A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2021.03.01</w:t>
            </w:r>
          </w:p>
        </w:tc>
        <w:tc>
          <w:tcPr>
            <w:tcW w:w="3496" w:type="pct"/>
            <w:shd w:val="clear" w:color="auto" w:fill="auto"/>
            <w:vAlign w:val="center"/>
          </w:tcPr>
          <w:p w14:paraId="30A05D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《关于同意中韩（长春）国际合作示范区国际文教科技产业园项目变更项目法人单位名称的批复》（中韩发改审批字〔2021〕35号）</w:t>
            </w:r>
          </w:p>
        </w:tc>
      </w:tr>
      <w:tr w14:paraId="3C16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182AABD0">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0A9E7E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2021.03.01</w:t>
            </w:r>
          </w:p>
        </w:tc>
        <w:tc>
          <w:tcPr>
            <w:tcW w:w="3496" w:type="pct"/>
            <w:shd w:val="clear" w:color="auto" w:fill="auto"/>
            <w:vAlign w:val="center"/>
          </w:tcPr>
          <w:p w14:paraId="5D6523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《关于中韩（长春）国际合作示范区国际文教科技产业园项目初步设计的批复》（中韩发改审批字〔2021〕39号）</w:t>
            </w:r>
          </w:p>
        </w:tc>
      </w:tr>
      <w:tr w14:paraId="0354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167D8C3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23622A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2021.03.02</w:t>
            </w:r>
          </w:p>
        </w:tc>
        <w:tc>
          <w:tcPr>
            <w:tcW w:w="3496" w:type="pct"/>
            <w:shd w:val="clear" w:color="auto" w:fill="auto"/>
            <w:vAlign w:val="center"/>
          </w:tcPr>
          <w:p w14:paraId="3B30CC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《建设工程规划许可证》（建字第220000202100045号）</w:t>
            </w:r>
          </w:p>
        </w:tc>
      </w:tr>
      <w:tr w14:paraId="2AE0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140C9AB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06AEC2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2022.06.30</w:t>
            </w:r>
          </w:p>
        </w:tc>
        <w:tc>
          <w:tcPr>
            <w:tcW w:w="3496" w:type="pct"/>
            <w:shd w:val="clear" w:color="auto" w:fill="auto"/>
            <w:vAlign w:val="center"/>
          </w:tcPr>
          <w:p w14:paraId="03B708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《建筑工程施工许可证》（编号220175202206300101）</w:t>
            </w:r>
          </w:p>
        </w:tc>
      </w:tr>
      <w:tr w14:paraId="7D2B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310486D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028" w:type="pct"/>
            <w:shd w:val="clear" w:color="auto" w:fill="auto"/>
            <w:vAlign w:val="center"/>
          </w:tcPr>
          <w:p w14:paraId="4C29FE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2023.12.01</w:t>
            </w:r>
          </w:p>
        </w:tc>
        <w:tc>
          <w:tcPr>
            <w:tcW w:w="3496" w:type="pct"/>
            <w:shd w:val="clear" w:color="auto" w:fill="auto"/>
            <w:vAlign w:val="center"/>
          </w:tcPr>
          <w:p w14:paraId="22A8A3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《建设工程规划许可证》（建字第2201832023GG0030366号）</w:t>
            </w:r>
          </w:p>
        </w:tc>
      </w:tr>
    </w:tbl>
    <w:p w14:paraId="56799C4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项目单位在申请地方政府专项债券时，严格按照评审要求提供了完整的评审材料。在申请发行专项债券时，编制了项目收益与融资自求平衡方案、法律意见书、财务评价报告书和事前绩效评估报告。</w:t>
      </w:r>
    </w:p>
    <w:p w14:paraId="5EA4175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编制的平衡方案经过科学论证，建设内容与申请专项债券项目内容相匹配，申请专项债券额度测算依据充分，专项债申请额度与当年建设任务相匹配。</w:t>
      </w:r>
    </w:p>
    <w:p w14:paraId="7AC8180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关于中韩（长春）国际合作示范区国际文教科技产业园项目初步设计的批复》（中韩发改审批字〔2021〕39号），项目概算总投资为393912.34万元，其中，工程费用299412.17万元；工程建设其他费用54096.62万元；基本预备费17701.05万元；建设期利息为22702.5万元。资金分配合理。</w:t>
      </w:r>
    </w:p>
    <w:p w14:paraId="1B597D31">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根据项目单位填报的《专项债券项目绩效目标申报表》，项目所申请的专项债券资金与项目概算需求的资金量相匹配。</w:t>
      </w:r>
      <w:r>
        <w:rPr>
          <w:rFonts w:hint="eastAsia" w:ascii="Times New Roman" w:hAnsi="Times New Roman" w:eastAsia="仿宋_GB2312" w:cs="Times New Roman"/>
          <w:color w:val="auto"/>
          <w:sz w:val="32"/>
          <w:szCs w:val="32"/>
          <w:highlight w:val="none"/>
          <w:lang w:val="en-US" w:eastAsia="zh-CN"/>
        </w:rPr>
        <w:t>但</w:t>
      </w:r>
      <w:r>
        <w:rPr>
          <w:rFonts w:hint="default" w:ascii="Times New Roman" w:hAnsi="Times New Roman" w:eastAsia="仿宋_GB2312" w:cs="Times New Roman"/>
          <w:color w:val="auto"/>
          <w:sz w:val="32"/>
          <w:szCs w:val="32"/>
          <w:highlight w:val="none"/>
          <w:lang w:val="en-US" w:eastAsia="zh-CN"/>
        </w:rPr>
        <w:t>项目绩效目标设置有待提升</w:t>
      </w:r>
      <w:r>
        <w:rPr>
          <w:rFonts w:hint="eastAsia" w:ascii="Times New Roman" w:hAnsi="Times New Roman" w:eastAsia="仿宋_GB2312" w:cs="Times New Roman"/>
          <w:color w:val="auto"/>
          <w:sz w:val="32"/>
          <w:szCs w:val="32"/>
          <w:highlight w:val="none"/>
          <w:lang w:val="en-US" w:eastAsia="zh-CN"/>
        </w:rPr>
        <w:t>，年度总体目标及项目总体目标均未阐述项目建设内容。</w:t>
      </w:r>
      <w:r>
        <w:rPr>
          <w:rFonts w:hint="default" w:ascii="Times New Roman" w:hAnsi="Times New Roman" w:eastAsia="仿宋_GB2312" w:cs="Times New Roman"/>
          <w:color w:val="auto"/>
          <w:sz w:val="32"/>
          <w:szCs w:val="32"/>
          <w:highlight w:val="none"/>
          <w:lang w:val="en-US" w:eastAsia="zh-CN"/>
        </w:rPr>
        <w:t>项目所申请的专项债券资金与项目概算需求的资金量相匹配。</w:t>
      </w:r>
    </w:p>
    <w:p w14:paraId="7C1A3008">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部分三级指标及指标值有待进一步完善，</w:t>
      </w:r>
      <w:r>
        <w:rPr>
          <w:rFonts w:hint="eastAsia" w:ascii="Times New Roman" w:hAnsi="Times New Roman" w:eastAsia="仿宋_GB2312" w:cs="Times New Roman"/>
          <w:color w:val="auto"/>
          <w:sz w:val="32"/>
          <w:szCs w:val="32"/>
          <w:highlight w:val="none"/>
          <w:lang w:val="en-US" w:eastAsia="zh-CN"/>
        </w:rPr>
        <w:t>3个质量指标、时效指标“按时开工”、成本指标“单位成本”，指标值均未量化；质量指标“功能、节能、环保”，指标阐述不完整；指标值阐述冗长，建议简化。</w:t>
      </w:r>
    </w:p>
    <w:p w14:paraId="3E18E82E">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79" w:name="_Toc12013"/>
      <w:r>
        <w:rPr>
          <w:rFonts w:hint="eastAsia" w:ascii="仿宋_GB2312" w:hAnsi="仿宋_GB2312" w:eastAsia="仿宋_GB2312" w:cs="仿宋_GB2312"/>
          <w:highlight w:val="none"/>
          <w:lang w:val="en-US" w:eastAsia="zh-CN"/>
        </w:rPr>
        <w:t>（二）项目管理情况</w:t>
      </w:r>
      <w:bookmarkEnd w:id="79"/>
    </w:p>
    <w:p w14:paraId="185A183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资金管理方面，项目单位制定《中韩（长春）国际合作示范区长荣城市建设投资（集团）有限公司财政专项资金管理制度》，但该制度未对专项债券资金的管理、收支、监督、时间节点、审计等内容进行明确约束，资金管理制度不完整。</w:t>
      </w:r>
    </w:p>
    <w:p w14:paraId="49E9A1F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在项目管理方面，未制定相关项目管理办法，对专项债券项目的申报、实施、项目调整、施工质量、监督检查、风险防控、竣工验收等重点内容没有明确约束，项目管理制度不健全。</w:t>
      </w:r>
    </w:p>
    <w:p w14:paraId="611E174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实施过程中按照规定进行招投标，项目勘察、设计、监理及施工、试验检测单位均通过招标确定，项目实施方、设备、人员等都具备相应资质要求从事该项工作。项目招投标、收支凭证等相关资料均能够及时归档、分类明确地保存。但部分合同日期签署不完整，如《技术咨询合同》《咨询业务委托合同》等。</w:t>
      </w:r>
    </w:p>
    <w:p w14:paraId="4CACC5F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项目实施过程中招标情况见下表：</w:t>
      </w:r>
    </w:p>
    <w:p w14:paraId="6915C38D">
      <w:pPr>
        <w:pStyle w:val="2"/>
        <w:keepNext w:val="0"/>
        <w:keepLines w:val="0"/>
        <w:pageBreakBefore w:val="0"/>
        <w:widowControl w:val="0"/>
        <w:kinsoku/>
        <w:wordWrap/>
        <w:overflowPunct/>
        <w:topLinePunct w:val="0"/>
        <w:autoSpaceDE/>
        <w:autoSpaceDN/>
        <w:bidi w:val="0"/>
        <w:adjustRightInd w:val="0"/>
        <w:snapToGrid w:val="0"/>
        <w:spacing w:after="157" w:afterLines="50"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表4-2-1 中韩（长春）国际合作示范区国际文教科技产业园项目招标情况表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00"/>
        <w:gridCol w:w="1781"/>
        <w:gridCol w:w="1445"/>
        <w:gridCol w:w="1372"/>
        <w:gridCol w:w="1702"/>
        <w:gridCol w:w="1145"/>
      </w:tblGrid>
      <w:tr w14:paraId="0C06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trPr>
        <w:tc>
          <w:tcPr>
            <w:tcW w:w="717" w:type="dxa"/>
            <w:shd w:val="clear" w:color="auto" w:fill="C8C8C8" w:themeFill="accent3" w:themeFillTint="99"/>
            <w:vAlign w:val="center"/>
          </w:tcPr>
          <w:p w14:paraId="741B42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序号</w:t>
            </w:r>
          </w:p>
        </w:tc>
        <w:tc>
          <w:tcPr>
            <w:tcW w:w="1800" w:type="dxa"/>
            <w:shd w:val="clear" w:color="auto" w:fill="C8C8C8" w:themeFill="accent3" w:themeFillTint="99"/>
            <w:vAlign w:val="center"/>
          </w:tcPr>
          <w:p w14:paraId="23A18D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招标代理机构</w:t>
            </w:r>
          </w:p>
        </w:tc>
        <w:tc>
          <w:tcPr>
            <w:tcW w:w="1781" w:type="dxa"/>
            <w:shd w:val="clear" w:color="auto" w:fill="C8C8C8" w:themeFill="accent3" w:themeFillTint="99"/>
            <w:vAlign w:val="center"/>
          </w:tcPr>
          <w:p w14:paraId="137A93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招标公告日期</w:t>
            </w:r>
          </w:p>
        </w:tc>
        <w:tc>
          <w:tcPr>
            <w:tcW w:w="1445" w:type="dxa"/>
            <w:shd w:val="clear" w:color="auto" w:fill="C8C8C8" w:themeFill="accent3" w:themeFillTint="99"/>
            <w:vAlign w:val="center"/>
          </w:tcPr>
          <w:p w14:paraId="74E0F9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招标内容</w:t>
            </w:r>
          </w:p>
        </w:tc>
        <w:tc>
          <w:tcPr>
            <w:tcW w:w="1372" w:type="dxa"/>
            <w:shd w:val="clear" w:color="auto" w:fill="C8C8C8" w:themeFill="accent3" w:themeFillTint="99"/>
            <w:vAlign w:val="center"/>
          </w:tcPr>
          <w:p w14:paraId="443FE1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中标日期</w:t>
            </w:r>
          </w:p>
        </w:tc>
        <w:tc>
          <w:tcPr>
            <w:tcW w:w="1702" w:type="dxa"/>
            <w:shd w:val="clear" w:color="auto" w:fill="C8C8C8" w:themeFill="accent3" w:themeFillTint="99"/>
            <w:vAlign w:val="center"/>
          </w:tcPr>
          <w:p w14:paraId="31D51A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中标单位</w:t>
            </w:r>
          </w:p>
        </w:tc>
        <w:tc>
          <w:tcPr>
            <w:tcW w:w="1145" w:type="dxa"/>
            <w:shd w:val="clear" w:color="auto" w:fill="C8C8C8" w:themeFill="accent3" w:themeFillTint="99"/>
            <w:vAlign w:val="center"/>
          </w:tcPr>
          <w:p w14:paraId="411EC5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中标金额</w:t>
            </w:r>
          </w:p>
        </w:tc>
      </w:tr>
      <w:tr w14:paraId="7206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245552D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800" w:type="dxa"/>
            <w:vAlign w:val="center"/>
          </w:tcPr>
          <w:p w14:paraId="3DC8ED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吉林省龙泰工程咨询有限责任公司</w:t>
            </w:r>
          </w:p>
        </w:tc>
        <w:tc>
          <w:tcPr>
            <w:tcW w:w="1781" w:type="dxa"/>
            <w:vAlign w:val="center"/>
          </w:tcPr>
          <w:p w14:paraId="1D47F1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2020.09.07</w:t>
            </w:r>
          </w:p>
        </w:tc>
        <w:tc>
          <w:tcPr>
            <w:tcW w:w="1445" w:type="dxa"/>
            <w:vAlign w:val="center"/>
          </w:tcPr>
          <w:p w14:paraId="1938FC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勘察</w:t>
            </w:r>
          </w:p>
        </w:tc>
        <w:tc>
          <w:tcPr>
            <w:tcW w:w="1372" w:type="dxa"/>
            <w:vAlign w:val="center"/>
          </w:tcPr>
          <w:p w14:paraId="7EF517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2020.10.12</w:t>
            </w:r>
          </w:p>
        </w:tc>
        <w:tc>
          <w:tcPr>
            <w:tcW w:w="1702" w:type="dxa"/>
            <w:vAlign w:val="center"/>
          </w:tcPr>
          <w:p w14:paraId="57D166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中建材资源与环境工程吉林有限公司</w:t>
            </w:r>
          </w:p>
        </w:tc>
        <w:tc>
          <w:tcPr>
            <w:tcW w:w="1145" w:type="dxa"/>
            <w:vAlign w:val="center"/>
          </w:tcPr>
          <w:p w14:paraId="37AB8E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折扣系数0.58</w:t>
            </w:r>
          </w:p>
        </w:tc>
      </w:tr>
      <w:tr w14:paraId="4F83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BE1CAE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800" w:type="dxa"/>
            <w:vAlign w:val="center"/>
          </w:tcPr>
          <w:p w14:paraId="4D3A14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吉林省龙泰工程咨询有限责任公司</w:t>
            </w:r>
          </w:p>
        </w:tc>
        <w:tc>
          <w:tcPr>
            <w:tcW w:w="1781" w:type="dxa"/>
            <w:vAlign w:val="center"/>
          </w:tcPr>
          <w:p w14:paraId="33FB40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2020.09.07</w:t>
            </w:r>
          </w:p>
        </w:tc>
        <w:tc>
          <w:tcPr>
            <w:tcW w:w="1445" w:type="dxa"/>
            <w:vAlign w:val="center"/>
          </w:tcPr>
          <w:p w14:paraId="2A592F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监理</w:t>
            </w:r>
          </w:p>
        </w:tc>
        <w:tc>
          <w:tcPr>
            <w:tcW w:w="1372" w:type="dxa"/>
            <w:vAlign w:val="center"/>
          </w:tcPr>
          <w:p w14:paraId="34F03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2020.10.16</w:t>
            </w:r>
          </w:p>
        </w:tc>
        <w:tc>
          <w:tcPr>
            <w:tcW w:w="1702" w:type="dxa"/>
            <w:vAlign w:val="center"/>
          </w:tcPr>
          <w:p w14:paraId="29AFAC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吉林省中鼎建设工程项目管理有限公司</w:t>
            </w:r>
          </w:p>
        </w:tc>
        <w:tc>
          <w:tcPr>
            <w:tcW w:w="1145" w:type="dxa"/>
            <w:vAlign w:val="center"/>
          </w:tcPr>
          <w:p w14:paraId="45CF7D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折扣系数0.58</w:t>
            </w:r>
          </w:p>
        </w:tc>
      </w:tr>
      <w:tr w14:paraId="7BDF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2C29981F">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800" w:type="dxa"/>
            <w:vAlign w:val="center"/>
          </w:tcPr>
          <w:p w14:paraId="461A94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吉林省龙泰工程咨询有限责任公司</w:t>
            </w:r>
          </w:p>
        </w:tc>
        <w:tc>
          <w:tcPr>
            <w:tcW w:w="1781" w:type="dxa"/>
            <w:vAlign w:val="center"/>
          </w:tcPr>
          <w:p w14:paraId="2F612E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2020.09.07</w:t>
            </w:r>
          </w:p>
        </w:tc>
        <w:tc>
          <w:tcPr>
            <w:tcW w:w="1445" w:type="dxa"/>
            <w:vAlign w:val="center"/>
          </w:tcPr>
          <w:p w14:paraId="0E145B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试验检测</w:t>
            </w:r>
          </w:p>
        </w:tc>
        <w:tc>
          <w:tcPr>
            <w:tcW w:w="1372" w:type="dxa"/>
            <w:vAlign w:val="center"/>
          </w:tcPr>
          <w:p w14:paraId="2801A9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2020.10.20</w:t>
            </w:r>
          </w:p>
        </w:tc>
        <w:tc>
          <w:tcPr>
            <w:tcW w:w="1702" w:type="dxa"/>
            <w:vAlign w:val="center"/>
          </w:tcPr>
          <w:p w14:paraId="3D1B16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吉林省科力建设工程检测有限公司</w:t>
            </w:r>
          </w:p>
        </w:tc>
        <w:tc>
          <w:tcPr>
            <w:tcW w:w="1145" w:type="dxa"/>
            <w:vAlign w:val="center"/>
          </w:tcPr>
          <w:p w14:paraId="0610F8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折扣系数0.48</w:t>
            </w:r>
          </w:p>
        </w:tc>
      </w:tr>
      <w:tr w14:paraId="4C0A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234D5A5">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800" w:type="dxa"/>
            <w:vAlign w:val="center"/>
          </w:tcPr>
          <w:p w14:paraId="3E3D03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吉林省锐峰项目管理有限公司</w:t>
            </w:r>
          </w:p>
        </w:tc>
        <w:tc>
          <w:tcPr>
            <w:tcW w:w="1781" w:type="dxa"/>
            <w:vAlign w:val="center"/>
          </w:tcPr>
          <w:p w14:paraId="2514E2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2020.09.08</w:t>
            </w:r>
          </w:p>
        </w:tc>
        <w:tc>
          <w:tcPr>
            <w:tcW w:w="1445" w:type="dxa"/>
            <w:vAlign w:val="center"/>
          </w:tcPr>
          <w:p w14:paraId="0CA50C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工程总承包</w:t>
            </w:r>
          </w:p>
        </w:tc>
        <w:tc>
          <w:tcPr>
            <w:tcW w:w="1372" w:type="dxa"/>
            <w:vAlign w:val="center"/>
          </w:tcPr>
          <w:p w14:paraId="7544AA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2020.10.19</w:t>
            </w:r>
          </w:p>
        </w:tc>
        <w:tc>
          <w:tcPr>
            <w:tcW w:w="1702" w:type="dxa"/>
            <w:vAlign w:val="center"/>
          </w:tcPr>
          <w:p w14:paraId="12594F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中铁上海工程局集团有限公司、哈尔滨工业大学建筑设计研究院</w:t>
            </w:r>
          </w:p>
        </w:tc>
        <w:tc>
          <w:tcPr>
            <w:tcW w:w="1145" w:type="dxa"/>
            <w:vAlign w:val="center"/>
          </w:tcPr>
          <w:p w14:paraId="2CABD9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施工报价0.97、设计报价0.68</w:t>
            </w:r>
          </w:p>
        </w:tc>
      </w:tr>
    </w:tbl>
    <w:p w14:paraId="1996A4A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项目实施过程中各项合同签订情况见下表：</w:t>
      </w:r>
    </w:p>
    <w:p w14:paraId="71928143">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表4-2-2 中韩（长春）国际合作示范区国际文教科技产业园项目主要合同一览表</w:t>
      </w:r>
    </w:p>
    <w:p w14:paraId="49379781">
      <w:pPr>
        <w:keepNext w:val="0"/>
        <w:keepLines w:val="0"/>
        <w:pageBreakBefore w:val="0"/>
        <w:widowControl w:val="0"/>
        <w:kinsoku/>
        <w:wordWrap/>
        <w:overflowPunct/>
        <w:topLinePunct w:val="0"/>
        <w:autoSpaceDE/>
        <w:autoSpaceDN/>
        <w:bidi w:val="0"/>
        <w:adjustRightInd w:val="0"/>
        <w:snapToGrid w:val="0"/>
        <w:spacing w:line="576" w:lineRule="exact"/>
        <w:jc w:val="right"/>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单位：万元</w:t>
      </w:r>
    </w:p>
    <w:tbl>
      <w:tblPr>
        <w:tblStyle w:val="1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40"/>
        <w:gridCol w:w="1479"/>
        <w:gridCol w:w="2489"/>
        <w:gridCol w:w="1656"/>
        <w:gridCol w:w="1406"/>
      </w:tblGrid>
      <w:tr w14:paraId="6A95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391" w:type="pct"/>
            <w:shd w:val="clear" w:color="auto" w:fill="BFBFBF"/>
            <w:noWrap w:val="0"/>
            <w:vAlign w:val="center"/>
          </w:tcPr>
          <w:p w14:paraId="6878BF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075" w:type="pct"/>
            <w:shd w:val="clear" w:color="auto" w:fill="BFBFBF"/>
            <w:noWrap w:val="0"/>
            <w:vAlign w:val="center"/>
          </w:tcPr>
          <w:p w14:paraId="70FCB5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合同名称</w:t>
            </w:r>
          </w:p>
        </w:tc>
        <w:tc>
          <w:tcPr>
            <w:tcW w:w="743" w:type="pct"/>
            <w:shd w:val="clear" w:color="auto" w:fill="BFBFBF"/>
            <w:noWrap w:val="0"/>
            <w:vAlign w:val="center"/>
          </w:tcPr>
          <w:p w14:paraId="4215ED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签署日期</w:t>
            </w:r>
          </w:p>
        </w:tc>
        <w:tc>
          <w:tcPr>
            <w:tcW w:w="1250" w:type="pct"/>
            <w:shd w:val="clear" w:color="auto" w:fill="BFBFBF"/>
            <w:noWrap w:val="0"/>
            <w:vAlign w:val="center"/>
          </w:tcPr>
          <w:p w14:paraId="4C572B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签约单位</w:t>
            </w:r>
          </w:p>
        </w:tc>
        <w:tc>
          <w:tcPr>
            <w:tcW w:w="832" w:type="pct"/>
            <w:shd w:val="clear" w:color="auto" w:fill="BFBFBF"/>
            <w:noWrap w:val="0"/>
            <w:vAlign w:val="center"/>
          </w:tcPr>
          <w:p w14:paraId="37A399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委托内容</w:t>
            </w:r>
          </w:p>
        </w:tc>
        <w:tc>
          <w:tcPr>
            <w:tcW w:w="706" w:type="pct"/>
            <w:shd w:val="clear" w:color="auto" w:fill="BFBFBF"/>
            <w:noWrap w:val="0"/>
            <w:vAlign w:val="center"/>
          </w:tcPr>
          <w:p w14:paraId="7CECE2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合同金额</w:t>
            </w:r>
          </w:p>
        </w:tc>
      </w:tr>
      <w:tr w14:paraId="5F41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2ACF9D3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D91BA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《技术咨询合同》</w:t>
            </w:r>
          </w:p>
        </w:tc>
        <w:tc>
          <w:tcPr>
            <w:tcW w:w="743" w:type="pct"/>
            <w:noWrap w:val="0"/>
            <w:vAlign w:val="center"/>
          </w:tcPr>
          <w:p w14:paraId="46E684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w:t>
            </w:r>
          </w:p>
        </w:tc>
        <w:tc>
          <w:tcPr>
            <w:tcW w:w="1250" w:type="pct"/>
            <w:noWrap w:val="0"/>
            <w:vAlign w:val="center"/>
          </w:tcPr>
          <w:p w14:paraId="0005D7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吉林省慧雅工程技术有限公司</w:t>
            </w:r>
          </w:p>
        </w:tc>
        <w:tc>
          <w:tcPr>
            <w:tcW w:w="832" w:type="pct"/>
            <w:noWrap w:val="0"/>
            <w:vAlign w:val="center"/>
          </w:tcPr>
          <w:p w14:paraId="09B110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水土保持咨询</w:t>
            </w:r>
          </w:p>
        </w:tc>
        <w:tc>
          <w:tcPr>
            <w:tcW w:w="706" w:type="pct"/>
            <w:noWrap w:val="0"/>
            <w:vAlign w:val="center"/>
          </w:tcPr>
          <w:p w14:paraId="60704D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10.00</w:t>
            </w:r>
          </w:p>
        </w:tc>
      </w:tr>
      <w:tr w14:paraId="6409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5E93DEE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3AD005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《技术咨询合同》</w:t>
            </w:r>
          </w:p>
        </w:tc>
        <w:tc>
          <w:tcPr>
            <w:tcW w:w="743" w:type="pct"/>
            <w:noWrap w:val="0"/>
            <w:vAlign w:val="center"/>
          </w:tcPr>
          <w:p w14:paraId="601806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w:t>
            </w:r>
          </w:p>
        </w:tc>
        <w:tc>
          <w:tcPr>
            <w:tcW w:w="1250" w:type="pct"/>
            <w:noWrap w:val="0"/>
            <w:vAlign w:val="center"/>
          </w:tcPr>
          <w:p w14:paraId="0DB9A3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吉林省城恒工程技术咨询有限公司</w:t>
            </w:r>
          </w:p>
        </w:tc>
        <w:tc>
          <w:tcPr>
            <w:tcW w:w="832" w:type="pct"/>
            <w:noWrap w:val="0"/>
            <w:vAlign w:val="center"/>
          </w:tcPr>
          <w:p w14:paraId="77EA97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资金申请报告</w:t>
            </w:r>
          </w:p>
        </w:tc>
        <w:tc>
          <w:tcPr>
            <w:tcW w:w="706" w:type="pct"/>
            <w:noWrap w:val="0"/>
            <w:vAlign w:val="center"/>
          </w:tcPr>
          <w:p w14:paraId="5D03D1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4.00</w:t>
            </w:r>
          </w:p>
        </w:tc>
      </w:tr>
      <w:tr w14:paraId="199C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33D9D2E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4AB71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《技术咨询合同》</w:t>
            </w:r>
          </w:p>
        </w:tc>
        <w:tc>
          <w:tcPr>
            <w:tcW w:w="743" w:type="pct"/>
            <w:noWrap w:val="0"/>
            <w:vAlign w:val="center"/>
          </w:tcPr>
          <w:p w14:paraId="5F2E44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2021.02</w:t>
            </w:r>
          </w:p>
        </w:tc>
        <w:tc>
          <w:tcPr>
            <w:tcW w:w="1250" w:type="pct"/>
            <w:noWrap w:val="0"/>
            <w:vAlign w:val="center"/>
          </w:tcPr>
          <w:p w14:paraId="488BC4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哈尔滨工业大学建筑设计研究院长春分院</w:t>
            </w:r>
          </w:p>
        </w:tc>
        <w:tc>
          <w:tcPr>
            <w:tcW w:w="832" w:type="pct"/>
            <w:noWrap w:val="0"/>
            <w:vAlign w:val="center"/>
          </w:tcPr>
          <w:p w14:paraId="544EE7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可行性研究报告编制</w:t>
            </w:r>
          </w:p>
        </w:tc>
        <w:tc>
          <w:tcPr>
            <w:tcW w:w="706" w:type="pct"/>
            <w:noWrap w:val="0"/>
            <w:vAlign w:val="center"/>
          </w:tcPr>
          <w:p w14:paraId="2DA58A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8.50</w:t>
            </w:r>
          </w:p>
        </w:tc>
      </w:tr>
      <w:tr w14:paraId="5F6D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0966D64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1218E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《咨询评价业务约定书》</w:t>
            </w:r>
          </w:p>
        </w:tc>
        <w:tc>
          <w:tcPr>
            <w:tcW w:w="743" w:type="pct"/>
            <w:noWrap w:val="0"/>
            <w:vAlign w:val="center"/>
          </w:tcPr>
          <w:p w14:paraId="06A661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w:t>
            </w:r>
          </w:p>
        </w:tc>
        <w:tc>
          <w:tcPr>
            <w:tcW w:w="1250" w:type="pct"/>
            <w:noWrap w:val="0"/>
            <w:vAlign w:val="center"/>
          </w:tcPr>
          <w:p w14:paraId="6B220D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中兴华会计师事务所（特殊普通合伙）吉林分所</w:t>
            </w:r>
          </w:p>
        </w:tc>
        <w:tc>
          <w:tcPr>
            <w:tcW w:w="832" w:type="pct"/>
            <w:noWrap w:val="0"/>
            <w:vAlign w:val="center"/>
          </w:tcPr>
          <w:p w14:paraId="1EFC42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2022年拟发行专项债100000万元</w:t>
            </w:r>
          </w:p>
        </w:tc>
        <w:tc>
          <w:tcPr>
            <w:tcW w:w="706" w:type="pct"/>
            <w:noWrap w:val="0"/>
            <w:vAlign w:val="center"/>
          </w:tcPr>
          <w:p w14:paraId="1ABEF0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r>
      <w:tr w14:paraId="62C2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07842756">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2B8D6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《咨询评价业务约定书》</w:t>
            </w:r>
          </w:p>
        </w:tc>
        <w:tc>
          <w:tcPr>
            <w:tcW w:w="743" w:type="pct"/>
            <w:noWrap w:val="0"/>
            <w:vAlign w:val="center"/>
          </w:tcPr>
          <w:p w14:paraId="5B368C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w:t>
            </w:r>
          </w:p>
        </w:tc>
        <w:tc>
          <w:tcPr>
            <w:tcW w:w="1250" w:type="pct"/>
            <w:noWrap w:val="0"/>
            <w:vAlign w:val="center"/>
          </w:tcPr>
          <w:p w14:paraId="6A61A9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中兴华会计师事务所（特殊普通合伙）吉林分所</w:t>
            </w:r>
          </w:p>
        </w:tc>
        <w:tc>
          <w:tcPr>
            <w:tcW w:w="832" w:type="pct"/>
            <w:noWrap w:val="0"/>
            <w:vAlign w:val="center"/>
          </w:tcPr>
          <w:p w14:paraId="3B2921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财务评价</w:t>
            </w:r>
          </w:p>
        </w:tc>
        <w:tc>
          <w:tcPr>
            <w:tcW w:w="706" w:type="pct"/>
            <w:noWrap w:val="0"/>
            <w:vAlign w:val="center"/>
          </w:tcPr>
          <w:p w14:paraId="1AEF26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12.00</w:t>
            </w:r>
          </w:p>
        </w:tc>
      </w:tr>
      <w:tr w14:paraId="60D5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5235D8E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AB1FA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《咨询评价业务约定书》</w:t>
            </w:r>
          </w:p>
        </w:tc>
        <w:tc>
          <w:tcPr>
            <w:tcW w:w="743" w:type="pct"/>
            <w:noWrap w:val="0"/>
            <w:vAlign w:val="center"/>
          </w:tcPr>
          <w:p w14:paraId="56B9D3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w:t>
            </w:r>
          </w:p>
        </w:tc>
        <w:tc>
          <w:tcPr>
            <w:tcW w:w="1250" w:type="pct"/>
            <w:noWrap w:val="0"/>
            <w:vAlign w:val="center"/>
          </w:tcPr>
          <w:p w14:paraId="119744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中兴华会计师事务所（特殊普通合伙）吉林分所</w:t>
            </w:r>
          </w:p>
        </w:tc>
        <w:tc>
          <w:tcPr>
            <w:tcW w:w="832" w:type="pct"/>
            <w:noWrap w:val="0"/>
            <w:vAlign w:val="center"/>
          </w:tcPr>
          <w:p w14:paraId="1C76CC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财务评价</w:t>
            </w:r>
          </w:p>
        </w:tc>
        <w:tc>
          <w:tcPr>
            <w:tcW w:w="706" w:type="pct"/>
            <w:noWrap w:val="0"/>
            <w:vAlign w:val="center"/>
          </w:tcPr>
          <w:p w14:paraId="198C73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r>
      <w:tr w14:paraId="626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13DCEE1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68A26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《咨询业务委托合同》</w:t>
            </w:r>
          </w:p>
        </w:tc>
        <w:tc>
          <w:tcPr>
            <w:tcW w:w="743" w:type="pct"/>
            <w:noWrap w:val="0"/>
            <w:vAlign w:val="center"/>
          </w:tcPr>
          <w:p w14:paraId="466458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w:t>
            </w:r>
          </w:p>
        </w:tc>
        <w:tc>
          <w:tcPr>
            <w:tcW w:w="1250" w:type="pct"/>
            <w:noWrap w:val="0"/>
            <w:vAlign w:val="center"/>
          </w:tcPr>
          <w:p w14:paraId="29C6B1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吉林汇通会计师事务所有限公司</w:t>
            </w:r>
          </w:p>
        </w:tc>
        <w:tc>
          <w:tcPr>
            <w:tcW w:w="832" w:type="pct"/>
            <w:noWrap w:val="0"/>
            <w:vAlign w:val="center"/>
          </w:tcPr>
          <w:p w14:paraId="59EEA5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事前绩效评估报告编制</w:t>
            </w:r>
          </w:p>
        </w:tc>
        <w:tc>
          <w:tcPr>
            <w:tcW w:w="706" w:type="pct"/>
            <w:noWrap w:val="0"/>
            <w:vAlign w:val="center"/>
          </w:tcPr>
          <w:p w14:paraId="1E5735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4.70</w:t>
            </w:r>
          </w:p>
        </w:tc>
      </w:tr>
      <w:tr w14:paraId="7344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4166791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2EAD8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《自评咨询服务合同书》</w:t>
            </w:r>
          </w:p>
        </w:tc>
        <w:tc>
          <w:tcPr>
            <w:tcW w:w="743" w:type="pct"/>
            <w:noWrap w:val="0"/>
            <w:vAlign w:val="center"/>
          </w:tcPr>
          <w:p w14:paraId="22D08E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w:t>
            </w:r>
          </w:p>
        </w:tc>
        <w:tc>
          <w:tcPr>
            <w:tcW w:w="1250" w:type="pct"/>
            <w:noWrap w:val="0"/>
            <w:vAlign w:val="center"/>
          </w:tcPr>
          <w:p w14:paraId="6DAB6A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吉林昊辰咨询有限责任公司</w:t>
            </w:r>
          </w:p>
        </w:tc>
        <w:tc>
          <w:tcPr>
            <w:tcW w:w="832" w:type="pct"/>
            <w:noWrap w:val="0"/>
            <w:vAlign w:val="center"/>
          </w:tcPr>
          <w:p w14:paraId="549B86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自评报告编制</w:t>
            </w:r>
          </w:p>
        </w:tc>
        <w:tc>
          <w:tcPr>
            <w:tcW w:w="706" w:type="pct"/>
            <w:noWrap w:val="0"/>
            <w:vAlign w:val="center"/>
          </w:tcPr>
          <w:p w14:paraId="61B3BD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2.50</w:t>
            </w:r>
          </w:p>
        </w:tc>
      </w:tr>
      <w:tr w14:paraId="264C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09E2F47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9C696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《技术咨询合同》</w:t>
            </w:r>
          </w:p>
        </w:tc>
        <w:tc>
          <w:tcPr>
            <w:tcW w:w="743" w:type="pct"/>
            <w:noWrap w:val="0"/>
            <w:vAlign w:val="center"/>
          </w:tcPr>
          <w:p w14:paraId="40570F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w:t>
            </w:r>
          </w:p>
        </w:tc>
        <w:tc>
          <w:tcPr>
            <w:tcW w:w="1250" w:type="pct"/>
            <w:noWrap w:val="0"/>
            <w:vAlign w:val="center"/>
          </w:tcPr>
          <w:p w14:paraId="073DC1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吉林省城恒环保科技开发有限公司</w:t>
            </w:r>
          </w:p>
        </w:tc>
        <w:tc>
          <w:tcPr>
            <w:tcW w:w="832" w:type="pct"/>
            <w:noWrap w:val="0"/>
            <w:vAlign w:val="center"/>
          </w:tcPr>
          <w:p w14:paraId="5B31AF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节能评估</w:t>
            </w:r>
          </w:p>
        </w:tc>
        <w:tc>
          <w:tcPr>
            <w:tcW w:w="706" w:type="pct"/>
            <w:noWrap w:val="0"/>
            <w:vAlign w:val="center"/>
          </w:tcPr>
          <w:p w14:paraId="5DFD5D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11.00</w:t>
            </w:r>
          </w:p>
        </w:tc>
      </w:tr>
      <w:tr w14:paraId="2231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6CCEDA9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CB32C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《建设工程施工合同》</w:t>
            </w:r>
          </w:p>
        </w:tc>
        <w:tc>
          <w:tcPr>
            <w:tcW w:w="743" w:type="pct"/>
            <w:noWrap w:val="0"/>
            <w:vAlign w:val="center"/>
          </w:tcPr>
          <w:p w14:paraId="0C566F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2020.09.22</w:t>
            </w:r>
          </w:p>
        </w:tc>
        <w:tc>
          <w:tcPr>
            <w:tcW w:w="1250" w:type="pct"/>
            <w:noWrap w:val="0"/>
            <w:vAlign w:val="center"/>
          </w:tcPr>
          <w:p w14:paraId="5B576B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吉林省瑞瑀建筑工程有限公司</w:t>
            </w:r>
          </w:p>
        </w:tc>
        <w:tc>
          <w:tcPr>
            <w:tcW w:w="832" w:type="pct"/>
            <w:noWrap w:val="0"/>
            <w:vAlign w:val="center"/>
          </w:tcPr>
          <w:p w14:paraId="59A6AA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围挡施工</w:t>
            </w:r>
          </w:p>
        </w:tc>
        <w:tc>
          <w:tcPr>
            <w:tcW w:w="706" w:type="pct"/>
            <w:noWrap w:val="0"/>
            <w:vAlign w:val="center"/>
          </w:tcPr>
          <w:p w14:paraId="081E35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334.87</w:t>
            </w:r>
          </w:p>
        </w:tc>
      </w:tr>
      <w:tr w14:paraId="52F8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47F87C6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1D6FF2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《基坑工程监测合同》</w:t>
            </w:r>
          </w:p>
        </w:tc>
        <w:tc>
          <w:tcPr>
            <w:tcW w:w="743" w:type="pct"/>
            <w:noWrap w:val="0"/>
            <w:vAlign w:val="center"/>
          </w:tcPr>
          <w:p w14:paraId="58D13C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2020.10.18</w:t>
            </w:r>
          </w:p>
        </w:tc>
        <w:tc>
          <w:tcPr>
            <w:tcW w:w="1250" w:type="pct"/>
            <w:noWrap w:val="0"/>
            <w:vAlign w:val="center"/>
          </w:tcPr>
          <w:p w14:paraId="0CA0E4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吉林省恒基岩土勘测有限责任公司</w:t>
            </w:r>
          </w:p>
        </w:tc>
        <w:tc>
          <w:tcPr>
            <w:tcW w:w="832" w:type="pct"/>
            <w:noWrap w:val="0"/>
            <w:vAlign w:val="center"/>
          </w:tcPr>
          <w:p w14:paraId="569B56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基坑监测</w:t>
            </w:r>
          </w:p>
        </w:tc>
        <w:tc>
          <w:tcPr>
            <w:tcW w:w="706" w:type="pct"/>
            <w:noWrap w:val="0"/>
            <w:vAlign w:val="center"/>
          </w:tcPr>
          <w:p w14:paraId="36287A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折扣系数0.61</w:t>
            </w:r>
          </w:p>
        </w:tc>
      </w:tr>
      <w:tr w14:paraId="270D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27769405">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78B6E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《建设项目工程总承包合同》</w:t>
            </w:r>
          </w:p>
        </w:tc>
        <w:tc>
          <w:tcPr>
            <w:tcW w:w="743" w:type="pct"/>
            <w:noWrap w:val="0"/>
            <w:vAlign w:val="center"/>
          </w:tcPr>
          <w:p w14:paraId="51C9D7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2020.10.21</w:t>
            </w:r>
          </w:p>
        </w:tc>
        <w:tc>
          <w:tcPr>
            <w:tcW w:w="1250" w:type="pct"/>
            <w:noWrap w:val="0"/>
            <w:vAlign w:val="center"/>
          </w:tcPr>
          <w:p w14:paraId="3C0455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中铁上海工程局集团有限公司（联合体牵头人）、哈尔滨工业大学建筑设计研究院（联合体成员）</w:t>
            </w:r>
          </w:p>
        </w:tc>
        <w:tc>
          <w:tcPr>
            <w:tcW w:w="832" w:type="pct"/>
            <w:noWrap w:val="0"/>
            <w:vAlign w:val="center"/>
          </w:tcPr>
          <w:p w14:paraId="18BF97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施工及设计</w:t>
            </w:r>
          </w:p>
        </w:tc>
        <w:tc>
          <w:tcPr>
            <w:tcW w:w="706" w:type="pct"/>
            <w:noWrap w:val="0"/>
            <w:vAlign w:val="center"/>
          </w:tcPr>
          <w:p w14:paraId="3503A4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358127.74</w:t>
            </w:r>
          </w:p>
        </w:tc>
      </w:tr>
      <w:tr w14:paraId="45DC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2B91199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4D25C6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《总承包施工合同补充协议二》</w:t>
            </w:r>
          </w:p>
        </w:tc>
        <w:tc>
          <w:tcPr>
            <w:tcW w:w="743" w:type="pct"/>
            <w:noWrap w:val="0"/>
            <w:vAlign w:val="center"/>
          </w:tcPr>
          <w:p w14:paraId="2305E7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2020.10.21</w:t>
            </w:r>
          </w:p>
        </w:tc>
        <w:tc>
          <w:tcPr>
            <w:tcW w:w="1250" w:type="pct"/>
            <w:noWrap w:val="0"/>
            <w:vAlign w:val="center"/>
          </w:tcPr>
          <w:p w14:paraId="26D9D9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中铁上海工程局集团有限公司（联合体牵头人）、哈尔滨工业大学建筑设计研究院（联合体成员）</w:t>
            </w:r>
          </w:p>
        </w:tc>
        <w:tc>
          <w:tcPr>
            <w:tcW w:w="832" w:type="pct"/>
            <w:noWrap w:val="0"/>
            <w:vAlign w:val="center"/>
          </w:tcPr>
          <w:p w14:paraId="0FB5DD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总承包施工合同补充</w:t>
            </w:r>
          </w:p>
        </w:tc>
        <w:tc>
          <w:tcPr>
            <w:tcW w:w="706" w:type="pct"/>
            <w:noWrap w:val="0"/>
            <w:vAlign w:val="center"/>
          </w:tcPr>
          <w:p w14:paraId="2495A6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w:t>
            </w:r>
          </w:p>
        </w:tc>
      </w:tr>
      <w:tr w14:paraId="088F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3934ABF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008133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《建设工程监理合同》</w:t>
            </w:r>
          </w:p>
        </w:tc>
        <w:tc>
          <w:tcPr>
            <w:tcW w:w="743" w:type="pct"/>
            <w:noWrap w:val="0"/>
            <w:vAlign w:val="center"/>
          </w:tcPr>
          <w:p w14:paraId="708F5E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2020.10.22</w:t>
            </w:r>
          </w:p>
        </w:tc>
        <w:tc>
          <w:tcPr>
            <w:tcW w:w="1250" w:type="pct"/>
            <w:noWrap w:val="0"/>
            <w:vAlign w:val="center"/>
          </w:tcPr>
          <w:p w14:paraId="7E1F51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吉林省中鼎建设工程项目管理有限公司</w:t>
            </w:r>
          </w:p>
        </w:tc>
        <w:tc>
          <w:tcPr>
            <w:tcW w:w="832" w:type="pct"/>
            <w:noWrap w:val="0"/>
            <w:vAlign w:val="center"/>
          </w:tcPr>
          <w:p w14:paraId="68FC0D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监理</w:t>
            </w:r>
          </w:p>
        </w:tc>
        <w:tc>
          <w:tcPr>
            <w:tcW w:w="706" w:type="pct"/>
            <w:noWrap w:val="0"/>
            <w:vAlign w:val="center"/>
          </w:tcPr>
          <w:p w14:paraId="3D76D0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执行折扣系数0.58</w:t>
            </w:r>
          </w:p>
        </w:tc>
      </w:tr>
      <w:tr w14:paraId="0AA7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5B7A8ED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9A665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《电力工程临电设计入围合同》</w:t>
            </w:r>
          </w:p>
        </w:tc>
        <w:tc>
          <w:tcPr>
            <w:tcW w:w="743" w:type="pct"/>
            <w:noWrap w:val="0"/>
            <w:vAlign w:val="center"/>
          </w:tcPr>
          <w:p w14:paraId="767CB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2020.10.22</w:t>
            </w:r>
          </w:p>
        </w:tc>
        <w:tc>
          <w:tcPr>
            <w:tcW w:w="1250" w:type="pct"/>
            <w:noWrap w:val="0"/>
            <w:vAlign w:val="center"/>
          </w:tcPr>
          <w:p w14:paraId="5989EB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吉林省远成电力设计有限公司</w:t>
            </w:r>
          </w:p>
        </w:tc>
        <w:tc>
          <w:tcPr>
            <w:tcW w:w="832" w:type="pct"/>
            <w:noWrap w:val="0"/>
            <w:vAlign w:val="center"/>
          </w:tcPr>
          <w:p w14:paraId="3EB104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临电设计</w:t>
            </w:r>
          </w:p>
        </w:tc>
        <w:tc>
          <w:tcPr>
            <w:tcW w:w="706" w:type="pct"/>
            <w:noWrap w:val="0"/>
            <w:vAlign w:val="center"/>
          </w:tcPr>
          <w:p w14:paraId="2889AF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折扣系数0.68</w:t>
            </w:r>
          </w:p>
        </w:tc>
      </w:tr>
      <w:tr w14:paraId="7065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2DDB9DC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4BCD94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《电力工程临电设计入围合同》</w:t>
            </w:r>
          </w:p>
        </w:tc>
        <w:tc>
          <w:tcPr>
            <w:tcW w:w="743" w:type="pct"/>
            <w:noWrap w:val="0"/>
            <w:vAlign w:val="center"/>
          </w:tcPr>
          <w:p w14:paraId="301433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2020.10.22</w:t>
            </w:r>
          </w:p>
        </w:tc>
        <w:tc>
          <w:tcPr>
            <w:tcW w:w="1250" w:type="pct"/>
            <w:noWrap w:val="0"/>
            <w:vAlign w:val="center"/>
          </w:tcPr>
          <w:p w14:paraId="1A7773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吉林省科沃电力设计有限公司</w:t>
            </w:r>
          </w:p>
        </w:tc>
        <w:tc>
          <w:tcPr>
            <w:tcW w:w="832" w:type="pct"/>
            <w:noWrap w:val="0"/>
            <w:vAlign w:val="center"/>
          </w:tcPr>
          <w:p w14:paraId="3D5B68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临电设计</w:t>
            </w:r>
          </w:p>
        </w:tc>
        <w:tc>
          <w:tcPr>
            <w:tcW w:w="706" w:type="pct"/>
            <w:noWrap w:val="0"/>
            <w:vAlign w:val="center"/>
          </w:tcPr>
          <w:p w14:paraId="164B88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折扣系数0.68</w:t>
            </w:r>
          </w:p>
        </w:tc>
      </w:tr>
      <w:tr w14:paraId="295E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6A973CD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13089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《电力工程临电设计入围合同》</w:t>
            </w:r>
          </w:p>
        </w:tc>
        <w:tc>
          <w:tcPr>
            <w:tcW w:w="743" w:type="pct"/>
            <w:noWrap w:val="0"/>
            <w:vAlign w:val="center"/>
          </w:tcPr>
          <w:p w14:paraId="58F1AF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2020.10.22</w:t>
            </w:r>
          </w:p>
        </w:tc>
        <w:tc>
          <w:tcPr>
            <w:tcW w:w="1250" w:type="pct"/>
            <w:noWrap w:val="0"/>
            <w:vAlign w:val="center"/>
          </w:tcPr>
          <w:p w14:paraId="029994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吉林省瑞恒设计工程有限公司</w:t>
            </w:r>
          </w:p>
        </w:tc>
        <w:tc>
          <w:tcPr>
            <w:tcW w:w="832" w:type="pct"/>
            <w:noWrap w:val="0"/>
            <w:vAlign w:val="center"/>
          </w:tcPr>
          <w:p w14:paraId="41F927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临电设计</w:t>
            </w:r>
          </w:p>
        </w:tc>
        <w:tc>
          <w:tcPr>
            <w:tcW w:w="706" w:type="pct"/>
            <w:noWrap w:val="0"/>
            <w:vAlign w:val="center"/>
          </w:tcPr>
          <w:p w14:paraId="3A2A7D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折扣系数0.66</w:t>
            </w:r>
          </w:p>
        </w:tc>
      </w:tr>
      <w:tr w14:paraId="3EAC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596857EB">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28AFE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《建设工程检测合同》</w:t>
            </w:r>
          </w:p>
        </w:tc>
        <w:tc>
          <w:tcPr>
            <w:tcW w:w="743" w:type="pct"/>
            <w:noWrap w:val="0"/>
            <w:vAlign w:val="center"/>
          </w:tcPr>
          <w:p w14:paraId="6D283F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2020.10.22</w:t>
            </w:r>
          </w:p>
        </w:tc>
        <w:tc>
          <w:tcPr>
            <w:tcW w:w="1250" w:type="pct"/>
            <w:noWrap w:val="0"/>
            <w:vAlign w:val="center"/>
          </w:tcPr>
          <w:p w14:paraId="2B7129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吉林省科力建设工程检测有限公司</w:t>
            </w:r>
          </w:p>
        </w:tc>
        <w:tc>
          <w:tcPr>
            <w:tcW w:w="832" w:type="pct"/>
            <w:noWrap w:val="0"/>
            <w:vAlign w:val="center"/>
          </w:tcPr>
          <w:p w14:paraId="512430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建筑材料检测</w:t>
            </w:r>
          </w:p>
        </w:tc>
        <w:tc>
          <w:tcPr>
            <w:tcW w:w="706" w:type="pct"/>
            <w:noWrap w:val="0"/>
            <w:vAlign w:val="center"/>
          </w:tcPr>
          <w:p w14:paraId="717350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折扣系数0.48</w:t>
            </w:r>
          </w:p>
        </w:tc>
      </w:tr>
      <w:tr w14:paraId="74EB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4B66694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385869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《建设工程勘察合同》</w:t>
            </w:r>
          </w:p>
        </w:tc>
        <w:tc>
          <w:tcPr>
            <w:tcW w:w="743" w:type="pct"/>
            <w:noWrap w:val="0"/>
            <w:vAlign w:val="center"/>
          </w:tcPr>
          <w:p w14:paraId="4499FA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2020.10.27</w:t>
            </w:r>
          </w:p>
        </w:tc>
        <w:tc>
          <w:tcPr>
            <w:tcW w:w="1250" w:type="pct"/>
            <w:noWrap w:val="0"/>
            <w:vAlign w:val="center"/>
          </w:tcPr>
          <w:p w14:paraId="402FDB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中建材资源与环境工程吉林有限公司</w:t>
            </w:r>
          </w:p>
        </w:tc>
        <w:tc>
          <w:tcPr>
            <w:tcW w:w="832" w:type="pct"/>
            <w:noWrap w:val="0"/>
            <w:vAlign w:val="center"/>
          </w:tcPr>
          <w:p w14:paraId="26633F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勘察</w:t>
            </w:r>
          </w:p>
        </w:tc>
        <w:tc>
          <w:tcPr>
            <w:tcW w:w="706" w:type="pct"/>
            <w:noWrap w:val="0"/>
            <w:vAlign w:val="center"/>
          </w:tcPr>
          <w:p w14:paraId="28CB46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中标折扣系数0.58（含全部税费）</w:t>
            </w:r>
          </w:p>
        </w:tc>
      </w:tr>
      <w:tr w14:paraId="7640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5176AFA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39AEBB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《承保补充协议一》</w:t>
            </w:r>
          </w:p>
        </w:tc>
        <w:tc>
          <w:tcPr>
            <w:tcW w:w="743" w:type="pct"/>
            <w:noWrap w:val="0"/>
            <w:vAlign w:val="center"/>
          </w:tcPr>
          <w:p w14:paraId="0800E9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2020.11.01</w:t>
            </w:r>
          </w:p>
        </w:tc>
        <w:tc>
          <w:tcPr>
            <w:tcW w:w="1250" w:type="pct"/>
            <w:noWrap w:val="0"/>
            <w:vAlign w:val="center"/>
          </w:tcPr>
          <w:p w14:paraId="00F369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中铁上海工程局集团有限公司（联合体牵头人）、哈尔滨工业大学建筑设计研究院（联合体成员）</w:t>
            </w:r>
          </w:p>
        </w:tc>
        <w:tc>
          <w:tcPr>
            <w:tcW w:w="832" w:type="pct"/>
            <w:noWrap w:val="0"/>
            <w:vAlign w:val="center"/>
          </w:tcPr>
          <w:p w14:paraId="1728BB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706" w:type="pct"/>
            <w:noWrap w:val="0"/>
            <w:vAlign w:val="center"/>
          </w:tcPr>
          <w:p w14:paraId="763047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w:t>
            </w:r>
          </w:p>
        </w:tc>
      </w:tr>
      <w:tr w14:paraId="6E1E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77F8A1C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9C423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《电力工程正式电设计入围合同》</w:t>
            </w:r>
          </w:p>
        </w:tc>
        <w:tc>
          <w:tcPr>
            <w:tcW w:w="743" w:type="pct"/>
            <w:noWrap w:val="0"/>
            <w:vAlign w:val="center"/>
          </w:tcPr>
          <w:p w14:paraId="14E18B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2021.01.20</w:t>
            </w:r>
          </w:p>
        </w:tc>
        <w:tc>
          <w:tcPr>
            <w:tcW w:w="1250" w:type="pct"/>
            <w:noWrap w:val="0"/>
            <w:vAlign w:val="center"/>
          </w:tcPr>
          <w:p w14:paraId="188CC5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吉林省远成电力设计有限公司</w:t>
            </w:r>
          </w:p>
        </w:tc>
        <w:tc>
          <w:tcPr>
            <w:tcW w:w="832" w:type="pct"/>
            <w:noWrap w:val="0"/>
            <w:vAlign w:val="center"/>
          </w:tcPr>
          <w:p w14:paraId="614040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正式电设计</w:t>
            </w:r>
          </w:p>
        </w:tc>
        <w:tc>
          <w:tcPr>
            <w:tcW w:w="706" w:type="pct"/>
            <w:noWrap w:val="0"/>
            <w:vAlign w:val="center"/>
          </w:tcPr>
          <w:p w14:paraId="647D7C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折扣系数0.68</w:t>
            </w:r>
          </w:p>
        </w:tc>
      </w:tr>
      <w:tr w14:paraId="1C0C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1277ECD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8985F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《电力工程正式电设计入围合同》</w:t>
            </w:r>
          </w:p>
        </w:tc>
        <w:tc>
          <w:tcPr>
            <w:tcW w:w="743" w:type="pct"/>
            <w:noWrap w:val="0"/>
            <w:vAlign w:val="center"/>
          </w:tcPr>
          <w:p w14:paraId="20F954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2021.01.20</w:t>
            </w:r>
          </w:p>
        </w:tc>
        <w:tc>
          <w:tcPr>
            <w:tcW w:w="1250" w:type="pct"/>
            <w:noWrap w:val="0"/>
            <w:vAlign w:val="center"/>
          </w:tcPr>
          <w:p w14:paraId="4F426E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吉林省科沃电力设计有限公司</w:t>
            </w:r>
          </w:p>
        </w:tc>
        <w:tc>
          <w:tcPr>
            <w:tcW w:w="832" w:type="pct"/>
            <w:noWrap w:val="0"/>
            <w:vAlign w:val="center"/>
          </w:tcPr>
          <w:p w14:paraId="4079F7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正式电设计</w:t>
            </w:r>
          </w:p>
        </w:tc>
        <w:tc>
          <w:tcPr>
            <w:tcW w:w="706" w:type="pct"/>
            <w:noWrap w:val="0"/>
            <w:vAlign w:val="center"/>
          </w:tcPr>
          <w:p w14:paraId="70A284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折扣系数0.68</w:t>
            </w:r>
          </w:p>
        </w:tc>
      </w:tr>
      <w:tr w14:paraId="5F28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239E393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B6026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《电力工程正式电设计入围合同》</w:t>
            </w:r>
          </w:p>
        </w:tc>
        <w:tc>
          <w:tcPr>
            <w:tcW w:w="743" w:type="pct"/>
            <w:noWrap w:val="0"/>
            <w:vAlign w:val="center"/>
          </w:tcPr>
          <w:p w14:paraId="35B9E7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2021.01.20</w:t>
            </w:r>
          </w:p>
        </w:tc>
        <w:tc>
          <w:tcPr>
            <w:tcW w:w="1250" w:type="pct"/>
            <w:noWrap w:val="0"/>
            <w:vAlign w:val="center"/>
          </w:tcPr>
          <w:p w14:paraId="607EAC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吉林省瑞恒设计工程有限公司</w:t>
            </w:r>
          </w:p>
        </w:tc>
        <w:tc>
          <w:tcPr>
            <w:tcW w:w="832" w:type="pct"/>
            <w:noWrap w:val="0"/>
            <w:vAlign w:val="center"/>
          </w:tcPr>
          <w:p w14:paraId="37B5FF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正式电设计</w:t>
            </w:r>
          </w:p>
        </w:tc>
        <w:tc>
          <w:tcPr>
            <w:tcW w:w="706" w:type="pct"/>
            <w:noWrap w:val="0"/>
            <w:vAlign w:val="center"/>
          </w:tcPr>
          <w:p w14:paraId="3A0744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折扣系数0.67</w:t>
            </w:r>
          </w:p>
        </w:tc>
      </w:tr>
      <w:tr w14:paraId="1F20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6693D76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3E9DBF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《建设工程施工合同》</w:t>
            </w:r>
          </w:p>
        </w:tc>
        <w:tc>
          <w:tcPr>
            <w:tcW w:w="743" w:type="pct"/>
            <w:noWrap w:val="0"/>
            <w:vAlign w:val="center"/>
          </w:tcPr>
          <w:p w14:paraId="24B6C5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2021.01.20</w:t>
            </w:r>
          </w:p>
        </w:tc>
        <w:tc>
          <w:tcPr>
            <w:tcW w:w="1250" w:type="pct"/>
            <w:noWrap w:val="0"/>
            <w:vAlign w:val="center"/>
          </w:tcPr>
          <w:p w14:paraId="339696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吉林省嘉格电力工程有限公司</w:t>
            </w:r>
          </w:p>
        </w:tc>
        <w:tc>
          <w:tcPr>
            <w:tcW w:w="832" w:type="pct"/>
            <w:noWrap w:val="0"/>
            <w:vAlign w:val="center"/>
          </w:tcPr>
          <w:p w14:paraId="743CCE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临时用电工程</w:t>
            </w:r>
          </w:p>
        </w:tc>
        <w:tc>
          <w:tcPr>
            <w:tcW w:w="706" w:type="pct"/>
            <w:noWrap w:val="0"/>
            <w:vAlign w:val="center"/>
          </w:tcPr>
          <w:p w14:paraId="72D095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1407.99</w:t>
            </w:r>
          </w:p>
        </w:tc>
      </w:tr>
      <w:tr w14:paraId="2A77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13C1F21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02D23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《建设工程监理合同》</w:t>
            </w:r>
          </w:p>
        </w:tc>
        <w:tc>
          <w:tcPr>
            <w:tcW w:w="743" w:type="pct"/>
            <w:noWrap w:val="0"/>
            <w:vAlign w:val="center"/>
          </w:tcPr>
          <w:p w14:paraId="4E445F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2021.01.20</w:t>
            </w:r>
          </w:p>
        </w:tc>
        <w:tc>
          <w:tcPr>
            <w:tcW w:w="1250" w:type="pct"/>
            <w:noWrap w:val="0"/>
            <w:vAlign w:val="center"/>
          </w:tcPr>
          <w:p w14:paraId="6B2453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吉林省利达工程项目管理有限公司</w:t>
            </w:r>
          </w:p>
        </w:tc>
        <w:tc>
          <w:tcPr>
            <w:tcW w:w="832" w:type="pct"/>
            <w:noWrap w:val="0"/>
            <w:vAlign w:val="center"/>
          </w:tcPr>
          <w:p w14:paraId="4840D5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10KV架空线排迁工程监理</w:t>
            </w:r>
          </w:p>
        </w:tc>
        <w:tc>
          <w:tcPr>
            <w:tcW w:w="706" w:type="pct"/>
            <w:noWrap w:val="0"/>
            <w:vAlign w:val="center"/>
          </w:tcPr>
          <w:p w14:paraId="3928FA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扣系数0.48</w:t>
            </w:r>
          </w:p>
        </w:tc>
      </w:tr>
      <w:tr w14:paraId="0515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7300BDB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4E8D3A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《建设工程施工合同》</w:t>
            </w:r>
          </w:p>
        </w:tc>
        <w:tc>
          <w:tcPr>
            <w:tcW w:w="743" w:type="pct"/>
            <w:noWrap w:val="0"/>
            <w:vAlign w:val="center"/>
          </w:tcPr>
          <w:p w14:paraId="46152E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2021.02.18</w:t>
            </w:r>
          </w:p>
        </w:tc>
        <w:tc>
          <w:tcPr>
            <w:tcW w:w="1250" w:type="pct"/>
            <w:noWrap w:val="0"/>
            <w:vAlign w:val="center"/>
          </w:tcPr>
          <w:p w14:paraId="187925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长春电力集团有限公司</w:t>
            </w:r>
          </w:p>
        </w:tc>
        <w:tc>
          <w:tcPr>
            <w:tcW w:w="832" w:type="pct"/>
            <w:noWrap w:val="0"/>
            <w:vAlign w:val="center"/>
          </w:tcPr>
          <w:p w14:paraId="7741FC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架空线路排迁</w:t>
            </w:r>
          </w:p>
        </w:tc>
        <w:tc>
          <w:tcPr>
            <w:tcW w:w="706" w:type="pct"/>
            <w:noWrap w:val="0"/>
            <w:vAlign w:val="center"/>
          </w:tcPr>
          <w:p w14:paraId="30536B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626.50</w:t>
            </w:r>
          </w:p>
        </w:tc>
      </w:tr>
      <w:tr w14:paraId="55B7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67250AE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BA783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《建设工程施工合同》</w:t>
            </w:r>
          </w:p>
        </w:tc>
        <w:tc>
          <w:tcPr>
            <w:tcW w:w="743" w:type="pct"/>
            <w:noWrap w:val="0"/>
            <w:vAlign w:val="center"/>
          </w:tcPr>
          <w:p w14:paraId="0C637C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2021.06.23</w:t>
            </w:r>
          </w:p>
        </w:tc>
        <w:tc>
          <w:tcPr>
            <w:tcW w:w="1250" w:type="pct"/>
            <w:noWrap w:val="0"/>
            <w:vAlign w:val="center"/>
          </w:tcPr>
          <w:p w14:paraId="567F1B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松原市华鹏建设工程有限公司</w:t>
            </w:r>
          </w:p>
        </w:tc>
        <w:tc>
          <w:tcPr>
            <w:tcW w:w="832" w:type="pct"/>
            <w:noWrap w:val="0"/>
            <w:vAlign w:val="center"/>
          </w:tcPr>
          <w:p w14:paraId="6BA4F1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围挡迁移</w:t>
            </w:r>
          </w:p>
        </w:tc>
        <w:tc>
          <w:tcPr>
            <w:tcW w:w="706" w:type="pct"/>
            <w:noWrap w:val="0"/>
            <w:vAlign w:val="center"/>
          </w:tcPr>
          <w:p w14:paraId="106BAC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308.46</w:t>
            </w:r>
          </w:p>
        </w:tc>
      </w:tr>
      <w:tr w14:paraId="2D2F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2646FCD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1D4003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《专项法律服务协议》</w:t>
            </w:r>
          </w:p>
        </w:tc>
        <w:tc>
          <w:tcPr>
            <w:tcW w:w="743" w:type="pct"/>
            <w:noWrap w:val="0"/>
            <w:vAlign w:val="center"/>
          </w:tcPr>
          <w:p w14:paraId="01324B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2022.01.02</w:t>
            </w:r>
          </w:p>
        </w:tc>
        <w:tc>
          <w:tcPr>
            <w:tcW w:w="1250" w:type="pct"/>
            <w:noWrap w:val="0"/>
            <w:vAlign w:val="center"/>
          </w:tcPr>
          <w:p w14:paraId="1D455F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吉林功承律师事务所</w:t>
            </w:r>
          </w:p>
        </w:tc>
        <w:tc>
          <w:tcPr>
            <w:tcW w:w="832" w:type="pct"/>
            <w:noWrap w:val="0"/>
            <w:vAlign w:val="center"/>
          </w:tcPr>
          <w:p w14:paraId="3731C8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申报2022年提前批政府债券</w:t>
            </w:r>
          </w:p>
        </w:tc>
        <w:tc>
          <w:tcPr>
            <w:tcW w:w="706" w:type="pct"/>
            <w:noWrap w:val="0"/>
            <w:vAlign w:val="center"/>
          </w:tcPr>
          <w:p w14:paraId="67BD25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r>
      <w:tr w14:paraId="4B65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3FF8CEF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6FCFA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《专项法律服务协议》</w:t>
            </w:r>
          </w:p>
        </w:tc>
        <w:tc>
          <w:tcPr>
            <w:tcW w:w="743" w:type="pct"/>
            <w:noWrap w:val="0"/>
            <w:vAlign w:val="center"/>
          </w:tcPr>
          <w:p w14:paraId="483468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2022.01.02</w:t>
            </w:r>
          </w:p>
        </w:tc>
        <w:tc>
          <w:tcPr>
            <w:tcW w:w="1250" w:type="pct"/>
            <w:noWrap w:val="0"/>
            <w:vAlign w:val="center"/>
          </w:tcPr>
          <w:p w14:paraId="01DC9F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吉林功承律师事务所</w:t>
            </w:r>
          </w:p>
        </w:tc>
        <w:tc>
          <w:tcPr>
            <w:tcW w:w="832" w:type="pct"/>
            <w:noWrap w:val="0"/>
            <w:vAlign w:val="center"/>
          </w:tcPr>
          <w:p w14:paraId="56FDFE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2022年新增政府债券（2022年第二次）</w:t>
            </w:r>
          </w:p>
        </w:tc>
        <w:tc>
          <w:tcPr>
            <w:tcW w:w="706" w:type="pct"/>
            <w:noWrap w:val="0"/>
            <w:vAlign w:val="center"/>
          </w:tcPr>
          <w:p w14:paraId="660FBC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r>
      <w:tr w14:paraId="10EA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3308604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EE82E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《专项法律服务协议》</w:t>
            </w:r>
          </w:p>
        </w:tc>
        <w:tc>
          <w:tcPr>
            <w:tcW w:w="743" w:type="pct"/>
            <w:noWrap w:val="0"/>
            <w:vAlign w:val="center"/>
          </w:tcPr>
          <w:p w14:paraId="2A4C1F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2022.01.02</w:t>
            </w:r>
          </w:p>
        </w:tc>
        <w:tc>
          <w:tcPr>
            <w:tcW w:w="1250" w:type="pct"/>
            <w:noWrap w:val="0"/>
            <w:vAlign w:val="center"/>
          </w:tcPr>
          <w:p w14:paraId="3C25B9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吉林功承律师事务所</w:t>
            </w:r>
          </w:p>
        </w:tc>
        <w:tc>
          <w:tcPr>
            <w:tcW w:w="832" w:type="pct"/>
            <w:noWrap w:val="0"/>
            <w:vAlign w:val="center"/>
          </w:tcPr>
          <w:p w14:paraId="45953C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2022年提前批政府债券法律意见书</w:t>
            </w:r>
          </w:p>
        </w:tc>
        <w:tc>
          <w:tcPr>
            <w:tcW w:w="706" w:type="pct"/>
            <w:noWrap w:val="0"/>
            <w:vAlign w:val="center"/>
          </w:tcPr>
          <w:p w14:paraId="7DDC97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r>
      <w:tr w14:paraId="200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1" w:type="pct"/>
            <w:noWrap w:val="0"/>
            <w:vAlign w:val="center"/>
          </w:tcPr>
          <w:p w14:paraId="44D68FB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BD683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《专项法律服务协议》</w:t>
            </w:r>
          </w:p>
        </w:tc>
        <w:tc>
          <w:tcPr>
            <w:tcW w:w="743" w:type="pct"/>
            <w:noWrap w:val="0"/>
            <w:vAlign w:val="center"/>
          </w:tcPr>
          <w:p w14:paraId="52CBB0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2022.01.02</w:t>
            </w:r>
          </w:p>
        </w:tc>
        <w:tc>
          <w:tcPr>
            <w:tcW w:w="1250" w:type="pct"/>
            <w:noWrap w:val="0"/>
            <w:vAlign w:val="center"/>
          </w:tcPr>
          <w:p w14:paraId="4FCC83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吉林功承律师事务所</w:t>
            </w:r>
          </w:p>
        </w:tc>
        <w:tc>
          <w:tcPr>
            <w:tcW w:w="832" w:type="pct"/>
            <w:noWrap w:val="0"/>
            <w:vAlign w:val="center"/>
          </w:tcPr>
          <w:p w14:paraId="7F5C4E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2022年新增政府债券法律意见书</w:t>
            </w:r>
          </w:p>
        </w:tc>
        <w:tc>
          <w:tcPr>
            <w:tcW w:w="706" w:type="pct"/>
            <w:noWrap w:val="0"/>
            <w:vAlign w:val="center"/>
          </w:tcPr>
          <w:p w14:paraId="765536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r>
    </w:tbl>
    <w:p w14:paraId="6023FFA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7BEE992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根据《关于中韩（长春）国际合作示范区国际文教科技产业园项目初步设计的批复》（中韩发改审批字〔2021〕39号），项目概算总投资393912.34万元。专项债券资金预算252000万元，项目资本金预算141912.34万元。</w:t>
      </w:r>
    </w:p>
    <w:p w14:paraId="03C8218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截至2024年12月31日，专项债券资金到位145000万元，项目资本金到位51406.98万元，到位资金共计196406.98万元；</w:t>
      </w:r>
      <w:r>
        <w:rPr>
          <w:rFonts w:hint="eastAsia" w:ascii="Times New Roman" w:hAnsi="Times New Roman" w:eastAsia="仿宋_GB2312" w:cs="Times New Roman"/>
          <w:color w:val="auto"/>
          <w:sz w:val="32"/>
          <w:szCs w:val="32"/>
          <w:highlight w:val="none"/>
          <w:lang w:val="en-US" w:eastAsia="zh-CN"/>
        </w:rPr>
        <w:t>由于本项目实际申请发行专项债券资金共计145000万元，故专项债券资金计划到位金额按145000万元计入，专项债券资金到位率为100%，项目资本金到位率为36.22%；</w:t>
      </w:r>
      <w:r>
        <w:rPr>
          <w:rFonts w:hint="eastAsia" w:ascii="Times New Roman" w:hAnsi="Times New Roman" w:eastAsia="仿宋_GB2312" w:cs="Times New Roman"/>
          <w:sz w:val="32"/>
          <w:szCs w:val="32"/>
          <w:highlight w:val="none"/>
          <w:lang w:val="en-US" w:eastAsia="zh-CN"/>
        </w:rPr>
        <w:t>专项债券资金支出145000万元，项目资本金支出51406.98万元，支出资金共计196406.98万元，</w:t>
      </w:r>
      <w:r>
        <w:rPr>
          <w:rFonts w:hint="default" w:ascii="Times New Roman" w:hAnsi="Times New Roman" w:eastAsia="仿宋_GB2312" w:cs="Times New Roman"/>
          <w:color w:val="auto"/>
          <w:sz w:val="32"/>
          <w:szCs w:val="32"/>
          <w:highlight w:val="none"/>
          <w:lang w:val="en-US" w:eastAsia="zh-CN"/>
        </w:rPr>
        <w:t>专项债券资金执行率为</w:t>
      </w:r>
      <w:r>
        <w:rPr>
          <w:rFonts w:hint="eastAsia"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项目资本金</w:t>
      </w:r>
      <w:r>
        <w:rPr>
          <w:rFonts w:hint="default" w:ascii="Times New Roman" w:hAnsi="Times New Roman" w:eastAsia="仿宋_GB2312" w:cs="Times New Roman"/>
          <w:color w:val="auto"/>
          <w:sz w:val="32"/>
          <w:szCs w:val="32"/>
          <w:highlight w:val="none"/>
          <w:lang w:val="en-US" w:eastAsia="zh-CN"/>
        </w:rPr>
        <w:t>执行率为</w:t>
      </w:r>
      <w:r>
        <w:rPr>
          <w:rFonts w:hint="eastAsia"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zh-CN"/>
        </w:rPr>
        <w:t>。</w:t>
      </w:r>
    </w:p>
    <w:p w14:paraId="3B1AAEE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关于成立中韩长荣集团“政府专项债项目工作专班”的通知》（中韩长荣〔2021〕9号），项目单位成立了由组长1名、副组长2名、组员7名，共10人组成的“政府专项债券项目工作专班领导小组”，负责统筹单位专项债券项目谋划、调度、进展等的管理。</w:t>
      </w:r>
    </w:p>
    <w:p w14:paraId="4BB5176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从专项债券资金的支出情况看，施工单位递交相关资料，由项目单位填报《工程款支付报审表》，专项债券资金由中韩（长春）国际合作示范区财政局拨付至项目单位，再由项目单位拨付至施工单位，资金拨付有完整的审批程序和手续，核算入账及时，不存在擅自变动、挪用资金情况；专项债券资金使用符合相关专项债券资金使用管理制度规定。</w:t>
      </w:r>
    </w:p>
    <w:p w14:paraId="3BEB0602">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项目实施过程中资金支出情况见下表：</w:t>
      </w:r>
    </w:p>
    <w:p w14:paraId="16132670">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表4-2-</w:t>
      </w:r>
      <w:r>
        <w:rPr>
          <w:rFonts w:hint="eastAsia" w:ascii="Times New Roman" w:hAnsi="Times New Roman" w:eastAsia="仿宋_GB2312" w:cs="Times New Roman"/>
          <w:b/>
          <w:bCs/>
          <w:color w:val="auto"/>
          <w:sz w:val="28"/>
          <w:szCs w:val="28"/>
          <w:highlight w:val="none"/>
          <w:lang w:val="en-US" w:eastAsia="zh-CN"/>
        </w:rPr>
        <w:t>3</w:t>
      </w:r>
      <w:r>
        <w:rPr>
          <w:rFonts w:hint="default" w:ascii="Times New Roman" w:hAnsi="Times New Roman" w:eastAsia="仿宋_GB2312" w:cs="Times New Roman"/>
          <w:b/>
          <w:bCs/>
          <w:color w:val="auto"/>
          <w:sz w:val="28"/>
          <w:szCs w:val="28"/>
          <w:highlight w:val="none"/>
          <w:lang w:val="en-US" w:eastAsia="zh-CN"/>
        </w:rPr>
        <w:t xml:space="preserve"> 项目资金支出情况表</w:t>
      </w:r>
    </w:p>
    <w:p w14:paraId="21D8A873">
      <w:pPr>
        <w:keepNext w:val="0"/>
        <w:keepLines w:val="0"/>
        <w:pageBreakBefore w:val="0"/>
        <w:widowControl w:val="0"/>
        <w:kinsoku/>
        <w:wordWrap/>
        <w:overflowPunct/>
        <w:topLinePunct w:val="0"/>
        <w:autoSpaceDE/>
        <w:autoSpaceDN/>
        <w:bidi w:val="0"/>
        <w:snapToGrid w:val="0"/>
        <w:spacing w:line="576" w:lineRule="exact"/>
        <w:jc w:val="right"/>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2"/>
          <w:sz w:val="24"/>
          <w:szCs w:val="24"/>
          <w:highlight w:val="none"/>
          <w:lang w:val="en-US" w:eastAsia="zh-CN" w:bidi="ar-SA"/>
        </w:rPr>
        <w:t>单位：万元</w:t>
      </w:r>
    </w:p>
    <w:tbl>
      <w:tblPr>
        <w:tblStyle w:val="18"/>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72"/>
        <w:gridCol w:w="1333"/>
        <w:gridCol w:w="1333"/>
        <w:gridCol w:w="1738"/>
        <w:gridCol w:w="3469"/>
      </w:tblGrid>
      <w:tr w14:paraId="28F4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5" w:type="pct"/>
            <w:shd w:val="clear" w:color="auto" w:fill="C8C8C8" w:themeFill="accent3" w:themeFillTint="99"/>
            <w:vAlign w:val="center"/>
          </w:tcPr>
          <w:p w14:paraId="372885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707" w:type="pct"/>
            <w:shd w:val="clear" w:color="auto" w:fill="C8C8C8" w:themeFill="accent3" w:themeFillTint="99"/>
            <w:vAlign w:val="center"/>
          </w:tcPr>
          <w:p w14:paraId="51D3E1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资金性质</w:t>
            </w:r>
          </w:p>
        </w:tc>
        <w:tc>
          <w:tcPr>
            <w:tcW w:w="687" w:type="pct"/>
            <w:shd w:val="clear" w:color="auto" w:fill="C8C8C8" w:themeFill="accent3" w:themeFillTint="99"/>
            <w:vAlign w:val="center"/>
          </w:tcPr>
          <w:p w14:paraId="3406EC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支出时间</w:t>
            </w:r>
          </w:p>
        </w:tc>
        <w:tc>
          <w:tcPr>
            <w:tcW w:w="687" w:type="pct"/>
            <w:shd w:val="clear" w:color="auto" w:fill="C8C8C8" w:themeFill="accent3" w:themeFillTint="99"/>
            <w:vAlign w:val="center"/>
          </w:tcPr>
          <w:p w14:paraId="3CC34A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支出金额</w:t>
            </w:r>
          </w:p>
        </w:tc>
        <w:tc>
          <w:tcPr>
            <w:tcW w:w="895" w:type="pct"/>
            <w:shd w:val="clear" w:color="auto" w:fill="C8C8C8" w:themeFill="accent3" w:themeFillTint="99"/>
            <w:vAlign w:val="center"/>
          </w:tcPr>
          <w:p w14:paraId="0C5151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支出用途</w:t>
            </w:r>
          </w:p>
        </w:tc>
        <w:tc>
          <w:tcPr>
            <w:tcW w:w="1787" w:type="pct"/>
            <w:shd w:val="clear" w:color="auto" w:fill="C8C8C8" w:themeFill="accent3" w:themeFillTint="99"/>
            <w:vAlign w:val="center"/>
          </w:tcPr>
          <w:p w14:paraId="724CC7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收款单位</w:t>
            </w:r>
          </w:p>
        </w:tc>
      </w:tr>
      <w:tr w14:paraId="357B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19F0A31">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restart"/>
            <w:vAlign w:val="center"/>
          </w:tcPr>
          <w:p w14:paraId="1C192F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专项债券资金</w:t>
            </w:r>
          </w:p>
        </w:tc>
        <w:tc>
          <w:tcPr>
            <w:tcW w:w="687" w:type="pct"/>
            <w:vAlign w:val="center"/>
          </w:tcPr>
          <w:p w14:paraId="00DB4B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2020.12.18</w:t>
            </w:r>
          </w:p>
        </w:tc>
        <w:tc>
          <w:tcPr>
            <w:tcW w:w="687" w:type="pct"/>
            <w:vAlign w:val="center"/>
          </w:tcPr>
          <w:p w14:paraId="51571A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262.38</w:t>
            </w:r>
          </w:p>
        </w:tc>
        <w:tc>
          <w:tcPr>
            <w:tcW w:w="895" w:type="pct"/>
            <w:vAlign w:val="center"/>
          </w:tcPr>
          <w:p w14:paraId="73F192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耕地表层种植土清理工程款</w:t>
            </w:r>
          </w:p>
        </w:tc>
        <w:tc>
          <w:tcPr>
            <w:tcW w:w="1787" w:type="pct"/>
            <w:vAlign w:val="center"/>
          </w:tcPr>
          <w:p w14:paraId="1B9D58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吉林省鑫生建筑工程有限公司</w:t>
            </w:r>
          </w:p>
        </w:tc>
      </w:tr>
      <w:tr w14:paraId="01D0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AFE974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42A8A8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5FAA54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2020.12.18</w:t>
            </w:r>
          </w:p>
        </w:tc>
        <w:tc>
          <w:tcPr>
            <w:tcW w:w="687" w:type="pct"/>
            <w:vAlign w:val="center"/>
          </w:tcPr>
          <w:p w14:paraId="3B04E5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83.02</w:t>
            </w:r>
          </w:p>
        </w:tc>
        <w:tc>
          <w:tcPr>
            <w:tcW w:w="895" w:type="pct"/>
            <w:vAlign w:val="center"/>
          </w:tcPr>
          <w:p w14:paraId="189750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耕地表层种植土清理工程款</w:t>
            </w:r>
          </w:p>
        </w:tc>
        <w:tc>
          <w:tcPr>
            <w:tcW w:w="1787" w:type="pct"/>
            <w:vAlign w:val="center"/>
          </w:tcPr>
          <w:p w14:paraId="700E48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吉林省鑫生建筑工程有限公司</w:t>
            </w:r>
          </w:p>
        </w:tc>
      </w:tr>
      <w:tr w14:paraId="0AE0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61C9891">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637195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CAAA0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2020.12.18</w:t>
            </w:r>
          </w:p>
        </w:tc>
        <w:tc>
          <w:tcPr>
            <w:tcW w:w="687" w:type="pct"/>
            <w:vAlign w:val="center"/>
          </w:tcPr>
          <w:p w14:paraId="11060D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191.05</w:t>
            </w:r>
          </w:p>
        </w:tc>
        <w:tc>
          <w:tcPr>
            <w:tcW w:w="895" w:type="pct"/>
            <w:vAlign w:val="center"/>
          </w:tcPr>
          <w:p w14:paraId="1E7929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围挡工程款</w:t>
            </w:r>
          </w:p>
        </w:tc>
        <w:tc>
          <w:tcPr>
            <w:tcW w:w="1787" w:type="pct"/>
            <w:vAlign w:val="center"/>
          </w:tcPr>
          <w:p w14:paraId="6723E7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吉林省瑞瑀建筑工程有限公司</w:t>
            </w:r>
          </w:p>
        </w:tc>
      </w:tr>
      <w:tr w14:paraId="2DB3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6F9462D">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37A137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8539F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2020.12.18</w:t>
            </w:r>
          </w:p>
        </w:tc>
        <w:tc>
          <w:tcPr>
            <w:tcW w:w="687" w:type="pct"/>
            <w:vAlign w:val="center"/>
          </w:tcPr>
          <w:p w14:paraId="196B92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19463.55</w:t>
            </w:r>
          </w:p>
        </w:tc>
        <w:tc>
          <w:tcPr>
            <w:tcW w:w="895" w:type="pct"/>
            <w:vAlign w:val="center"/>
          </w:tcPr>
          <w:p w14:paraId="6027ED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0CCC7D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7FAE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3845909">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533B10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1A4B24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2022.02.15</w:t>
            </w:r>
          </w:p>
        </w:tc>
        <w:tc>
          <w:tcPr>
            <w:tcW w:w="687" w:type="pct"/>
            <w:vAlign w:val="center"/>
          </w:tcPr>
          <w:p w14:paraId="065257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30000.00</w:t>
            </w:r>
          </w:p>
        </w:tc>
        <w:tc>
          <w:tcPr>
            <w:tcW w:w="895" w:type="pct"/>
            <w:vAlign w:val="center"/>
          </w:tcPr>
          <w:p w14:paraId="356C4C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6F52DE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112F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26862BB">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4A214F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6C7F50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2022.02.15</w:t>
            </w:r>
          </w:p>
        </w:tc>
        <w:tc>
          <w:tcPr>
            <w:tcW w:w="687" w:type="pct"/>
            <w:vAlign w:val="center"/>
          </w:tcPr>
          <w:p w14:paraId="602003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20000.00</w:t>
            </w:r>
          </w:p>
        </w:tc>
        <w:tc>
          <w:tcPr>
            <w:tcW w:w="895" w:type="pct"/>
            <w:vAlign w:val="center"/>
          </w:tcPr>
          <w:p w14:paraId="74E6B2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032553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4BA2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3BC2F0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5A9A50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0F3BDB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2022.03.04</w:t>
            </w:r>
          </w:p>
        </w:tc>
        <w:tc>
          <w:tcPr>
            <w:tcW w:w="687" w:type="pct"/>
            <w:vAlign w:val="center"/>
          </w:tcPr>
          <w:p w14:paraId="5FA780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47200.83</w:t>
            </w:r>
          </w:p>
        </w:tc>
        <w:tc>
          <w:tcPr>
            <w:tcW w:w="895" w:type="pct"/>
            <w:vAlign w:val="center"/>
          </w:tcPr>
          <w:p w14:paraId="146DCA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0B423A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4877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56A3192">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C54B3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5210A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2022.03.04</w:t>
            </w:r>
          </w:p>
        </w:tc>
        <w:tc>
          <w:tcPr>
            <w:tcW w:w="687" w:type="pct"/>
            <w:vAlign w:val="center"/>
          </w:tcPr>
          <w:p w14:paraId="334199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2800.02</w:t>
            </w:r>
          </w:p>
        </w:tc>
        <w:tc>
          <w:tcPr>
            <w:tcW w:w="895" w:type="pct"/>
            <w:vAlign w:val="center"/>
          </w:tcPr>
          <w:p w14:paraId="5AF290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1A7275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1120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86F0529">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865A9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081C19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2022.07.25</w:t>
            </w:r>
          </w:p>
        </w:tc>
        <w:tc>
          <w:tcPr>
            <w:tcW w:w="687" w:type="pct"/>
            <w:vAlign w:val="center"/>
          </w:tcPr>
          <w:p w14:paraId="512006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57.15</w:t>
            </w:r>
          </w:p>
        </w:tc>
        <w:tc>
          <w:tcPr>
            <w:tcW w:w="895" w:type="pct"/>
            <w:vAlign w:val="center"/>
          </w:tcPr>
          <w:p w14:paraId="3A29A6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监理费</w:t>
            </w:r>
          </w:p>
        </w:tc>
        <w:tc>
          <w:tcPr>
            <w:tcW w:w="1787" w:type="pct"/>
            <w:vAlign w:val="center"/>
          </w:tcPr>
          <w:p w14:paraId="36FFEB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吉林省中鼎建设工程项目管理有限公司</w:t>
            </w:r>
          </w:p>
        </w:tc>
      </w:tr>
      <w:tr w14:paraId="543E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0383910">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65E21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F02AE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2022.08.23</w:t>
            </w:r>
          </w:p>
        </w:tc>
        <w:tc>
          <w:tcPr>
            <w:tcW w:w="687" w:type="pct"/>
            <w:vAlign w:val="center"/>
          </w:tcPr>
          <w:p w14:paraId="315A00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9664.53</w:t>
            </w:r>
          </w:p>
        </w:tc>
        <w:tc>
          <w:tcPr>
            <w:tcW w:w="895" w:type="pct"/>
            <w:vAlign w:val="center"/>
          </w:tcPr>
          <w:p w14:paraId="7A1C26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4B69D1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4CBD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D78F360">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B4A5D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56180A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2022.08.23</w:t>
            </w:r>
          </w:p>
        </w:tc>
        <w:tc>
          <w:tcPr>
            <w:tcW w:w="687" w:type="pct"/>
            <w:vAlign w:val="center"/>
          </w:tcPr>
          <w:p w14:paraId="6B349C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278.40</w:t>
            </w:r>
          </w:p>
        </w:tc>
        <w:tc>
          <w:tcPr>
            <w:tcW w:w="895" w:type="pct"/>
            <w:vAlign w:val="center"/>
          </w:tcPr>
          <w:p w14:paraId="611729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0E5DE0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0FB4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DBD908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4033C9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5EE294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2022.10.14</w:t>
            </w:r>
          </w:p>
        </w:tc>
        <w:tc>
          <w:tcPr>
            <w:tcW w:w="687" w:type="pct"/>
            <w:vAlign w:val="center"/>
          </w:tcPr>
          <w:p w14:paraId="6E07B4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4869.72</w:t>
            </w:r>
          </w:p>
        </w:tc>
        <w:tc>
          <w:tcPr>
            <w:tcW w:w="895" w:type="pct"/>
            <w:vAlign w:val="center"/>
          </w:tcPr>
          <w:p w14:paraId="4AF68B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5DF36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06AB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E9E089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A1842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6A06F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2022.10.14</w:t>
            </w:r>
          </w:p>
        </w:tc>
        <w:tc>
          <w:tcPr>
            <w:tcW w:w="687" w:type="pct"/>
            <w:vAlign w:val="center"/>
          </w:tcPr>
          <w:p w14:paraId="5A8647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130.28</w:t>
            </w:r>
          </w:p>
        </w:tc>
        <w:tc>
          <w:tcPr>
            <w:tcW w:w="895" w:type="pct"/>
            <w:vAlign w:val="center"/>
          </w:tcPr>
          <w:p w14:paraId="6CE218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29F002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7A41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70EE3E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31E438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CF732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2022.11.11</w:t>
            </w:r>
          </w:p>
        </w:tc>
        <w:tc>
          <w:tcPr>
            <w:tcW w:w="687" w:type="pct"/>
            <w:vAlign w:val="center"/>
          </w:tcPr>
          <w:p w14:paraId="337C41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79.83</w:t>
            </w:r>
          </w:p>
        </w:tc>
        <w:tc>
          <w:tcPr>
            <w:tcW w:w="895" w:type="pct"/>
            <w:vAlign w:val="center"/>
          </w:tcPr>
          <w:p w14:paraId="5E1270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监理费</w:t>
            </w:r>
          </w:p>
        </w:tc>
        <w:tc>
          <w:tcPr>
            <w:tcW w:w="1787" w:type="pct"/>
            <w:vAlign w:val="center"/>
          </w:tcPr>
          <w:p w14:paraId="022815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吉林省中鼎建设工程项目管理有限公司</w:t>
            </w:r>
          </w:p>
        </w:tc>
      </w:tr>
      <w:tr w14:paraId="0D13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2617E5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31DE90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05BCC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2022.11.25</w:t>
            </w:r>
          </w:p>
        </w:tc>
        <w:tc>
          <w:tcPr>
            <w:tcW w:w="687" w:type="pct"/>
            <w:vAlign w:val="center"/>
          </w:tcPr>
          <w:p w14:paraId="072382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9642.43</w:t>
            </w:r>
          </w:p>
        </w:tc>
        <w:tc>
          <w:tcPr>
            <w:tcW w:w="895" w:type="pct"/>
            <w:vAlign w:val="center"/>
          </w:tcPr>
          <w:p w14:paraId="5BB3C8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37211E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089B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A0B6F66">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BCD0C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61D565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2022.11.25</w:t>
            </w:r>
          </w:p>
        </w:tc>
        <w:tc>
          <w:tcPr>
            <w:tcW w:w="687" w:type="pct"/>
            <w:vAlign w:val="center"/>
          </w:tcPr>
          <w:p w14:paraId="41518B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276.80</w:t>
            </w:r>
          </w:p>
        </w:tc>
        <w:tc>
          <w:tcPr>
            <w:tcW w:w="895" w:type="pct"/>
            <w:vAlign w:val="center"/>
          </w:tcPr>
          <w:p w14:paraId="56A3A2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2B88DC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1794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29" w:type="pct"/>
            <w:gridSpan w:val="3"/>
            <w:vAlign w:val="center"/>
          </w:tcPr>
          <w:p w14:paraId="2162B9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专项债券资金支出合计</w:t>
            </w:r>
          </w:p>
        </w:tc>
        <w:tc>
          <w:tcPr>
            <w:tcW w:w="3370" w:type="pct"/>
            <w:gridSpan w:val="3"/>
            <w:vAlign w:val="center"/>
          </w:tcPr>
          <w:p w14:paraId="77E9EB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145000.00</w:t>
            </w:r>
            <w:r>
              <w:rPr>
                <w:rStyle w:val="22"/>
                <w:rFonts w:hint="eastAsia" w:ascii="Times New Roman" w:hAnsi="Times New Roman" w:eastAsia="仿宋_GB2312" w:cs="Times New Roman"/>
                <w:b/>
                <w:bCs/>
                <w:i w:val="0"/>
                <w:iCs w:val="0"/>
                <w:color w:val="000000"/>
                <w:kern w:val="0"/>
                <w:sz w:val="24"/>
                <w:szCs w:val="24"/>
                <w:u w:val="none"/>
                <w:lang w:val="en-US" w:eastAsia="zh-CN" w:bidi="ar"/>
              </w:rPr>
              <w:footnoteReference w:id="0"/>
            </w:r>
          </w:p>
        </w:tc>
      </w:tr>
      <w:tr w14:paraId="7E7D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B1D44F0">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restart"/>
            <w:vAlign w:val="center"/>
          </w:tcPr>
          <w:p w14:paraId="02AA23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项目资本金</w:t>
            </w:r>
          </w:p>
        </w:tc>
        <w:tc>
          <w:tcPr>
            <w:tcW w:w="687" w:type="pct"/>
            <w:vAlign w:val="center"/>
          </w:tcPr>
          <w:p w14:paraId="5E2634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2020.11.19</w:t>
            </w:r>
          </w:p>
        </w:tc>
        <w:tc>
          <w:tcPr>
            <w:tcW w:w="687" w:type="pct"/>
            <w:vAlign w:val="center"/>
          </w:tcPr>
          <w:p w14:paraId="1011E3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11.00</w:t>
            </w:r>
          </w:p>
        </w:tc>
        <w:tc>
          <w:tcPr>
            <w:tcW w:w="895" w:type="pct"/>
            <w:vAlign w:val="center"/>
          </w:tcPr>
          <w:p w14:paraId="41272F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节能审查报告合同</w:t>
            </w:r>
          </w:p>
        </w:tc>
        <w:tc>
          <w:tcPr>
            <w:tcW w:w="1787" w:type="pct"/>
            <w:vAlign w:val="center"/>
          </w:tcPr>
          <w:p w14:paraId="363395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吉林省城恒环保科技开发有限公司</w:t>
            </w:r>
          </w:p>
        </w:tc>
      </w:tr>
      <w:tr w14:paraId="0C0E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0E00156">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ACD87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5D5C9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2020.12.10</w:t>
            </w:r>
          </w:p>
        </w:tc>
        <w:tc>
          <w:tcPr>
            <w:tcW w:w="687" w:type="pct"/>
            <w:vAlign w:val="center"/>
          </w:tcPr>
          <w:p w14:paraId="5CBCF5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25.53</w:t>
            </w:r>
          </w:p>
        </w:tc>
        <w:tc>
          <w:tcPr>
            <w:tcW w:w="895" w:type="pct"/>
            <w:vAlign w:val="center"/>
          </w:tcPr>
          <w:p w14:paraId="78DD91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临电设计费</w:t>
            </w:r>
          </w:p>
        </w:tc>
        <w:tc>
          <w:tcPr>
            <w:tcW w:w="1787" w:type="pct"/>
            <w:vAlign w:val="center"/>
          </w:tcPr>
          <w:p w14:paraId="500B6E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吉林省科沃电力设计有限公司</w:t>
            </w:r>
          </w:p>
        </w:tc>
      </w:tr>
      <w:tr w14:paraId="1514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61AEA92">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21097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0DC529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2020.12.16</w:t>
            </w:r>
          </w:p>
        </w:tc>
        <w:tc>
          <w:tcPr>
            <w:tcW w:w="687" w:type="pct"/>
            <w:vAlign w:val="center"/>
          </w:tcPr>
          <w:p w14:paraId="4010BC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c>
          <w:tcPr>
            <w:tcW w:w="895" w:type="pct"/>
            <w:vAlign w:val="center"/>
          </w:tcPr>
          <w:p w14:paraId="6C5AE0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专项债业务约定书</w:t>
            </w:r>
          </w:p>
        </w:tc>
        <w:tc>
          <w:tcPr>
            <w:tcW w:w="1787" w:type="pct"/>
            <w:vAlign w:val="center"/>
          </w:tcPr>
          <w:p w14:paraId="656B57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瑞华会计师事务所（特殊普通合伙）吉林分所</w:t>
            </w:r>
          </w:p>
        </w:tc>
      </w:tr>
      <w:tr w14:paraId="61BE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C2EBFF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597B12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462852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2020.12.17</w:t>
            </w:r>
          </w:p>
        </w:tc>
        <w:tc>
          <w:tcPr>
            <w:tcW w:w="687" w:type="pct"/>
            <w:vAlign w:val="center"/>
          </w:tcPr>
          <w:p w14:paraId="6397FB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32547.64</w:t>
            </w:r>
          </w:p>
        </w:tc>
        <w:tc>
          <w:tcPr>
            <w:tcW w:w="895" w:type="pct"/>
            <w:vAlign w:val="center"/>
          </w:tcPr>
          <w:p w14:paraId="374A5D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土地款</w:t>
            </w:r>
          </w:p>
        </w:tc>
        <w:tc>
          <w:tcPr>
            <w:tcW w:w="1787" w:type="pct"/>
            <w:vAlign w:val="center"/>
          </w:tcPr>
          <w:p w14:paraId="401F4E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长春市公共资源交易中心（长春市政府采购中心）</w:t>
            </w:r>
          </w:p>
        </w:tc>
      </w:tr>
      <w:tr w14:paraId="68F3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2036A57">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42249F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69C1B9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2020.12.22</w:t>
            </w:r>
          </w:p>
        </w:tc>
        <w:tc>
          <w:tcPr>
            <w:tcW w:w="687" w:type="pct"/>
            <w:vAlign w:val="center"/>
          </w:tcPr>
          <w:p w14:paraId="540704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c>
          <w:tcPr>
            <w:tcW w:w="895" w:type="pct"/>
            <w:vAlign w:val="center"/>
          </w:tcPr>
          <w:p w14:paraId="166DB3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专项债律所服务费</w:t>
            </w:r>
          </w:p>
        </w:tc>
        <w:tc>
          <w:tcPr>
            <w:tcW w:w="1787" w:type="pct"/>
            <w:vAlign w:val="center"/>
          </w:tcPr>
          <w:p w14:paraId="3B4102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吉林功承律师事务所</w:t>
            </w:r>
          </w:p>
        </w:tc>
      </w:tr>
      <w:tr w14:paraId="3C1E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71126E11">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72F37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0E4544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2020.12.25</w:t>
            </w:r>
          </w:p>
        </w:tc>
        <w:tc>
          <w:tcPr>
            <w:tcW w:w="687" w:type="pct"/>
            <w:vAlign w:val="center"/>
          </w:tcPr>
          <w:p w14:paraId="4B5A07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21.20</w:t>
            </w:r>
          </w:p>
        </w:tc>
        <w:tc>
          <w:tcPr>
            <w:tcW w:w="895" w:type="pct"/>
            <w:vAlign w:val="center"/>
          </w:tcPr>
          <w:p w14:paraId="60270F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发行手续费、服务费</w:t>
            </w:r>
          </w:p>
        </w:tc>
        <w:tc>
          <w:tcPr>
            <w:tcW w:w="1787" w:type="pct"/>
            <w:vAlign w:val="center"/>
          </w:tcPr>
          <w:p w14:paraId="27D592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中韩（长春）国际合作示范区财政局</w:t>
            </w:r>
          </w:p>
        </w:tc>
      </w:tr>
      <w:tr w14:paraId="729F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5B69DED">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26A81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19C92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2021.01.05</w:t>
            </w:r>
          </w:p>
        </w:tc>
        <w:tc>
          <w:tcPr>
            <w:tcW w:w="687" w:type="pct"/>
            <w:vAlign w:val="center"/>
          </w:tcPr>
          <w:p w14:paraId="6487CA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345.61</w:t>
            </w:r>
          </w:p>
        </w:tc>
        <w:tc>
          <w:tcPr>
            <w:tcW w:w="895" w:type="pct"/>
            <w:vAlign w:val="center"/>
          </w:tcPr>
          <w:p w14:paraId="4EEAE1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设计费</w:t>
            </w:r>
          </w:p>
        </w:tc>
        <w:tc>
          <w:tcPr>
            <w:tcW w:w="1787" w:type="pct"/>
            <w:vAlign w:val="center"/>
          </w:tcPr>
          <w:p w14:paraId="421B06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哈尔滨工业大学建筑设计研究院</w:t>
            </w:r>
          </w:p>
        </w:tc>
      </w:tr>
      <w:tr w14:paraId="5291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BA4572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64E0B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32A4F3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2021.01.14</w:t>
            </w:r>
          </w:p>
        </w:tc>
        <w:tc>
          <w:tcPr>
            <w:tcW w:w="687" w:type="pct"/>
            <w:vAlign w:val="center"/>
          </w:tcPr>
          <w:p w14:paraId="0B72B2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88.49</w:t>
            </w:r>
          </w:p>
        </w:tc>
        <w:tc>
          <w:tcPr>
            <w:tcW w:w="895" w:type="pct"/>
            <w:vAlign w:val="center"/>
          </w:tcPr>
          <w:p w14:paraId="1F2384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监理费</w:t>
            </w:r>
          </w:p>
        </w:tc>
        <w:tc>
          <w:tcPr>
            <w:tcW w:w="1787" w:type="pct"/>
            <w:vAlign w:val="center"/>
          </w:tcPr>
          <w:p w14:paraId="41BE0F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吉林省中鼎建设工程项目管理有限公司</w:t>
            </w:r>
          </w:p>
        </w:tc>
      </w:tr>
      <w:tr w14:paraId="6D70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DFA1BE5">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3BABCE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0E3314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2021.01.27</w:t>
            </w:r>
          </w:p>
        </w:tc>
        <w:tc>
          <w:tcPr>
            <w:tcW w:w="687" w:type="pct"/>
            <w:vAlign w:val="center"/>
          </w:tcPr>
          <w:p w14:paraId="07319F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48.25</w:t>
            </w:r>
          </w:p>
        </w:tc>
        <w:tc>
          <w:tcPr>
            <w:tcW w:w="895" w:type="pct"/>
            <w:vAlign w:val="center"/>
          </w:tcPr>
          <w:p w14:paraId="23B450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网格测试</w:t>
            </w:r>
          </w:p>
        </w:tc>
        <w:tc>
          <w:tcPr>
            <w:tcW w:w="1787" w:type="pct"/>
            <w:vAlign w:val="center"/>
          </w:tcPr>
          <w:p w14:paraId="2CD7F3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吉林省建华房产测绘有限公司</w:t>
            </w:r>
          </w:p>
        </w:tc>
      </w:tr>
      <w:tr w14:paraId="60FB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6D1F4C4">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CF78F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41CDB5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2021.02.05</w:t>
            </w:r>
          </w:p>
        </w:tc>
        <w:tc>
          <w:tcPr>
            <w:tcW w:w="687" w:type="pct"/>
            <w:vAlign w:val="center"/>
          </w:tcPr>
          <w:p w14:paraId="3B5275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424.48</w:t>
            </w:r>
          </w:p>
        </w:tc>
        <w:tc>
          <w:tcPr>
            <w:tcW w:w="895" w:type="pct"/>
            <w:vAlign w:val="center"/>
          </w:tcPr>
          <w:p w14:paraId="25A94D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勘察费</w:t>
            </w:r>
          </w:p>
        </w:tc>
        <w:tc>
          <w:tcPr>
            <w:tcW w:w="1787" w:type="pct"/>
            <w:vAlign w:val="center"/>
          </w:tcPr>
          <w:p w14:paraId="50EF06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中建材资源与环境工程吉林有限公司</w:t>
            </w:r>
          </w:p>
        </w:tc>
      </w:tr>
      <w:tr w14:paraId="754F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509DFCD">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048A37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3C043F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2021.03.22</w:t>
            </w:r>
          </w:p>
        </w:tc>
        <w:tc>
          <w:tcPr>
            <w:tcW w:w="687" w:type="pct"/>
            <w:vAlign w:val="center"/>
          </w:tcPr>
          <w:p w14:paraId="1FEBCB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200.00</w:t>
            </w:r>
          </w:p>
        </w:tc>
        <w:tc>
          <w:tcPr>
            <w:tcW w:w="895" w:type="pct"/>
            <w:vAlign w:val="center"/>
          </w:tcPr>
          <w:p w14:paraId="537899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设计费</w:t>
            </w:r>
          </w:p>
        </w:tc>
        <w:tc>
          <w:tcPr>
            <w:tcW w:w="1787" w:type="pct"/>
            <w:vAlign w:val="center"/>
          </w:tcPr>
          <w:p w14:paraId="7BEC0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哈尔滨工业大学建筑设计研究院</w:t>
            </w:r>
          </w:p>
        </w:tc>
      </w:tr>
      <w:tr w14:paraId="0CF9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E14D58B">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6EB586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3D9F8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2021.06.10</w:t>
            </w:r>
          </w:p>
        </w:tc>
        <w:tc>
          <w:tcPr>
            <w:tcW w:w="687" w:type="pct"/>
            <w:vAlign w:val="center"/>
          </w:tcPr>
          <w:p w14:paraId="5AB0DA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16.29</w:t>
            </w:r>
          </w:p>
        </w:tc>
        <w:tc>
          <w:tcPr>
            <w:tcW w:w="895" w:type="pct"/>
            <w:vAlign w:val="center"/>
          </w:tcPr>
          <w:p w14:paraId="35730F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基坑监测费</w:t>
            </w:r>
          </w:p>
        </w:tc>
        <w:tc>
          <w:tcPr>
            <w:tcW w:w="1787" w:type="pct"/>
            <w:vAlign w:val="center"/>
          </w:tcPr>
          <w:p w14:paraId="721C80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吉林省恒基岩土勘测有限责任公司</w:t>
            </w:r>
          </w:p>
        </w:tc>
      </w:tr>
      <w:tr w14:paraId="2C96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723FC43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4E047B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D4F65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2021.06.10</w:t>
            </w:r>
          </w:p>
        </w:tc>
        <w:tc>
          <w:tcPr>
            <w:tcW w:w="687" w:type="pct"/>
            <w:vAlign w:val="center"/>
          </w:tcPr>
          <w:p w14:paraId="71BD15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6.23</w:t>
            </w:r>
          </w:p>
        </w:tc>
        <w:tc>
          <w:tcPr>
            <w:tcW w:w="895" w:type="pct"/>
            <w:vAlign w:val="center"/>
          </w:tcPr>
          <w:p w14:paraId="00A538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基坑监测费</w:t>
            </w:r>
          </w:p>
        </w:tc>
        <w:tc>
          <w:tcPr>
            <w:tcW w:w="1787" w:type="pct"/>
            <w:vAlign w:val="center"/>
          </w:tcPr>
          <w:p w14:paraId="4695BA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吉林省恒基岩土勘测有限责任公司</w:t>
            </w:r>
          </w:p>
        </w:tc>
      </w:tr>
      <w:tr w14:paraId="7C8E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47C4E42">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1B3BE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1F3837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2021.07.07</w:t>
            </w:r>
          </w:p>
        </w:tc>
        <w:tc>
          <w:tcPr>
            <w:tcW w:w="687" w:type="pct"/>
            <w:vAlign w:val="center"/>
          </w:tcPr>
          <w:p w14:paraId="7BFF0C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17.80</w:t>
            </w:r>
          </w:p>
        </w:tc>
        <w:tc>
          <w:tcPr>
            <w:tcW w:w="895" w:type="pct"/>
            <w:vAlign w:val="center"/>
          </w:tcPr>
          <w:p w14:paraId="00B325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项目检测费</w:t>
            </w:r>
          </w:p>
        </w:tc>
        <w:tc>
          <w:tcPr>
            <w:tcW w:w="1787" w:type="pct"/>
            <w:vAlign w:val="center"/>
          </w:tcPr>
          <w:p w14:paraId="4DBE23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吉林省科力建设工程检测有限公司</w:t>
            </w:r>
          </w:p>
        </w:tc>
      </w:tr>
      <w:tr w14:paraId="6E19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10A211A">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0E5958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6831D5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2021.08.04</w:t>
            </w:r>
          </w:p>
        </w:tc>
        <w:tc>
          <w:tcPr>
            <w:tcW w:w="687" w:type="pct"/>
            <w:vAlign w:val="center"/>
          </w:tcPr>
          <w:p w14:paraId="44F4E0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94.28</w:t>
            </w:r>
          </w:p>
        </w:tc>
        <w:tc>
          <w:tcPr>
            <w:tcW w:w="895" w:type="pct"/>
            <w:vAlign w:val="center"/>
          </w:tcPr>
          <w:p w14:paraId="2DF687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围挡工程款</w:t>
            </w:r>
          </w:p>
        </w:tc>
        <w:tc>
          <w:tcPr>
            <w:tcW w:w="1787" w:type="pct"/>
            <w:vAlign w:val="center"/>
          </w:tcPr>
          <w:p w14:paraId="12A4F4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吉林省瑞瑀建筑工程有限公司</w:t>
            </w:r>
          </w:p>
        </w:tc>
      </w:tr>
      <w:tr w14:paraId="2393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93EA497">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5C7184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388B0F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2021.08.05</w:t>
            </w:r>
          </w:p>
        </w:tc>
        <w:tc>
          <w:tcPr>
            <w:tcW w:w="687" w:type="pct"/>
            <w:vAlign w:val="center"/>
          </w:tcPr>
          <w:p w14:paraId="71F7C9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26.00</w:t>
            </w:r>
          </w:p>
        </w:tc>
        <w:tc>
          <w:tcPr>
            <w:tcW w:w="895" w:type="pct"/>
            <w:vAlign w:val="center"/>
          </w:tcPr>
          <w:p w14:paraId="576257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基坑监测费</w:t>
            </w:r>
          </w:p>
        </w:tc>
        <w:tc>
          <w:tcPr>
            <w:tcW w:w="1787" w:type="pct"/>
            <w:vAlign w:val="center"/>
          </w:tcPr>
          <w:p w14:paraId="061267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吉林省恒基岩土勘测有限责任公司</w:t>
            </w:r>
          </w:p>
        </w:tc>
      </w:tr>
      <w:tr w14:paraId="223F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2283AA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05E37B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0E099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2021.8.5</w:t>
            </w:r>
          </w:p>
        </w:tc>
        <w:tc>
          <w:tcPr>
            <w:tcW w:w="687" w:type="pct"/>
            <w:vAlign w:val="center"/>
          </w:tcPr>
          <w:p w14:paraId="452D58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12.35</w:t>
            </w:r>
          </w:p>
        </w:tc>
        <w:tc>
          <w:tcPr>
            <w:tcW w:w="895" w:type="pct"/>
            <w:vAlign w:val="center"/>
          </w:tcPr>
          <w:p w14:paraId="778940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基坑监测费</w:t>
            </w:r>
          </w:p>
        </w:tc>
        <w:tc>
          <w:tcPr>
            <w:tcW w:w="1787" w:type="pct"/>
            <w:vAlign w:val="center"/>
          </w:tcPr>
          <w:p w14:paraId="124A79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吉林省恒基岩土勘测有限责任公司</w:t>
            </w:r>
          </w:p>
        </w:tc>
      </w:tr>
      <w:tr w14:paraId="5A93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736C8F7">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5EED4E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179740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2021.09.15</w:t>
            </w:r>
          </w:p>
        </w:tc>
        <w:tc>
          <w:tcPr>
            <w:tcW w:w="687" w:type="pct"/>
            <w:vAlign w:val="center"/>
          </w:tcPr>
          <w:p w14:paraId="6C438B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10.00</w:t>
            </w:r>
          </w:p>
        </w:tc>
        <w:tc>
          <w:tcPr>
            <w:tcW w:w="895" w:type="pct"/>
            <w:vAlign w:val="center"/>
          </w:tcPr>
          <w:p w14:paraId="3F7280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水土保持方案报告书编制合同</w:t>
            </w:r>
          </w:p>
        </w:tc>
        <w:tc>
          <w:tcPr>
            <w:tcW w:w="1787" w:type="pct"/>
            <w:vAlign w:val="center"/>
          </w:tcPr>
          <w:p w14:paraId="22BBC0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吉林省慧雅工程技术有限公司</w:t>
            </w:r>
          </w:p>
        </w:tc>
      </w:tr>
      <w:tr w14:paraId="75E5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4E1B6BD">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3AA440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64B0C6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2021.09.26</w:t>
            </w:r>
          </w:p>
        </w:tc>
        <w:tc>
          <w:tcPr>
            <w:tcW w:w="687" w:type="pct"/>
            <w:vAlign w:val="center"/>
          </w:tcPr>
          <w:p w14:paraId="40B91F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607.89</w:t>
            </w:r>
          </w:p>
        </w:tc>
        <w:tc>
          <w:tcPr>
            <w:tcW w:w="895" w:type="pct"/>
            <w:vAlign w:val="center"/>
          </w:tcPr>
          <w:p w14:paraId="5F62AE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设计费</w:t>
            </w:r>
          </w:p>
        </w:tc>
        <w:tc>
          <w:tcPr>
            <w:tcW w:w="1787" w:type="pct"/>
            <w:vAlign w:val="center"/>
          </w:tcPr>
          <w:p w14:paraId="4DDB26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哈尔滨工业大学建筑设计研究院</w:t>
            </w:r>
          </w:p>
        </w:tc>
      </w:tr>
      <w:tr w14:paraId="0938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58BD1A4">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40C2E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0B3A0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2021.09.28</w:t>
            </w:r>
          </w:p>
        </w:tc>
        <w:tc>
          <w:tcPr>
            <w:tcW w:w="687" w:type="pct"/>
            <w:vAlign w:val="center"/>
          </w:tcPr>
          <w:p w14:paraId="054A97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8.13</w:t>
            </w:r>
          </w:p>
        </w:tc>
        <w:tc>
          <w:tcPr>
            <w:tcW w:w="895" w:type="pct"/>
            <w:vAlign w:val="center"/>
          </w:tcPr>
          <w:p w14:paraId="22828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基坑监测费</w:t>
            </w:r>
          </w:p>
        </w:tc>
        <w:tc>
          <w:tcPr>
            <w:tcW w:w="1787" w:type="pct"/>
            <w:vAlign w:val="center"/>
          </w:tcPr>
          <w:p w14:paraId="666079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吉林省恒基岩土勘测有限责任公司</w:t>
            </w:r>
          </w:p>
        </w:tc>
      </w:tr>
      <w:tr w14:paraId="30F5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032AA19">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B8906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49E4B0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2021.09.30</w:t>
            </w:r>
          </w:p>
        </w:tc>
        <w:tc>
          <w:tcPr>
            <w:tcW w:w="687" w:type="pct"/>
            <w:vAlign w:val="center"/>
          </w:tcPr>
          <w:p w14:paraId="09A36A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239.27</w:t>
            </w:r>
          </w:p>
        </w:tc>
        <w:tc>
          <w:tcPr>
            <w:tcW w:w="895" w:type="pct"/>
            <w:vAlign w:val="center"/>
          </w:tcPr>
          <w:p w14:paraId="28E1ED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项目检测费</w:t>
            </w:r>
          </w:p>
        </w:tc>
        <w:tc>
          <w:tcPr>
            <w:tcW w:w="1787" w:type="pct"/>
            <w:vAlign w:val="center"/>
          </w:tcPr>
          <w:p w14:paraId="125504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吉林省科力建设工程检测有限公司</w:t>
            </w:r>
          </w:p>
        </w:tc>
      </w:tr>
      <w:tr w14:paraId="382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7856292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F7556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19149F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2021.10.12</w:t>
            </w:r>
          </w:p>
        </w:tc>
        <w:tc>
          <w:tcPr>
            <w:tcW w:w="687" w:type="pct"/>
            <w:vAlign w:val="center"/>
          </w:tcPr>
          <w:p w14:paraId="334995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196.34</w:t>
            </w:r>
          </w:p>
        </w:tc>
        <w:tc>
          <w:tcPr>
            <w:tcW w:w="895" w:type="pct"/>
            <w:vAlign w:val="center"/>
          </w:tcPr>
          <w:p w14:paraId="1869F0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临电工程款</w:t>
            </w:r>
          </w:p>
        </w:tc>
        <w:tc>
          <w:tcPr>
            <w:tcW w:w="1787" w:type="pct"/>
            <w:vAlign w:val="center"/>
          </w:tcPr>
          <w:p w14:paraId="271F92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吉林省嘉格电力工程有限公司</w:t>
            </w:r>
          </w:p>
        </w:tc>
      </w:tr>
      <w:tr w14:paraId="181E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559734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04D3F2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21024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2021.10.12</w:t>
            </w:r>
          </w:p>
        </w:tc>
        <w:tc>
          <w:tcPr>
            <w:tcW w:w="687" w:type="pct"/>
            <w:vAlign w:val="center"/>
          </w:tcPr>
          <w:p w14:paraId="18F6CA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1099.30</w:t>
            </w:r>
          </w:p>
        </w:tc>
        <w:tc>
          <w:tcPr>
            <w:tcW w:w="895" w:type="pct"/>
            <w:vAlign w:val="center"/>
          </w:tcPr>
          <w:p w14:paraId="0506AB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临电工程款</w:t>
            </w:r>
          </w:p>
        </w:tc>
        <w:tc>
          <w:tcPr>
            <w:tcW w:w="1787" w:type="pct"/>
            <w:vAlign w:val="center"/>
          </w:tcPr>
          <w:p w14:paraId="1F1929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吉林省嘉格电力工程有限公司</w:t>
            </w:r>
          </w:p>
        </w:tc>
      </w:tr>
      <w:tr w14:paraId="1A8F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7A69F4A">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06919C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37188F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2021.10.18</w:t>
            </w:r>
          </w:p>
        </w:tc>
        <w:tc>
          <w:tcPr>
            <w:tcW w:w="687" w:type="pct"/>
            <w:vAlign w:val="center"/>
          </w:tcPr>
          <w:p w14:paraId="5A8852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15.10</w:t>
            </w:r>
          </w:p>
        </w:tc>
        <w:tc>
          <w:tcPr>
            <w:tcW w:w="895" w:type="pct"/>
            <w:vAlign w:val="center"/>
          </w:tcPr>
          <w:p w14:paraId="4A9B16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临电工程监理</w:t>
            </w:r>
          </w:p>
        </w:tc>
        <w:tc>
          <w:tcPr>
            <w:tcW w:w="1787" w:type="pct"/>
            <w:vAlign w:val="center"/>
          </w:tcPr>
          <w:p w14:paraId="2161A9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吉林省利达工程项目管理有限公司</w:t>
            </w:r>
          </w:p>
        </w:tc>
      </w:tr>
      <w:tr w14:paraId="64AE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40A2488">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3269F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4C2648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2021.10.18</w:t>
            </w:r>
          </w:p>
        </w:tc>
        <w:tc>
          <w:tcPr>
            <w:tcW w:w="687" w:type="pct"/>
            <w:vAlign w:val="center"/>
          </w:tcPr>
          <w:p w14:paraId="24A86B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549.35</w:t>
            </w:r>
          </w:p>
        </w:tc>
        <w:tc>
          <w:tcPr>
            <w:tcW w:w="895" w:type="pct"/>
            <w:vAlign w:val="center"/>
          </w:tcPr>
          <w:p w14:paraId="1BDE2E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架空线路排迁工程</w:t>
            </w:r>
          </w:p>
        </w:tc>
        <w:tc>
          <w:tcPr>
            <w:tcW w:w="1787" w:type="pct"/>
            <w:vAlign w:val="center"/>
          </w:tcPr>
          <w:p w14:paraId="49DF12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长春电力集团有限公司德惠农电工程分公司</w:t>
            </w:r>
          </w:p>
        </w:tc>
      </w:tr>
      <w:tr w14:paraId="7243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2CE710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0826FF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42F385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2021.10.18</w:t>
            </w:r>
          </w:p>
        </w:tc>
        <w:tc>
          <w:tcPr>
            <w:tcW w:w="687" w:type="pct"/>
            <w:vAlign w:val="center"/>
          </w:tcPr>
          <w:p w14:paraId="3C654D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7.24</w:t>
            </w:r>
          </w:p>
        </w:tc>
        <w:tc>
          <w:tcPr>
            <w:tcW w:w="895" w:type="pct"/>
            <w:vAlign w:val="center"/>
          </w:tcPr>
          <w:p w14:paraId="1DE951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架空线路排迁工程监理</w:t>
            </w:r>
          </w:p>
        </w:tc>
        <w:tc>
          <w:tcPr>
            <w:tcW w:w="1787" w:type="pct"/>
            <w:vAlign w:val="center"/>
          </w:tcPr>
          <w:p w14:paraId="738BC7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吉林省利达工程项目管理有限公司</w:t>
            </w:r>
          </w:p>
        </w:tc>
      </w:tr>
      <w:tr w14:paraId="67DE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F6E9B4E">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47AAD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408A6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2021.11.02</w:t>
            </w:r>
          </w:p>
        </w:tc>
        <w:tc>
          <w:tcPr>
            <w:tcW w:w="687" w:type="pct"/>
            <w:vAlign w:val="center"/>
          </w:tcPr>
          <w:p w14:paraId="1AED4E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359.96</w:t>
            </w:r>
          </w:p>
        </w:tc>
        <w:tc>
          <w:tcPr>
            <w:tcW w:w="895" w:type="pct"/>
            <w:vAlign w:val="center"/>
          </w:tcPr>
          <w:p w14:paraId="3C6C2C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监理费</w:t>
            </w:r>
          </w:p>
        </w:tc>
        <w:tc>
          <w:tcPr>
            <w:tcW w:w="1787" w:type="pct"/>
            <w:vAlign w:val="center"/>
          </w:tcPr>
          <w:p w14:paraId="5983B1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吉林省中鼎建设工程项目管理有限公司</w:t>
            </w:r>
          </w:p>
        </w:tc>
      </w:tr>
      <w:tr w14:paraId="001E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C45012A">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4A4422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0378B2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2021.12.08</w:t>
            </w:r>
          </w:p>
        </w:tc>
        <w:tc>
          <w:tcPr>
            <w:tcW w:w="687" w:type="pct"/>
            <w:vAlign w:val="center"/>
          </w:tcPr>
          <w:p w14:paraId="1AB8ED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48.22</w:t>
            </w:r>
          </w:p>
        </w:tc>
        <w:tc>
          <w:tcPr>
            <w:tcW w:w="895" w:type="pct"/>
            <w:vAlign w:val="center"/>
          </w:tcPr>
          <w:p w14:paraId="5793C3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围挡迁移</w:t>
            </w:r>
          </w:p>
        </w:tc>
        <w:tc>
          <w:tcPr>
            <w:tcW w:w="1787" w:type="pct"/>
            <w:vAlign w:val="center"/>
          </w:tcPr>
          <w:p w14:paraId="182C3C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松原市华鹏建设工程有限公司</w:t>
            </w:r>
          </w:p>
        </w:tc>
      </w:tr>
      <w:tr w14:paraId="4459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7924D1E">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1B276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1222EC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2021.12.15</w:t>
            </w:r>
          </w:p>
        </w:tc>
        <w:tc>
          <w:tcPr>
            <w:tcW w:w="687" w:type="pct"/>
            <w:vAlign w:val="center"/>
          </w:tcPr>
          <w:p w14:paraId="3D4B5F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828.04</w:t>
            </w:r>
          </w:p>
        </w:tc>
        <w:tc>
          <w:tcPr>
            <w:tcW w:w="895" w:type="pct"/>
            <w:vAlign w:val="center"/>
          </w:tcPr>
          <w:p w14:paraId="3B76D8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专项债利息</w:t>
            </w:r>
          </w:p>
        </w:tc>
        <w:tc>
          <w:tcPr>
            <w:tcW w:w="1787" w:type="pct"/>
            <w:vAlign w:val="center"/>
          </w:tcPr>
          <w:p w14:paraId="6B4309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中韩（长春）国际合作示范区财政局</w:t>
            </w:r>
          </w:p>
        </w:tc>
      </w:tr>
      <w:tr w14:paraId="11F0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70827D1B">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44A3F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D915D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2021.12.17</w:t>
            </w:r>
          </w:p>
        </w:tc>
        <w:tc>
          <w:tcPr>
            <w:tcW w:w="687" w:type="pct"/>
            <w:vAlign w:val="center"/>
          </w:tcPr>
          <w:p w14:paraId="5F6E87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28.91</w:t>
            </w:r>
          </w:p>
        </w:tc>
        <w:tc>
          <w:tcPr>
            <w:tcW w:w="895" w:type="pct"/>
            <w:vAlign w:val="center"/>
          </w:tcPr>
          <w:p w14:paraId="2DCBF8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基坑监测费</w:t>
            </w:r>
          </w:p>
        </w:tc>
        <w:tc>
          <w:tcPr>
            <w:tcW w:w="1787" w:type="pct"/>
            <w:vAlign w:val="center"/>
          </w:tcPr>
          <w:p w14:paraId="03C91E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吉林省恒基岩土勘测有限责任公司</w:t>
            </w:r>
          </w:p>
        </w:tc>
      </w:tr>
      <w:tr w14:paraId="7937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60C8EFA">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1C7F4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35996A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2022.01.14</w:t>
            </w:r>
          </w:p>
        </w:tc>
        <w:tc>
          <w:tcPr>
            <w:tcW w:w="687" w:type="pct"/>
            <w:vAlign w:val="center"/>
          </w:tcPr>
          <w:p w14:paraId="57E6AF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8.50</w:t>
            </w:r>
          </w:p>
        </w:tc>
        <w:tc>
          <w:tcPr>
            <w:tcW w:w="895" w:type="pct"/>
            <w:vAlign w:val="center"/>
          </w:tcPr>
          <w:p w14:paraId="55E47B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可研报告</w:t>
            </w:r>
          </w:p>
        </w:tc>
        <w:tc>
          <w:tcPr>
            <w:tcW w:w="1787" w:type="pct"/>
            <w:vAlign w:val="center"/>
          </w:tcPr>
          <w:p w14:paraId="6E1376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哈尔滨工业大学建筑设计研究院长春分院</w:t>
            </w:r>
          </w:p>
        </w:tc>
      </w:tr>
      <w:tr w14:paraId="3DF6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1B20475">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6948D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D9BE4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2022.01.14</w:t>
            </w:r>
          </w:p>
        </w:tc>
        <w:tc>
          <w:tcPr>
            <w:tcW w:w="687" w:type="pct"/>
            <w:vAlign w:val="center"/>
          </w:tcPr>
          <w:p w14:paraId="01BB27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6.50</w:t>
            </w:r>
          </w:p>
        </w:tc>
        <w:tc>
          <w:tcPr>
            <w:tcW w:w="895" w:type="pct"/>
            <w:vAlign w:val="center"/>
          </w:tcPr>
          <w:p w14:paraId="39C56F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项目建议书</w:t>
            </w:r>
          </w:p>
        </w:tc>
        <w:tc>
          <w:tcPr>
            <w:tcW w:w="1787" w:type="pct"/>
            <w:vAlign w:val="center"/>
          </w:tcPr>
          <w:p w14:paraId="351C76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哈尔滨工业大学建筑设计研究院长春分院</w:t>
            </w:r>
          </w:p>
        </w:tc>
      </w:tr>
      <w:tr w14:paraId="285B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A55090F">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60450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0C64AF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2022.01.14</w:t>
            </w:r>
          </w:p>
        </w:tc>
        <w:tc>
          <w:tcPr>
            <w:tcW w:w="687" w:type="pct"/>
            <w:vAlign w:val="center"/>
          </w:tcPr>
          <w:p w14:paraId="611432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4.00</w:t>
            </w:r>
          </w:p>
        </w:tc>
        <w:tc>
          <w:tcPr>
            <w:tcW w:w="895" w:type="pct"/>
            <w:vAlign w:val="center"/>
          </w:tcPr>
          <w:p w14:paraId="734C89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资金申请报告</w:t>
            </w:r>
          </w:p>
        </w:tc>
        <w:tc>
          <w:tcPr>
            <w:tcW w:w="1787" w:type="pct"/>
            <w:vAlign w:val="center"/>
          </w:tcPr>
          <w:p w14:paraId="55C650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吉林省城恒工程技术咨询有限公司</w:t>
            </w:r>
          </w:p>
        </w:tc>
      </w:tr>
      <w:tr w14:paraId="2D56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7CFC11D">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4D4631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66E59C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2022.01.25</w:t>
            </w:r>
          </w:p>
        </w:tc>
        <w:tc>
          <w:tcPr>
            <w:tcW w:w="687" w:type="pct"/>
            <w:vAlign w:val="center"/>
          </w:tcPr>
          <w:p w14:paraId="2CF7AE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0.97</w:t>
            </w:r>
          </w:p>
        </w:tc>
        <w:tc>
          <w:tcPr>
            <w:tcW w:w="895" w:type="pct"/>
            <w:vAlign w:val="center"/>
          </w:tcPr>
          <w:p w14:paraId="49E19C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工程款</w:t>
            </w:r>
          </w:p>
        </w:tc>
        <w:tc>
          <w:tcPr>
            <w:tcW w:w="1787" w:type="pct"/>
            <w:vAlign w:val="center"/>
          </w:tcPr>
          <w:p w14:paraId="5E0AC4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中铁上海工程局集团有限公司</w:t>
            </w:r>
          </w:p>
        </w:tc>
      </w:tr>
      <w:tr w14:paraId="3010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FDD8501">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00D9D5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6EFD04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2022.01.27</w:t>
            </w:r>
          </w:p>
        </w:tc>
        <w:tc>
          <w:tcPr>
            <w:tcW w:w="687" w:type="pct"/>
            <w:vAlign w:val="center"/>
          </w:tcPr>
          <w:p w14:paraId="42A272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4.70</w:t>
            </w:r>
          </w:p>
        </w:tc>
        <w:tc>
          <w:tcPr>
            <w:tcW w:w="895" w:type="pct"/>
            <w:vAlign w:val="center"/>
          </w:tcPr>
          <w:p w14:paraId="29A4FE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事前绩效评估咨询费用</w:t>
            </w:r>
          </w:p>
        </w:tc>
        <w:tc>
          <w:tcPr>
            <w:tcW w:w="1787" w:type="pct"/>
            <w:vAlign w:val="center"/>
          </w:tcPr>
          <w:p w14:paraId="2624A2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吉林汇通会计师事务所有限公司</w:t>
            </w:r>
          </w:p>
        </w:tc>
      </w:tr>
      <w:tr w14:paraId="6D5E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7E36B9D8">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6BF98D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C5C14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2022.02.22</w:t>
            </w:r>
          </w:p>
        </w:tc>
        <w:tc>
          <w:tcPr>
            <w:tcW w:w="687" w:type="pct"/>
            <w:vAlign w:val="center"/>
          </w:tcPr>
          <w:p w14:paraId="40BA35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86.40</w:t>
            </w:r>
          </w:p>
        </w:tc>
        <w:tc>
          <w:tcPr>
            <w:tcW w:w="895" w:type="pct"/>
            <w:vAlign w:val="center"/>
          </w:tcPr>
          <w:p w14:paraId="2AAF8C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发行手续费、服务费</w:t>
            </w:r>
          </w:p>
        </w:tc>
        <w:tc>
          <w:tcPr>
            <w:tcW w:w="1787" w:type="pct"/>
            <w:vAlign w:val="center"/>
          </w:tcPr>
          <w:p w14:paraId="399ADA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中韩（长春）国际合作示范区财政局</w:t>
            </w:r>
          </w:p>
        </w:tc>
      </w:tr>
      <w:tr w14:paraId="15D8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B7AEA79">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6CABEE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084EAE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2022.06.13</w:t>
            </w:r>
          </w:p>
        </w:tc>
        <w:tc>
          <w:tcPr>
            <w:tcW w:w="687" w:type="pct"/>
            <w:vAlign w:val="center"/>
          </w:tcPr>
          <w:p w14:paraId="7B902D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18.85</w:t>
            </w:r>
          </w:p>
        </w:tc>
        <w:tc>
          <w:tcPr>
            <w:tcW w:w="895" w:type="pct"/>
            <w:vAlign w:val="center"/>
          </w:tcPr>
          <w:p w14:paraId="5F0ECE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围挡迁移</w:t>
            </w:r>
          </w:p>
        </w:tc>
        <w:tc>
          <w:tcPr>
            <w:tcW w:w="1787" w:type="pct"/>
            <w:vAlign w:val="center"/>
          </w:tcPr>
          <w:p w14:paraId="670338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松原市华鹏建设工程有限公司</w:t>
            </w:r>
          </w:p>
        </w:tc>
      </w:tr>
      <w:tr w14:paraId="0D2C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8DE1F1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5AF34F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F9B32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2022.06.22</w:t>
            </w:r>
          </w:p>
        </w:tc>
        <w:tc>
          <w:tcPr>
            <w:tcW w:w="687" w:type="pct"/>
            <w:vAlign w:val="center"/>
          </w:tcPr>
          <w:p w14:paraId="1EA2B7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148.36</w:t>
            </w:r>
          </w:p>
        </w:tc>
        <w:tc>
          <w:tcPr>
            <w:tcW w:w="895" w:type="pct"/>
            <w:vAlign w:val="center"/>
          </w:tcPr>
          <w:p w14:paraId="49D9A2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项目检测费</w:t>
            </w:r>
          </w:p>
        </w:tc>
        <w:tc>
          <w:tcPr>
            <w:tcW w:w="1787" w:type="pct"/>
            <w:vAlign w:val="center"/>
          </w:tcPr>
          <w:p w14:paraId="2CC1FC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吉林省科力建设工程检测有限公司</w:t>
            </w:r>
          </w:p>
        </w:tc>
      </w:tr>
      <w:tr w14:paraId="1DA4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5CCA57D">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0B733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19C2B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2022.07.12</w:t>
            </w:r>
          </w:p>
        </w:tc>
        <w:tc>
          <w:tcPr>
            <w:tcW w:w="687" w:type="pct"/>
            <w:vAlign w:val="center"/>
          </w:tcPr>
          <w:p w14:paraId="66B8A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8.64</w:t>
            </w:r>
          </w:p>
        </w:tc>
        <w:tc>
          <w:tcPr>
            <w:tcW w:w="895" w:type="pct"/>
            <w:vAlign w:val="center"/>
          </w:tcPr>
          <w:p w14:paraId="00D2A0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发行手续费、服务费</w:t>
            </w:r>
          </w:p>
        </w:tc>
        <w:tc>
          <w:tcPr>
            <w:tcW w:w="1787" w:type="pct"/>
            <w:vAlign w:val="center"/>
          </w:tcPr>
          <w:p w14:paraId="15C5A7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吉林省非税收入代解缴账户</w:t>
            </w:r>
          </w:p>
        </w:tc>
      </w:tr>
      <w:tr w14:paraId="1DF0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AC4B736">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2E100F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C2656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2022.07.28</w:t>
            </w:r>
          </w:p>
        </w:tc>
        <w:tc>
          <w:tcPr>
            <w:tcW w:w="687" w:type="pct"/>
            <w:vAlign w:val="center"/>
          </w:tcPr>
          <w:p w14:paraId="7DA58B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c>
          <w:tcPr>
            <w:tcW w:w="895" w:type="pct"/>
            <w:vAlign w:val="center"/>
          </w:tcPr>
          <w:p w14:paraId="175348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财务评价服务费</w:t>
            </w:r>
          </w:p>
        </w:tc>
        <w:tc>
          <w:tcPr>
            <w:tcW w:w="1787" w:type="pct"/>
            <w:vAlign w:val="center"/>
          </w:tcPr>
          <w:p w14:paraId="67BAED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中兴华会计师事务所（特殊普通合伙）吉林分所</w:t>
            </w:r>
          </w:p>
        </w:tc>
      </w:tr>
      <w:tr w14:paraId="2B1E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2133057">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3011FE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1CEBD3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2022.07.28</w:t>
            </w:r>
          </w:p>
        </w:tc>
        <w:tc>
          <w:tcPr>
            <w:tcW w:w="687" w:type="pct"/>
            <w:vAlign w:val="center"/>
          </w:tcPr>
          <w:p w14:paraId="5143BC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6.00</w:t>
            </w:r>
          </w:p>
        </w:tc>
        <w:tc>
          <w:tcPr>
            <w:tcW w:w="895" w:type="pct"/>
            <w:vAlign w:val="center"/>
          </w:tcPr>
          <w:p w14:paraId="7FE101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法律服务费</w:t>
            </w:r>
          </w:p>
        </w:tc>
        <w:tc>
          <w:tcPr>
            <w:tcW w:w="1787" w:type="pct"/>
            <w:vAlign w:val="center"/>
          </w:tcPr>
          <w:p w14:paraId="23BEB9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吉林功承律师事务所</w:t>
            </w:r>
          </w:p>
        </w:tc>
      </w:tr>
      <w:tr w14:paraId="5198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D715BA8">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8E02B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1ABF93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2022.09.09</w:t>
            </w:r>
          </w:p>
        </w:tc>
        <w:tc>
          <w:tcPr>
            <w:tcW w:w="687" w:type="pct"/>
            <w:vAlign w:val="center"/>
          </w:tcPr>
          <w:p w14:paraId="4DD980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299.41</w:t>
            </w:r>
          </w:p>
        </w:tc>
        <w:tc>
          <w:tcPr>
            <w:tcW w:w="895" w:type="pct"/>
            <w:vAlign w:val="center"/>
          </w:tcPr>
          <w:p w14:paraId="5BBBD1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总包工程保险费</w:t>
            </w:r>
          </w:p>
        </w:tc>
        <w:tc>
          <w:tcPr>
            <w:tcW w:w="1787" w:type="pct"/>
            <w:vAlign w:val="center"/>
          </w:tcPr>
          <w:p w14:paraId="31FF97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太平财产保险有限公司长春市分公司</w:t>
            </w:r>
          </w:p>
        </w:tc>
      </w:tr>
      <w:tr w14:paraId="4A75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A24C7F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121CC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42A64E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2022.11.01</w:t>
            </w:r>
          </w:p>
        </w:tc>
        <w:tc>
          <w:tcPr>
            <w:tcW w:w="687" w:type="pct"/>
            <w:vAlign w:val="center"/>
          </w:tcPr>
          <w:p w14:paraId="6529D1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12.72</w:t>
            </w:r>
          </w:p>
        </w:tc>
        <w:tc>
          <w:tcPr>
            <w:tcW w:w="895" w:type="pct"/>
            <w:vAlign w:val="center"/>
          </w:tcPr>
          <w:p w14:paraId="5BB023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发行手续费、服务费</w:t>
            </w:r>
          </w:p>
        </w:tc>
        <w:tc>
          <w:tcPr>
            <w:tcW w:w="1787" w:type="pct"/>
            <w:vAlign w:val="center"/>
          </w:tcPr>
          <w:p w14:paraId="1DF96E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吉林省非税收入代解缴账户</w:t>
            </w:r>
          </w:p>
        </w:tc>
      </w:tr>
      <w:tr w14:paraId="0CA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5B2ECF1">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7F744D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74CA73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2022.12.30</w:t>
            </w:r>
          </w:p>
        </w:tc>
        <w:tc>
          <w:tcPr>
            <w:tcW w:w="687" w:type="pct"/>
            <w:vAlign w:val="center"/>
          </w:tcPr>
          <w:p w14:paraId="2B5386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2714.64</w:t>
            </w:r>
          </w:p>
        </w:tc>
        <w:tc>
          <w:tcPr>
            <w:tcW w:w="895" w:type="pct"/>
            <w:vAlign w:val="center"/>
          </w:tcPr>
          <w:p w14:paraId="5E5D2E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专项债利息</w:t>
            </w:r>
          </w:p>
        </w:tc>
        <w:tc>
          <w:tcPr>
            <w:tcW w:w="1787" w:type="pct"/>
            <w:vAlign w:val="center"/>
          </w:tcPr>
          <w:p w14:paraId="4326CB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中韩（长春）国际合作示范区财政局</w:t>
            </w:r>
          </w:p>
        </w:tc>
      </w:tr>
      <w:tr w14:paraId="348B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EFCED9E">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17EA63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D3EC2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2023.4.21</w:t>
            </w:r>
          </w:p>
        </w:tc>
        <w:tc>
          <w:tcPr>
            <w:tcW w:w="687" w:type="pct"/>
            <w:vAlign w:val="center"/>
          </w:tcPr>
          <w:p w14:paraId="7575EC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2375.12</w:t>
            </w:r>
          </w:p>
        </w:tc>
        <w:tc>
          <w:tcPr>
            <w:tcW w:w="895" w:type="pct"/>
            <w:vAlign w:val="center"/>
          </w:tcPr>
          <w:p w14:paraId="1A8FB4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专项债利息</w:t>
            </w:r>
          </w:p>
        </w:tc>
        <w:tc>
          <w:tcPr>
            <w:tcW w:w="1787" w:type="pct"/>
            <w:vAlign w:val="center"/>
          </w:tcPr>
          <w:p w14:paraId="409512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中韩（长春）国际合作示范区财政局</w:t>
            </w:r>
          </w:p>
        </w:tc>
      </w:tr>
      <w:tr w14:paraId="0408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DDC1ECC">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4771C9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205461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2023.12.19</w:t>
            </w:r>
          </w:p>
        </w:tc>
        <w:tc>
          <w:tcPr>
            <w:tcW w:w="687" w:type="pct"/>
            <w:vAlign w:val="center"/>
          </w:tcPr>
          <w:p w14:paraId="299934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2718.00</w:t>
            </w:r>
          </w:p>
        </w:tc>
        <w:tc>
          <w:tcPr>
            <w:tcW w:w="895" w:type="pct"/>
            <w:vAlign w:val="center"/>
          </w:tcPr>
          <w:p w14:paraId="2B43FE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专项债利息</w:t>
            </w:r>
          </w:p>
        </w:tc>
        <w:tc>
          <w:tcPr>
            <w:tcW w:w="1787" w:type="pct"/>
            <w:vAlign w:val="center"/>
          </w:tcPr>
          <w:p w14:paraId="578B0F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中韩（长春）国际合作示范区财政局</w:t>
            </w:r>
          </w:p>
        </w:tc>
      </w:tr>
      <w:tr w14:paraId="26D8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C69BA8E">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707" w:type="pct"/>
            <w:vMerge w:val="continue"/>
            <w:vAlign w:val="center"/>
          </w:tcPr>
          <w:p w14:paraId="09E8EA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687" w:type="pct"/>
            <w:vAlign w:val="center"/>
          </w:tcPr>
          <w:p w14:paraId="60F7D6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2024.01.08</w:t>
            </w:r>
          </w:p>
        </w:tc>
        <w:tc>
          <w:tcPr>
            <w:tcW w:w="687" w:type="pct"/>
            <w:vAlign w:val="center"/>
          </w:tcPr>
          <w:p w14:paraId="2C53A6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5093.25</w:t>
            </w:r>
          </w:p>
        </w:tc>
        <w:tc>
          <w:tcPr>
            <w:tcW w:w="895" w:type="pct"/>
            <w:vAlign w:val="center"/>
          </w:tcPr>
          <w:p w14:paraId="494FAC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专项债利息</w:t>
            </w:r>
          </w:p>
        </w:tc>
        <w:tc>
          <w:tcPr>
            <w:tcW w:w="1787" w:type="pct"/>
            <w:vAlign w:val="center"/>
          </w:tcPr>
          <w:p w14:paraId="686FB9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中韩（长春）国际合作示范区财政局</w:t>
            </w:r>
          </w:p>
        </w:tc>
      </w:tr>
      <w:tr w14:paraId="6D84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29" w:type="pct"/>
            <w:gridSpan w:val="3"/>
            <w:vAlign w:val="center"/>
          </w:tcPr>
          <w:p w14:paraId="07BB45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项目资本金支出合计</w:t>
            </w:r>
          </w:p>
        </w:tc>
        <w:tc>
          <w:tcPr>
            <w:tcW w:w="3370" w:type="pct"/>
            <w:gridSpan w:val="3"/>
            <w:shd w:val="clear" w:color="auto" w:fill="auto"/>
            <w:vAlign w:val="center"/>
          </w:tcPr>
          <w:p w14:paraId="17ADC0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51406.98</w:t>
            </w:r>
          </w:p>
        </w:tc>
      </w:tr>
      <w:tr w14:paraId="6E17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9" w:type="pct"/>
            <w:gridSpan w:val="3"/>
            <w:vAlign w:val="center"/>
          </w:tcPr>
          <w:p w14:paraId="7A3BF0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项目所有资金支出合计</w:t>
            </w:r>
          </w:p>
        </w:tc>
        <w:tc>
          <w:tcPr>
            <w:tcW w:w="3370" w:type="pct"/>
            <w:gridSpan w:val="3"/>
            <w:shd w:val="clear" w:color="auto" w:fill="auto"/>
            <w:vAlign w:val="center"/>
          </w:tcPr>
          <w:p w14:paraId="4B80B6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196406.98</w:t>
            </w:r>
          </w:p>
        </w:tc>
      </w:tr>
    </w:tbl>
    <w:p w14:paraId="29401935">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0" w:name="_Toc5120"/>
      <w:r>
        <w:rPr>
          <w:rFonts w:hint="eastAsia" w:ascii="仿宋_GB2312" w:hAnsi="仿宋_GB2312" w:eastAsia="仿宋_GB2312" w:cs="仿宋_GB2312"/>
          <w:highlight w:val="none"/>
          <w:lang w:val="en-US" w:eastAsia="zh-CN"/>
        </w:rPr>
        <w:t>（三）项目产出情况</w:t>
      </w:r>
      <w:bookmarkEnd w:id="80"/>
    </w:p>
    <w:p w14:paraId="4C6A9FE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1.产出数量</w:t>
      </w:r>
    </w:p>
    <w:p w14:paraId="232B0CF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截至2024年12月31日，本项目实际完成计划建设内容的56.11%。项目实际完成率按56.11%计入。</w:t>
      </w:r>
    </w:p>
    <w:p w14:paraId="0EEA4E6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2.产出质量</w:t>
      </w:r>
    </w:p>
    <w:p w14:paraId="43585D42">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由于本项目未建设完成，暂未开展验收工作，根据吉林省科力建设工程检测有限公司出具的《弹性体改性沥青防水卷材试验报告》《钢筋机械性能试验报告》《钢筋机械连接接头试验报告》《轻集料砼小型空心砌块试验报告》《混凝土试块抗压强度试验报告》等，工程所用材料质量检测达标。</w:t>
      </w:r>
    </w:p>
    <w:p w14:paraId="02D9BD5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3.产出时效</w:t>
      </w:r>
    </w:p>
    <w:p w14:paraId="6F716BB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根据《</w:t>
      </w:r>
      <w:r>
        <w:rPr>
          <w:rFonts w:hint="eastAsia" w:ascii="Times New Roman" w:hAnsi="Times New Roman" w:eastAsia="仿宋_GB2312" w:cs="Times New Roman"/>
          <w:b w:val="0"/>
          <w:bCs w:val="0"/>
          <w:color w:val="auto"/>
          <w:sz w:val="32"/>
          <w:szCs w:val="32"/>
          <w:highlight w:val="none"/>
          <w:lang w:val="en-US" w:eastAsia="zh-CN"/>
        </w:rPr>
        <w:t>建设项目工程总承包合同</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本项目计划开工日期为2020年10月24日；根据《开工报告》，本项目实际开工时间为2020年10月24日，开工及时。</w:t>
      </w:r>
    </w:p>
    <w:p w14:paraId="29DC07B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4.产出成本</w:t>
      </w:r>
    </w:p>
    <w:p w14:paraId="0F0B12D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根据《关于中韩（长春）国际合作示范区国际文教科技产业园项目初步设计的批复》（中韩发改审批字〔2021〕39号），工程费用预算299412.17万元，由于本项目实际完成率为</w:t>
      </w:r>
      <w:r>
        <w:rPr>
          <w:rFonts w:hint="eastAsia" w:ascii="Times New Roman" w:hAnsi="Times New Roman" w:eastAsia="仿宋_GB2312" w:cs="Times New Roman"/>
          <w:b w:val="0"/>
          <w:bCs w:val="0"/>
          <w:color w:val="auto"/>
          <w:sz w:val="32"/>
          <w:szCs w:val="32"/>
          <w:highlight w:val="none"/>
          <w:lang w:val="en-US" w:eastAsia="zh-CN"/>
        </w:rPr>
        <w:t>56.11%，因此，本项目计划投入工程款按168000.17万元计入；截至2024年12月31日，本项目实际投入工程款共计146870.32万元，建设成本节约率为12.58%。</w:t>
      </w:r>
    </w:p>
    <w:p w14:paraId="77034E41">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1" w:name="_Toc4228"/>
      <w:r>
        <w:rPr>
          <w:rFonts w:hint="eastAsia" w:ascii="仿宋_GB2312" w:hAnsi="仿宋_GB2312" w:eastAsia="仿宋_GB2312" w:cs="仿宋_GB2312"/>
          <w:highlight w:val="none"/>
          <w:lang w:val="en-US" w:eastAsia="zh-CN"/>
        </w:rPr>
        <w:t>（四）项目效益情况</w:t>
      </w:r>
      <w:bookmarkEnd w:id="81"/>
    </w:p>
    <w:p w14:paraId="36B16EB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1.社会效益</w:t>
      </w:r>
    </w:p>
    <w:p w14:paraId="45EE1B12">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通过考核项目实施对促进教育与人才培养、推动科技创新与成果转化的显著程度，反映对社会发展所带来的正面影响情况。促进教育与人才培养、推动科技创新与成果转化的显著程度越高，社会效益越显著。</w:t>
      </w:r>
    </w:p>
    <w:p w14:paraId="3D56D2F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评价组发放并回收有效问卷43份。认为项目实施后对促进教育与人才培养、推动科技创新与成果转化效果非常显著的31份、比较显著的8份、显著的4份，通过对调查问卷统计结果进行等概率法计算，项目实施对促进教育与人才培养、推动科技创新与成果转化的显著程度为92.56%，社会效益较好。</w:t>
      </w:r>
    </w:p>
    <w:p w14:paraId="6E860ED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2.经济效益</w:t>
      </w:r>
    </w:p>
    <w:p w14:paraId="2AD809C1">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根据项目平衡方案，本项目营业收入主要来源于中韩（长春）国际合作示范区国际文教科技产业园办公研发出租收益、经营性项目出租收益、广告收益及物业管理服务收入。</w:t>
      </w:r>
    </w:p>
    <w:p w14:paraId="18CE3F11">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市场调研、查询长春市周边地区办公楼及经营用地出租信息，长春市区内的一般地段，如长春市南关区恒丰国际、伟峰资讯中心、环球广场、中天地服务用房出租单价。结合中韩国际文教科技产业园内建筑功能布局和建造成本及未来出租对象定位，考虑产业园区的区域位置及配套条件等因素，同时考虑到地理位置及谨慎性原则，取地段最低值1.69元/㎡/天，以年为单位换算为616.85元/㎡/年，为方便计算，服务用房（即办公研发建筑共608724平方米）出租单价取整数600元/㎡/年，年租金收入36523.44万元</w:t>
      </w:r>
    </w:p>
    <w:p w14:paraId="38ECD22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配套物业管理费方面，依据市场调研，经营性物业是服务性用房物业管理费的两倍，依据市场调研情况，综合单价暂定18元/平方米/年，年收入1182.51万元。广告费依据长春市宽城区广告单价调研基本均在2.5万元/个/年，依据保守测算原则，暂定广告费单价为2万/个/年，共200个，年收入400万元。</w:t>
      </w:r>
    </w:p>
    <w:p w14:paraId="24C5BCB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经营类项目（49226平方米）出租单价根据经营项目不同暂定为800-900元/平方米/年，年收入4997.68万元。本项目周边可参考的项目收入主要为长德智能装备产业园，根据相关租赁合同显示，该产业园建筑面积2902平方米，厂房月租金为每平方米50元，合计月租金14.51万元；园区内停车位1643个，车位租金每年每个0.6万元，合计车位租金985.8万元；园区内广告牌300个，租金每年每个3万元，合计广告牌租金900万元。可见本项目周边价格略高，因此本项目收入测算使用市区内平均数据较为保守，具备一定的合理性。</w:t>
      </w:r>
    </w:p>
    <w:p w14:paraId="203FCCD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综上，本项目办公研发类出租每年收益预计36523.44万元，经营性项目出租每年收益预计4997.68万元，物业管理服务自主经营每年预计收益为1182.51万元，广告收入每年预计收益为400万元，其中根据市场预测，预计2035年广告费整体增加5%。</w:t>
      </w:r>
    </w:p>
    <w:p w14:paraId="74CACD4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运营成本包括外购原材料、燃料及动力费、职工工资及福利费、修理费用、其他费用及项目税费。截至2024年12月31日，本项目预计收入共计47054.79万元，运营成本12872.58万元，项目可偿债净收益共计34182.21万元。</w:t>
      </w:r>
    </w:p>
    <w:p w14:paraId="445C7CB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项目计划2023年8月开始运营，截至2024年12月31日，本项目未建设完成，无法投入运营，未产生直接经济效益。</w:t>
      </w:r>
    </w:p>
    <w:p w14:paraId="7C8C977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3.受益群体满意度</w:t>
      </w:r>
    </w:p>
    <w:p w14:paraId="128ADFD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本项目主要问卷发放群体为主管单位工作人员、项目单位工作人员及受益群众。评价组在上述对象中随机发放了线上调查问卷，参与调查人数43人。</w:t>
      </w:r>
    </w:p>
    <w:p w14:paraId="72294BC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次问卷主要从项目的实施能否促进教育资源整合、能否提升技能培训与就业能力、能否吸引高端人才、能否促进文化产业的发展、能否提升人口素质等5个方面进行调查，经统计，受益群体对本项目实施的综合满意度为90.7%。</w:t>
      </w:r>
    </w:p>
    <w:p w14:paraId="041C72B4">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sectPr>
          <w:pgSz w:w="11906" w:h="16838"/>
          <w:pgMar w:top="1440" w:right="1080" w:bottom="1440" w:left="1080" w:header="851" w:footer="992" w:gutter="0"/>
          <w:pgNumType w:fmt="decimal"/>
          <w:cols w:space="425" w:num="1"/>
          <w:docGrid w:type="lines" w:linePitch="312" w:charSpace="0"/>
        </w:sectPr>
      </w:pPr>
    </w:p>
    <w:p w14:paraId="675C82D9">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82" w:name="_Toc687"/>
      <w:r>
        <w:rPr>
          <w:rFonts w:hint="eastAsia" w:ascii="黑体" w:hAnsi="黑体" w:eastAsia="黑体" w:cs="黑体"/>
          <w:b w:val="0"/>
          <w:bCs w:val="0"/>
          <w:highlight w:val="none"/>
          <w:lang w:val="en-US" w:eastAsia="zh-CN"/>
        </w:rPr>
        <w:t>五、存在的问题</w:t>
      </w:r>
      <w:bookmarkEnd w:id="82"/>
    </w:p>
    <w:p w14:paraId="31AA24C6">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3" w:name="_Toc27899"/>
      <w:bookmarkStart w:id="84" w:name="_Toc29754"/>
      <w:bookmarkStart w:id="85" w:name="_Toc26225"/>
      <w:r>
        <w:rPr>
          <w:rFonts w:hint="eastAsia" w:ascii="仿宋_GB2312" w:hAnsi="仿宋_GB2312" w:eastAsia="仿宋_GB2312" w:cs="仿宋_GB2312"/>
          <w:highlight w:val="none"/>
          <w:lang w:val="en-US" w:eastAsia="zh-CN"/>
        </w:rPr>
        <w:t>（一）决策方面</w:t>
      </w:r>
      <w:bookmarkEnd w:id="83"/>
      <w:bookmarkEnd w:id="84"/>
      <w:bookmarkEnd w:id="85"/>
    </w:p>
    <w:p w14:paraId="111CFE0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1.立项程序规范性</w:t>
      </w:r>
    </w:p>
    <w:p w14:paraId="6D291ED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除可行性研究报告批复、项目建议书批复及建设项目环境影响登记表外，其余批件均在开工后取得。</w:t>
      </w:r>
    </w:p>
    <w:p w14:paraId="6B303FA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2.绩效目标合理性</w:t>
      </w:r>
    </w:p>
    <w:p w14:paraId="6B8F667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项目绩效目标设置有待提升，年度总体目标及项目总体目标均未阐述项目建设内容。</w:t>
      </w:r>
    </w:p>
    <w:p w14:paraId="34C6C43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3.绩效指标明确性</w:t>
      </w:r>
    </w:p>
    <w:p w14:paraId="47F5D1A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部分三级指标及指标值有待进一步完善，3个质量指标、时效指标“按时开工”、成本指标“单位成本”，指标值均未量化；质量指标“功能、节能、环保”，指标阐述不完整；指标值阐述冗长，建议简化。</w:t>
      </w:r>
    </w:p>
    <w:p w14:paraId="34F878DA">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6" w:name="_Toc3032"/>
      <w:bookmarkStart w:id="87" w:name="_Toc2527"/>
      <w:bookmarkStart w:id="88" w:name="_Toc2596"/>
      <w:r>
        <w:rPr>
          <w:rFonts w:hint="eastAsia" w:ascii="仿宋_GB2312" w:hAnsi="仿宋_GB2312" w:eastAsia="仿宋_GB2312" w:cs="仿宋_GB2312"/>
          <w:highlight w:val="none"/>
          <w:lang w:val="en-US" w:eastAsia="zh-CN"/>
        </w:rPr>
        <w:t>（二）管理方面</w:t>
      </w:r>
      <w:bookmarkEnd w:id="86"/>
      <w:bookmarkEnd w:id="87"/>
      <w:bookmarkEnd w:id="88"/>
    </w:p>
    <w:p w14:paraId="1395CB6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1.管理制度健全性</w:t>
      </w:r>
    </w:p>
    <w:p w14:paraId="09DB7D4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在资金管理方面，项目单位制定《中韩（长春）国际合作示范区长荣城市建设投资（集团）有限公司财政专项资金管理制度》，但该制度未对专项债券资金的管理、收支、监督、时间节点、审计等内容进行明确约束，资金管理制度不完整。</w:t>
      </w:r>
    </w:p>
    <w:p w14:paraId="501A2B0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在项目管理方面，未制定相关项目管理办法，对专项债券项目的申报、实施、项目调整、施工质量、监督检查、风险防控、竣工验收等重点内容没有明确约束，项目管理制度不健全。</w:t>
      </w:r>
    </w:p>
    <w:p w14:paraId="480317D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2.组织实施有效性</w:t>
      </w:r>
    </w:p>
    <w:p w14:paraId="076F2DC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部分合同日期签署不完整，如《技术咨询合同》《咨询业务委托合同》等。</w:t>
      </w:r>
    </w:p>
    <w:p w14:paraId="03DA505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3.资本金及其他资金到位率</w:t>
      </w:r>
    </w:p>
    <w:p w14:paraId="1296E39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项目资本金预算141912.34万元，截至2024年12月31日，项目资本金到位51406.98万元，项目资本金到位率为36.22%。</w:t>
      </w:r>
    </w:p>
    <w:p w14:paraId="79CB38D8">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9" w:name="_Toc12446"/>
      <w:bookmarkStart w:id="90" w:name="_Toc17344"/>
      <w:bookmarkStart w:id="91" w:name="_Toc717"/>
      <w:r>
        <w:rPr>
          <w:rFonts w:hint="eastAsia" w:ascii="仿宋_GB2312" w:hAnsi="仿宋_GB2312" w:eastAsia="仿宋_GB2312" w:cs="仿宋_GB2312"/>
          <w:highlight w:val="none"/>
          <w:lang w:val="en-US" w:eastAsia="zh-CN"/>
        </w:rPr>
        <w:t>（三）产出方面</w:t>
      </w:r>
      <w:bookmarkEnd w:id="89"/>
      <w:bookmarkEnd w:id="90"/>
      <w:bookmarkEnd w:id="91"/>
    </w:p>
    <w:p w14:paraId="786D99B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产出数量：截至2024年12月31日，本项目实际完成计划建设内容的56.11%。项目实际完成率按56.11%计入。</w:t>
      </w:r>
    </w:p>
    <w:p w14:paraId="595CA4BD">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92" w:name="_Toc16478"/>
      <w:r>
        <w:rPr>
          <w:rFonts w:hint="eastAsia" w:ascii="仿宋_GB2312" w:hAnsi="仿宋_GB2312" w:eastAsia="仿宋_GB2312" w:cs="仿宋_GB2312"/>
          <w:highlight w:val="none"/>
          <w:lang w:val="en-US" w:eastAsia="zh-CN"/>
        </w:rPr>
        <w:t>（四）效益方面</w:t>
      </w:r>
      <w:bookmarkEnd w:id="92"/>
    </w:p>
    <w:p w14:paraId="19E29C5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直接经济效益：项目计划2023年8月开始运营，截至2024年12月31日，本项目未建设完成，无法投入运营，未产生直接经济效益。</w:t>
      </w:r>
    </w:p>
    <w:p w14:paraId="7134AC86">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Times New Roman" w:hAnsi="Times New Roman" w:eastAsia="仿宋_GB2312" w:cs="Times New Roman"/>
          <w:b w:val="0"/>
          <w:bCs w:val="0"/>
          <w:color w:val="auto"/>
          <w:sz w:val="32"/>
          <w:szCs w:val="32"/>
          <w:highlight w:val="none"/>
          <w:lang w:val="en-US" w:eastAsia="zh-CN"/>
        </w:rPr>
      </w:pPr>
    </w:p>
    <w:p w14:paraId="49387191">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p>
    <w:p w14:paraId="7D6FC2BB">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93" w:name="_Toc19663"/>
      <w:r>
        <w:rPr>
          <w:rFonts w:hint="eastAsia" w:ascii="黑体" w:hAnsi="黑体" w:eastAsia="黑体" w:cs="黑体"/>
          <w:b w:val="0"/>
          <w:bCs w:val="0"/>
          <w:highlight w:val="none"/>
          <w:lang w:val="en-US" w:eastAsia="zh-CN"/>
        </w:rPr>
        <w:t>六、有关建议</w:t>
      </w:r>
      <w:bookmarkEnd w:id="93"/>
    </w:p>
    <w:p w14:paraId="12E8CADE">
      <w:pPr>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left"/>
        <w:textAlignment w:val="auto"/>
        <w:outlineLvl w:val="1"/>
        <w:rPr>
          <w:rFonts w:hint="eastAsia" w:ascii="仿宋_GB2312" w:hAnsi="仿宋_GB2312" w:eastAsia="仿宋_GB2312" w:cs="仿宋_GB2312"/>
          <w:b/>
          <w:kern w:val="2"/>
          <w:sz w:val="32"/>
          <w:szCs w:val="24"/>
          <w:highlight w:val="none"/>
          <w:lang w:val="en-US" w:eastAsia="zh-CN" w:bidi="ar-SA"/>
        </w:rPr>
      </w:pPr>
      <w:bookmarkStart w:id="94" w:name="_Toc2397"/>
      <w:bookmarkStart w:id="95" w:name="_Toc23938"/>
      <w:bookmarkStart w:id="96" w:name="_Toc20320"/>
      <w:r>
        <w:rPr>
          <w:rFonts w:hint="eastAsia" w:ascii="仿宋_GB2312" w:hAnsi="仿宋_GB2312" w:eastAsia="仿宋_GB2312" w:cs="仿宋_GB2312"/>
          <w:b/>
          <w:kern w:val="2"/>
          <w:sz w:val="32"/>
          <w:szCs w:val="24"/>
          <w:highlight w:val="none"/>
          <w:lang w:val="en-US" w:eastAsia="zh-CN" w:bidi="ar-SA"/>
        </w:rPr>
        <w:t>（一）决策方面</w:t>
      </w:r>
      <w:bookmarkEnd w:id="94"/>
      <w:bookmarkEnd w:id="95"/>
      <w:bookmarkEnd w:id="96"/>
    </w:p>
    <w:p w14:paraId="38E5E8E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建议项目单位加强前期统筹协调，主动对接审批部门，提前梳理流程，明确关键节点，争取容缺受理或并联审批，缩短手续办理周期；落实风险防控措施，针对可能因手续滞后导致的处罚或停工风险，制定应急预案，降低负面影响；完善过程资料管理，开工后同步推进批件补办，确保资料完整、程序合规，避免因材料缺失延误进度；强化与监管部门沟通，及时报备建设进展，说明补办计划，减少执法争议。</w:t>
      </w:r>
    </w:p>
    <w:p w14:paraId="724AECA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2.建议项目单位增强绩效意识，加强绩效相关工作的管理，年度总体目标应依据项目实际建设期进行科学设定，确保目标具有可实现性，同时应补充关于项目具体建设内容的描述。</w:t>
      </w:r>
    </w:p>
    <w:p w14:paraId="2C6754D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3.建议项目单位量化关键指标值、精简指标表述，对质量指标“功能、节能、环保”，补充完整性；细化绩效指标，使各项指标可以通过清晰、可衡量、可量化的指标值体现。</w:t>
      </w:r>
    </w:p>
    <w:p w14:paraId="4098D71F">
      <w:pPr>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left"/>
        <w:textAlignment w:val="auto"/>
        <w:outlineLvl w:val="1"/>
        <w:rPr>
          <w:rFonts w:hint="eastAsia" w:ascii="仿宋_GB2312" w:hAnsi="仿宋_GB2312" w:eastAsia="仿宋_GB2312" w:cs="仿宋_GB2312"/>
          <w:b/>
          <w:kern w:val="2"/>
          <w:sz w:val="32"/>
          <w:szCs w:val="24"/>
          <w:highlight w:val="none"/>
          <w:lang w:val="en-US" w:eastAsia="zh-CN" w:bidi="ar-SA"/>
        </w:rPr>
      </w:pPr>
      <w:bookmarkStart w:id="97" w:name="_Toc3557"/>
      <w:bookmarkStart w:id="98" w:name="_Toc14592"/>
      <w:bookmarkStart w:id="99" w:name="_Toc16230"/>
      <w:r>
        <w:rPr>
          <w:rFonts w:hint="eastAsia" w:ascii="仿宋_GB2312" w:hAnsi="仿宋_GB2312" w:eastAsia="仿宋_GB2312" w:cs="仿宋_GB2312"/>
          <w:b/>
          <w:kern w:val="2"/>
          <w:sz w:val="32"/>
          <w:szCs w:val="24"/>
          <w:highlight w:val="none"/>
          <w:lang w:val="en-US" w:eastAsia="zh-CN" w:bidi="ar-SA"/>
        </w:rPr>
        <w:t>（二）管理方面</w:t>
      </w:r>
      <w:bookmarkEnd w:id="97"/>
      <w:bookmarkEnd w:id="98"/>
      <w:bookmarkEnd w:id="99"/>
    </w:p>
    <w:p w14:paraId="63A70DE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专项债券资金管理办法和项目管理办法是规范管理、防范风险的基础。建议项目单位应以“全流程闭环管理、全要素责任明确、全链条风险可控”为目标，同步推进两项制度建设，配套建立跨部门协同机制、数字化监管工具和常态化培训体系，确保制度落地见效，充分发挥专项债券对稳投资、促发展的积极作用。</w:t>
      </w:r>
    </w:p>
    <w:p w14:paraId="32F78D6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建议项目单位强化资金筹措机制，明确资本金注入计划和时间节点，敦促按期足额到位；拓展多元化融资渠道，如引入战略投资者、争取政策性贷款或增加发行专项债额度，弥补资金缺口；优化资金使用效率，根据实际到位资金动态调整建设计划，优先保障关键工程和核心设施投入，避免资源闲置；加强成本管控，优化采购和施工流程，提高资金使用效益。</w:t>
      </w:r>
    </w:p>
    <w:p w14:paraId="4169498A">
      <w:pPr>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left"/>
        <w:textAlignment w:val="auto"/>
        <w:outlineLvl w:val="1"/>
        <w:rPr>
          <w:rFonts w:hint="eastAsia" w:ascii="仿宋_GB2312" w:hAnsi="仿宋_GB2312" w:eastAsia="仿宋_GB2312" w:cs="仿宋_GB2312"/>
          <w:b/>
          <w:kern w:val="2"/>
          <w:sz w:val="32"/>
          <w:szCs w:val="24"/>
          <w:highlight w:val="none"/>
          <w:lang w:val="en-US" w:eastAsia="zh-CN" w:bidi="ar-SA"/>
        </w:rPr>
      </w:pPr>
      <w:bookmarkStart w:id="100" w:name="_Toc9871"/>
      <w:bookmarkStart w:id="101" w:name="_Toc11952"/>
      <w:bookmarkStart w:id="102" w:name="_Toc23753"/>
      <w:r>
        <w:rPr>
          <w:rFonts w:hint="eastAsia" w:ascii="仿宋_GB2312" w:hAnsi="仿宋_GB2312" w:eastAsia="仿宋_GB2312" w:cs="仿宋_GB2312"/>
          <w:b/>
          <w:kern w:val="2"/>
          <w:sz w:val="32"/>
          <w:szCs w:val="24"/>
          <w:highlight w:val="none"/>
          <w:lang w:val="en-US" w:eastAsia="zh-CN" w:bidi="ar-SA"/>
        </w:rPr>
        <w:t>（三）产出方面</w:t>
      </w:r>
      <w:bookmarkEnd w:id="100"/>
      <w:bookmarkEnd w:id="101"/>
      <w:bookmarkEnd w:id="102"/>
    </w:p>
    <w:p w14:paraId="392DC74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建议项目单位梳理项目滞后的关键因素，针对性制定赶工计划；优化进度管理，重新排定建设计划，细化阶段目标，加强施工调度与资源保障，确保尽快完工。</w:t>
      </w:r>
    </w:p>
    <w:p w14:paraId="071E7167">
      <w:pPr>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left"/>
        <w:textAlignment w:val="auto"/>
        <w:outlineLvl w:val="1"/>
        <w:rPr>
          <w:rFonts w:hint="eastAsia" w:ascii="仿宋_GB2312" w:hAnsi="仿宋_GB2312" w:eastAsia="仿宋_GB2312" w:cs="仿宋_GB2312"/>
          <w:b/>
          <w:kern w:val="2"/>
          <w:sz w:val="32"/>
          <w:szCs w:val="24"/>
          <w:highlight w:val="none"/>
          <w:lang w:val="en-US" w:eastAsia="zh-CN" w:bidi="ar-SA"/>
        </w:rPr>
      </w:pPr>
      <w:bookmarkStart w:id="103" w:name="_Toc25173"/>
      <w:r>
        <w:rPr>
          <w:rFonts w:hint="eastAsia" w:ascii="仿宋_GB2312" w:hAnsi="仿宋_GB2312" w:eastAsia="仿宋_GB2312" w:cs="仿宋_GB2312"/>
          <w:b/>
          <w:kern w:val="2"/>
          <w:sz w:val="32"/>
          <w:szCs w:val="24"/>
          <w:highlight w:val="none"/>
          <w:lang w:val="en-US" w:eastAsia="zh-CN" w:bidi="ar-SA"/>
        </w:rPr>
        <w:t>（四）效益方面</w:t>
      </w:r>
      <w:bookmarkEnd w:id="103"/>
    </w:p>
    <w:p w14:paraId="320956DD">
      <w:pPr>
        <w:pStyle w:val="2"/>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建议项目单位与政府部门沟通，必要时申请合理延期或调整运营计划；通过部分试运营、招商预热等方式提前蓄客，缩短投产后的市场培育期；完善风险预案，评估延期对资金链、市场机会的影响，提前规划应对措施。</w:t>
      </w:r>
    </w:p>
    <w:p w14:paraId="0A6F5373">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Times New Roman" w:hAnsi="Times New Roman" w:eastAsia="仿宋_GB2312" w:cs="Times New Roman"/>
          <w:b w:val="0"/>
          <w:bCs w:val="0"/>
          <w:color w:val="auto"/>
          <w:sz w:val="32"/>
          <w:szCs w:val="32"/>
          <w:highlight w:val="none"/>
          <w:lang w:val="en-US" w:eastAsia="zh-CN"/>
        </w:rPr>
      </w:pPr>
    </w:p>
    <w:p w14:paraId="39EF3B4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p>
    <w:p w14:paraId="1D0C6F4A">
      <w:pPr>
        <w:pStyle w:val="3"/>
        <w:pageBreakBefore w:val="0"/>
        <w:widowControl w:val="0"/>
        <w:numPr>
          <w:ilvl w:val="0"/>
          <w:numId w:val="0"/>
        </w:numPr>
        <w:kinsoku/>
        <w:wordWrap/>
        <w:overflowPunct/>
        <w:topLinePunct w:val="0"/>
        <w:autoSpaceDE/>
        <w:autoSpaceDN/>
        <w:bidi w:val="0"/>
        <w:snapToGrid w:val="0"/>
        <w:spacing w:line="576" w:lineRule="exact"/>
        <w:ind w:leftChars="0"/>
        <w:textAlignment w:val="auto"/>
        <w:rPr>
          <w:rFonts w:hint="eastAsia" w:ascii="黑体" w:hAnsi="黑体" w:eastAsia="黑体" w:cs="黑体"/>
          <w:b w:val="0"/>
          <w:bCs w:val="0"/>
          <w:highlight w:val="none"/>
          <w:lang w:val="en-US" w:eastAsia="zh-CN"/>
        </w:rPr>
      </w:pPr>
      <w:bookmarkStart w:id="104" w:name="_Toc16828"/>
      <w:r>
        <w:rPr>
          <w:rFonts w:hint="eastAsia" w:ascii="黑体" w:hAnsi="黑体" w:eastAsia="黑体" w:cs="黑体"/>
          <w:b w:val="0"/>
          <w:bCs w:val="0"/>
          <w:highlight w:val="none"/>
          <w:lang w:val="en-US" w:eastAsia="zh-CN"/>
        </w:rPr>
        <w:t>七、附件</w:t>
      </w:r>
      <w:bookmarkEnd w:id="104"/>
    </w:p>
    <w:p w14:paraId="0754B060">
      <w:pPr>
        <w:pStyle w:val="3"/>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val="en-US" w:eastAsia="zh-CN" w:bidi="ar"/>
        </w:rPr>
      </w:pPr>
      <w:bookmarkStart w:id="105" w:name="_Toc19253"/>
      <w:bookmarkStart w:id="106" w:name="_Toc16101"/>
      <w:r>
        <w:rPr>
          <w:rFonts w:hint="default" w:ascii="黑体" w:hAnsi="黑体" w:eastAsia="黑体" w:cs="黑体"/>
          <w:b w:val="0"/>
          <w:bCs w:val="0"/>
          <w:highlight w:val="none"/>
          <w:lang w:val="en-US" w:eastAsia="zh-CN" w:bidi="ar"/>
        </w:rPr>
        <w:t>附件1：绩效评价指标体系</w:t>
      </w:r>
      <w:bookmarkEnd w:id="105"/>
      <w:bookmarkEnd w:id="106"/>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1365"/>
        <w:gridCol w:w="777"/>
        <w:gridCol w:w="646"/>
        <w:gridCol w:w="2003"/>
        <w:gridCol w:w="3505"/>
        <w:gridCol w:w="909"/>
        <w:gridCol w:w="1030"/>
        <w:gridCol w:w="1741"/>
        <w:gridCol w:w="1409"/>
      </w:tblGrid>
      <w:tr w14:paraId="6795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blHeader/>
        </w:trPr>
        <w:tc>
          <w:tcPr>
            <w:tcW w:w="716" w:type="dxa"/>
            <w:shd w:val="clear" w:color="auto" w:fill="C8C8C8" w:themeFill="accent3" w:themeFillTint="99"/>
            <w:vAlign w:val="center"/>
          </w:tcPr>
          <w:p w14:paraId="0E44155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一级指标</w:t>
            </w:r>
          </w:p>
        </w:tc>
        <w:tc>
          <w:tcPr>
            <w:tcW w:w="1238" w:type="dxa"/>
            <w:shd w:val="clear" w:color="auto" w:fill="C8C8C8" w:themeFill="accent3" w:themeFillTint="99"/>
            <w:vAlign w:val="center"/>
          </w:tcPr>
          <w:p w14:paraId="505FAEA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二级指标</w:t>
            </w:r>
          </w:p>
        </w:tc>
        <w:tc>
          <w:tcPr>
            <w:tcW w:w="705" w:type="dxa"/>
            <w:shd w:val="clear" w:color="auto" w:fill="C8C8C8" w:themeFill="accent3" w:themeFillTint="99"/>
            <w:vAlign w:val="center"/>
          </w:tcPr>
          <w:p w14:paraId="4D00653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三级指标</w:t>
            </w:r>
          </w:p>
        </w:tc>
        <w:tc>
          <w:tcPr>
            <w:tcW w:w="586" w:type="dxa"/>
            <w:shd w:val="clear" w:color="auto" w:fill="C8C8C8" w:themeFill="accent3" w:themeFillTint="99"/>
            <w:vAlign w:val="center"/>
          </w:tcPr>
          <w:p w14:paraId="76849BB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权重</w:t>
            </w:r>
          </w:p>
        </w:tc>
        <w:tc>
          <w:tcPr>
            <w:tcW w:w="1817" w:type="dxa"/>
            <w:shd w:val="clear" w:color="auto" w:fill="C8C8C8" w:themeFill="accent3" w:themeFillTint="99"/>
            <w:vAlign w:val="center"/>
          </w:tcPr>
          <w:p w14:paraId="61A61CEA">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b/>
                <w:bCs/>
                <w:snapToGrid/>
                <w:color w:val="000000"/>
                <w:kern w:val="0"/>
                <w:sz w:val="24"/>
                <w:szCs w:val="24"/>
                <w:lang w:val="en-US" w:eastAsia="zh-CN" w:bidi="ar"/>
              </w:rPr>
              <w:t>指标解释</w:t>
            </w:r>
          </w:p>
        </w:tc>
        <w:tc>
          <w:tcPr>
            <w:tcW w:w="3180" w:type="dxa"/>
            <w:shd w:val="clear" w:color="auto" w:fill="C8C8C8" w:themeFill="accent3" w:themeFillTint="99"/>
            <w:vAlign w:val="center"/>
          </w:tcPr>
          <w:p w14:paraId="096203C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指标公式</w:t>
            </w:r>
          </w:p>
        </w:tc>
        <w:tc>
          <w:tcPr>
            <w:tcW w:w="825" w:type="dxa"/>
            <w:shd w:val="clear" w:color="auto" w:fill="C8C8C8" w:themeFill="accent3" w:themeFillTint="99"/>
            <w:vAlign w:val="center"/>
          </w:tcPr>
          <w:p w14:paraId="7497FA3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0"/>
                <w:sz w:val="24"/>
                <w:szCs w:val="24"/>
              </w:rPr>
            </w:pPr>
            <w:r>
              <w:rPr>
                <w:rFonts w:hint="eastAsia" w:ascii="仿宋" w:hAnsi="仿宋" w:eastAsia="仿宋" w:cs="仿宋"/>
                <w:b/>
                <w:bCs/>
                <w:snapToGrid/>
                <w:color w:val="000000"/>
                <w:kern w:val="0"/>
                <w:sz w:val="24"/>
                <w:szCs w:val="24"/>
                <w:lang w:val="en-US" w:eastAsia="zh-CN" w:bidi="ar"/>
              </w:rPr>
              <w:t>标杆值</w:t>
            </w:r>
          </w:p>
        </w:tc>
        <w:tc>
          <w:tcPr>
            <w:tcW w:w="934" w:type="dxa"/>
            <w:shd w:val="clear" w:color="auto" w:fill="C8C8C8" w:themeFill="accent3" w:themeFillTint="99"/>
            <w:vAlign w:val="center"/>
          </w:tcPr>
          <w:p w14:paraId="29C2C34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0"/>
                <w:sz w:val="24"/>
                <w:szCs w:val="24"/>
              </w:rPr>
            </w:pPr>
            <w:r>
              <w:rPr>
                <w:rFonts w:hint="eastAsia" w:ascii="仿宋" w:hAnsi="仿宋" w:eastAsia="仿宋" w:cs="仿宋"/>
                <w:b/>
                <w:bCs/>
                <w:snapToGrid/>
                <w:color w:val="000000"/>
                <w:kern w:val="0"/>
                <w:sz w:val="24"/>
                <w:szCs w:val="24"/>
                <w:lang w:val="en-US" w:eastAsia="zh-CN" w:bidi="ar"/>
              </w:rPr>
              <w:t>标杆值来源</w:t>
            </w:r>
          </w:p>
        </w:tc>
        <w:tc>
          <w:tcPr>
            <w:tcW w:w="1579" w:type="dxa"/>
            <w:shd w:val="clear" w:color="auto" w:fill="C8C8C8" w:themeFill="accent3" w:themeFillTint="99"/>
            <w:vAlign w:val="center"/>
          </w:tcPr>
          <w:p w14:paraId="5D354D0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评分标准</w:t>
            </w:r>
          </w:p>
        </w:tc>
        <w:tc>
          <w:tcPr>
            <w:tcW w:w="1278" w:type="dxa"/>
            <w:shd w:val="clear" w:color="auto" w:fill="C8C8C8" w:themeFill="accent3" w:themeFillTint="99"/>
            <w:vAlign w:val="center"/>
          </w:tcPr>
          <w:p w14:paraId="0A5337E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b/>
                <w:bCs/>
                <w:snapToGrid/>
                <w:color w:val="000000"/>
                <w:kern w:val="0"/>
                <w:sz w:val="24"/>
                <w:szCs w:val="24"/>
                <w:lang w:val="en-US" w:eastAsia="zh-CN" w:bidi="ar"/>
              </w:rPr>
              <w:t>评分数据来源</w:t>
            </w:r>
          </w:p>
        </w:tc>
      </w:tr>
      <w:tr w14:paraId="3C1D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restart"/>
            <w:shd w:val="clear" w:color="auto" w:fill="auto"/>
            <w:vAlign w:val="center"/>
          </w:tcPr>
          <w:p w14:paraId="1EB8BC2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决策</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10</w:t>
            </w:r>
            <w:r>
              <w:rPr>
                <w:rFonts w:hint="eastAsia" w:ascii="仿宋" w:hAnsi="仿宋" w:eastAsia="仿宋" w:cs="仿宋"/>
                <w:snapToGrid/>
                <w:color w:val="000000"/>
                <w:kern w:val="0"/>
                <w:sz w:val="24"/>
                <w:szCs w:val="24"/>
                <w:lang w:val="en-US" w:eastAsia="zh-CN" w:bidi="ar"/>
              </w:rPr>
              <w:t>分）</w:t>
            </w:r>
          </w:p>
        </w:tc>
        <w:tc>
          <w:tcPr>
            <w:tcW w:w="1238" w:type="dxa"/>
            <w:vMerge w:val="restart"/>
            <w:shd w:val="clear" w:color="auto" w:fill="auto"/>
            <w:vAlign w:val="center"/>
          </w:tcPr>
          <w:p w14:paraId="1B9F8AE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新增地方政府专项债券项目申报的政策依据与程序规范性（</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0CE8B90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立项依据充分性</w:t>
            </w:r>
          </w:p>
        </w:tc>
        <w:tc>
          <w:tcPr>
            <w:tcW w:w="586" w:type="dxa"/>
            <w:shd w:val="clear" w:color="auto" w:fill="auto"/>
            <w:vAlign w:val="center"/>
          </w:tcPr>
          <w:p w14:paraId="50B9638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1</w:t>
            </w:r>
          </w:p>
        </w:tc>
        <w:tc>
          <w:tcPr>
            <w:tcW w:w="1817" w:type="dxa"/>
            <w:shd w:val="clear" w:color="auto" w:fill="auto"/>
            <w:vAlign w:val="center"/>
          </w:tcPr>
          <w:p w14:paraId="5A6BB115">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专项债券项目申报是否符合法律法规、相关政策、发展规划以及部门职责，用以反映和考核项目立项依据情况。</w:t>
            </w:r>
          </w:p>
        </w:tc>
        <w:tc>
          <w:tcPr>
            <w:tcW w:w="3180" w:type="dxa"/>
            <w:shd w:val="clear" w:color="auto" w:fill="auto"/>
            <w:vAlign w:val="center"/>
          </w:tcPr>
          <w:p w14:paraId="403B348F">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项目是否符合专项债券支持领域和方向情况；</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项目立项审批是否符合国家法律法规、国民经济发展规划和市县区城市发展规划；</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项目是否列入政府投资计划和中长期财政规划；</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是否纳入财政部地方政府债务管理系统项目库和发改委国家重大项目建设库；</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项目资金是否纳入政府性基金预算管理。</w:t>
            </w:r>
          </w:p>
        </w:tc>
        <w:tc>
          <w:tcPr>
            <w:tcW w:w="825" w:type="dxa"/>
            <w:shd w:val="clear" w:color="auto" w:fill="auto"/>
            <w:vAlign w:val="center"/>
          </w:tcPr>
          <w:p w14:paraId="589EB29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46534E0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18A94C96">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0.2</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50A2DD7A">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立项依据政策文件、部门职能规划、项目库等</w:t>
            </w:r>
          </w:p>
        </w:tc>
      </w:tr>
      <w:tr w14:paraId="6AC0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6" w:type="dxa"/>
            <w:vMerge w:val="continue"/>
            <w:shd w:val="clear" w:color="auto" w:fill="auto"/>
            <w:vAlign w:val="center"/>
          </w:tcPr>
          <w:p w14:paraId="6040F2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589B58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7E50B3B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立项程序规范性</w:t>
            </w:r>
          </w:p>
        </w:tc>
        <w:tc>
          <w:tcPr>
            <w:tcW w:w="586" w:type="dxa"/>
            <w:shd w:val="clear" w:color="auto" w:fill="auto"/>
            <w:vAlign w:val="center"/>
          </w:tcPr>
          <w:p w14:paraId="303EBE8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1</w:t>
            </w:r>
          </w:p>
        </w:tc>
        <w:tc>
          <w:tcPr>
            <w:tcW w:w="1817" w:type="dxa"/>
            <w:shd w:val="clear" w:color="auto" w:fill="auto"/>
            <w:vAlign w:val="center"/>
          </w:tcPr>
          <w:p w14:paraId="3BE2EB71">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专项债券项目立项前期准备程序是否符合相关要求，用以反映和考核项目立项规范情况。</w:t>
            </w:r>
          </w:p>
        </w:tc>
        <w:tc>
          <w:tcPr>
            <w:tcW w:w="3180" w:type="dxa"/>
            <w:shd w:val="clear" w:color="auto" w:fill="auto"/>
            <w:vAlign w:val="center"/>
          </w:tcPr>
          <w:p w14:paraId="7A4E890B">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项目是否按照规定的程序申请设立；</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项目前期准备是否有选址意见书和用地审批文件；</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是否编制可行性研究报告或项目申请报告；</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可行性研究报告和项目申请报告核准文件是否批复；</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环境影响评价、安全评价、施工许可证或开工报告等是否有相关批复文件。</w:t>
            </w:r>
          </w:p>
        </w:tc>
        <w:tc>
          <w:tcPr>
            <w:tcW w:w="825" w:type="dxa"/>
            <w:shd w:val="clear" w:color="auto" w:fill="auto"/>
            <w:vAlign w:val="center"/>
          </w:tcPr>
          <w:p w14:paraId="4DB09E3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5512EC0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75C961AE">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0.2</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04CC69D0">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项目立项流程规章、立项申报材料、项目立项批复文件、可行性报告等</w:t>
            </w:r>
          </w:p>
        </w:tc>
      </w:tr>
      <w:tr w14:paraId="70BF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6" w:type="dxa"/>
            <w:vMerge w:val="continue"/>
            <w:shd w:val="clear" w:color="auto" w:fill="auto"/>
            <w:vAlign w:val="center"/>
          </w:tcPr>
          <w:p w14:paraId="741525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restart"/>
            <w:shd w:val="clear" w:color="auto" w:fill="auto"/>
            <w:vAlign w:val="center"/>
          </w:tcPr>
          <w:p w14:paraId="7F3C59B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新增地方政府专项债券绩效目标设定的合理性与指标明确性（</w:t>
            </w:r>
            <w:r>
              <w:rPr>
                <w:rFonts w:hint="default" w:ascii="Times New Roman" w:hAnsi="Times New Roman" w:eastAsia="仿宋" w:cs="Times New Roman"/>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5EEE3DC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绩效目标合理性</w:t>
            </w:r>
          </w:p>
        </w:tc>
        <w:tc>
          <w:tcPr>
            <w:tcW w:w="586" w:type="dxa"/>
            <w:shd w:val="clear" w:color="auto" w:fill="auto"/>
            <w:vAlign w:val="center"/>
          </w:tcPr>
          <w:p w14:paraId="01DBC9A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1817" w:type="dxa"/>
            <w:shd w:val="clear" w:color="auto" w:fill="auto"/>
            <w:vAlign w:val="center"/>
          </w:tcPr>
          <w:p w14:paraId="0FDA8658">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项目主管部门和项目单位所设定的绩效目标是否依据充分，是否符合客观实际，用以反映和考核项目绩效目标与项目实施的相符情况。</w:t>
            </w:r>
          </w:p>
        </w:tc>
        <w:tc>
          <w:tcPr>
            <w:tcW w:w="3180" w:type="dxa"/>
            <w:shd w:val="clear" w:color="auto" w:fill="auto"/>
            <w:vAlign w:val="center"/>
          </w:tcPr>
          <w:p w14:paraId="22EE31BA">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专项债券项目申报时是否制定绩效目标；</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绩效目标指标值是否与债券资金投入的项目内容相符；</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项目预期产出的效益和效果是否符合当地经济发展需求；</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项目所申请的专项债券资金与项目概算需求的资金量是否相匹配。</w:t>
            </w:r>
          </w:p>
        </w:tc>
        <w:tc>
          <w:tcPr>
            <w:tcW w:w="825" w:type="dxa"/>
            <w:shd w:val="clear" w:color="auto" w:fill="auto"/>
            <w:vAlign w:val="center"/>
          </w:tcPr>
          <w:p w14:paraId="566F17E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1B44449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3A4B65EE">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0.5</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3026BC53">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立项文件、平衡方案、专家评价意见等</w:t>
            </w:r>
          </w:p>
        </w:tc>
      </w:tr>
      <w:tr w14:paraId="7BC2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16" w:type="dxa"/>
            <w:vMerge w:val="continue"/>
            <w:shd w:val="clear" w:color="auto" w:fill="auto"/>
            <w:vAlign w:val="center"/>
          </w:tcPr>
          <w:p w14:paraId="65A771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758449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192619F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绩效指标明确性</w:t>
            </w:r>
          </w:p>
        </w:tc>
        <w:tc>
          <w:tcPr>
            <w:tcW w:w="586" w:type="dxa"/>
            <w:shd w:val="clear" w:color="auto" w:fill="auto"/>
            <w:vAlign w:val="center"/>
          </w:tcPr>
          <w:p w14:paraId="0F1DF01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1817" w:type="dxa"/>
            <w:shd w:val="clear" w:color="auto" w:fill="auto"/>
            <w:vAlign w:val="center"/>
          </w:tcPr>
          <w:p w14:paraId="68EFFD2B">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依据绩效目标设定的绩效指标是否清晰、细化、可衡量等，用以反映和考核项目绩效目标的明细化情况。</w:t>
            </w:r>
          </w:p>
        </w:tc>
        <w:tc>
          <w:tcPr>
            <w:tcW w:w="3180" w:type="dxa"/>
            <w:shd w:val="clear" w:color="auto" w:fill="auto"/>
            <w:vAlign w:val="center"/>
          </w:tcPr>
          <w:p w14:paraId="3B43497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项目绩效目标细化分解的具体指标是否真实反映该项目相关信息；</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细化分解的具体指标是否通过清晰、可衡量、可量化的指标值体现；</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绩效目标指标值的设定是否与项目目标任务数或计划数相对应。</w:t>
            </w:r>
          </w:p>
        </w:tc>
        <w:tc>
          <w:tcPr>
            <w:tcW w:w="825" w:type="dxa"/>
            <w:shd w:val="clear" w:color="auto" w:fill="auto"/>
            <w:vAlign w:val="center"/>
          </w:tcPr>
          <w:p w14:paraId="02D16FF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4FC3E60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6C194253">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分，不符合</w:t>
            </w: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或</w:t>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，每有一处扣</w:t>
            </w:r>
            <w:r>
              <w:rPr>
                <w:rFonts w:hint="default" w:ascii="Times New Roman" w:hAnsi="Times New Roman" w:eastAsia="仿宋" w:cs="Times New Roman"/>
                <w:snapToGrid/>
                <w:color w:val="000000"/>
                <w:kern w:val="0"/>
                <w:sz w:val="24"/>
                <w:szCs w:val="24"/>
                <w:lang w:val="en-US" w:eastAsia="zh-CN" w:bidi="ar"/>
              </w:rPr>
              <w:t>0.8</w:t>
            </w:r>
            <w:r>
              <w:rPr>
                <w:rFonts w:hint="eastAsia" w:ascii="仿宋" w:hAnsi="仿宋" w:eastAsia="仿宋" w:cs="仿宋"/>
                <w:snapToGrid/>
                <w:color w:val="000000"/>
                <w:kern w:val="0"/>
                <w:sz w:val="24"/>
                <w:szCs w:val="24"/>
                <w:lang w:val="en-US" w:eastAsia="zh-CN" w:bidi="ar"/>
              </w:rPr>
              <w:t>分，不符合</w:t>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扣</w:t>
            </w:r>
            <w:r>
              <w:rPr>
                <w:rFonts w:hint="default" w:ascii="Times New Roman" w:hAnsi="Times New Roman" w:eastAsia="仿宋" w:cs="Times New Roman"/>
                <w:snapToGrid/>
                <w:color w:val="000000"/>
                <w:kern w:val="0"/>
                <w:sz w:val="24"/>
                <w:szCs w:val="24"/>
                <w:lang w:val="en-US" w:eastAsia="zh-CN" w:bidi="ar"/>
              </w:rPr>
              <w:t>0.4</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17C1FC50">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专项债券额度测算依据、平衡方案、项目计划书等</w:t>
            </w:r>
          </w:p>
        </w:tc>
      </w:tr>
      <w:tr w14:paraId="30CA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6" w:type="dxa"/>
            <w:vMerge w:val="continue"/>
            <w:shd w:val="clear" w:color="auto" w:fill="auto"/>
            <w:vAlign w:val="center"/>
          </w:tcPr>
          <w:p w14:paraId="31244E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restart"/>
            <w:shd w:val="clear" w:color="auto" w:fill="auto"/>
            <w:vAlign w:val="center"/>
          </w:tcPr>
          <w:p w14:paraId="35E3C60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编制新增地方政府专项债券资金平衡方案科学性和资金分配的合理性（</w:t>
            </w:r>
            <w:r>
              <w:rPr>
                <w:rFonts w:hint="default" w:ascii="Times New Roman" w:hAnsi="Times New Roman" w:eastAsia="仿宋" w:cs="Times New Roman"/>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7567189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平衡方案科学性</w:t>
            </w:r>
          </w:p>
        </w:tc>
        <w:tc>
          <w:tcPr>
            <w:tcW w:w="586" w:type="dxa"/>
            <w:shd w:val="clear" w:color="auto" w:fill="auto"/>
            <w:vAlign w:val="center"/>
          </w:tcPr>
          <w:p w14:paraId="62AE236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1817" w:type="dxa"/>
            <w:shd w:val="clear" w:color="auto" w:fill="auto"/>
            <w:vAlign w:val="center"/>
          </w:tcPr>
          <w:p w14:paraId="7257DD33">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项目单位编制的平衡方案是否经过科学论证、有明确标准，申请的专项债券项目资金额度是否与制定的年度绩效目标相适应，用以反映和考核新增专项债券项目资金编制的科学性。</w:t>
            </w:r>
          </w:p>
        </w:tc>
        <w:tc>
          <w:tcPr>
            <w:tcW w:w="3180" w:type="dxa"/>
            <w:shd w:val="clear" w:color="auto" w:fill="auto"/>
            <w:vAlign w:val="center"/>
          </w:tcPr>
          <w:p w14:paraId="0C292720">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项目单位编制的平衡方案是否经过科学论证；</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编制的内容与申请专项债券项目内容是否相匹配。</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申请专项债券额度测算依据是否按照专项债券资金使用规定编制；</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2"/>
                <w:sz w:val="24"/>
                <w:szCs w:val="24"/>
                <w:lang w:val="en-US" w:eastAsia="zh-CN" w:bidi="ar"/>
              </w:rPr>
              <w:t>申请的专项债券项目资金额度与当年专项债券项目任务是否相匹配。</w:t>
            </w:r>
          </w:p>
        </w:tc>
        <w:tc>
          <w:tcPr>
            <w:tcW w:w="825" w:type="dxa"/>
            <w:shd w:val="clear" w:color="auto" w:fill="auto"/>
            <w:vAlign w:val="center"/>
          </w:tcPr>
          <w:p w14:paraId="17748DB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7601B96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06A60FCB">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0.5</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22DC5154">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资金管理办法</w:t>
            </w:r>
          </w:p>
        </w:tc>
      </w:tr>
      <w:tr w14:paraId="7A52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6" w:type="dxa"/>
            <w:vMerge w:val="continue"/>
            <w:shd w:val="clear" w:color="auto" w:fill="auto"/>
            <w:vAlign w:val="center"/>
          </w:tcPr>
          <w:p w14:paraId="4DAB38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3FC181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0E13AA78">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资金分配合理性</w:t>
            </w:r>
          </w:p>
        </w:tc>
        <w:tc>
          <w:tcPr>
            <w:tcW w:w="586" w:type="dxa"/>
            <w:shd w:val="clear" w:color="auto" w:fill="auto"/>
            <w:vAlign w:val="center"/>
          </w:tcPr>
          <w:p w14:paraId="009FEB5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1817" w:type="dxa"/>
            <w:shd w:val="clear" w:color="auto" w:fill="auto"/>
            <w:vAlign w:val="center"/>
          </w:tcPr>
          <w:p w14:paraId="50FB0675">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项目单位编制的平衡方案中专项债券项目资金分配使用是否有测算依据，与该项目所需资金的真实性是否相符，用以反映和考核新增专项债券项目资金分配的合理性。</w:t>
            </w:r>
          </w:p>
        </w:tc>
        <w:tc>
          <w:tcPr>
            <w:tcW w:w="3180" w:type="dxa"/>
            <w:shd w:val="clear" w:color="auto" w:fill="auto"/>
            <w:vAlign w:val="center"/>
          </w:tcPr>
          <w:p w14:paraId="186F074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2"/>
                <w:sz w:val="24"/>
                <w:szCs w:val="24"/>
                <w:lang w:val="en-US" w:eastAsia="zh-CN" w:bidi="ar"/>
              </w:rPr>
              <w:t>①</w:t>
            </w:r>
            <w:r>
              <w:rPr>
                <w:rFonts w:hint="eastAsia" w:ascii="仿宋" w:hAnsi="仿宋" w:eastAsia="仿宋" w:cs="仿宋"/>
                <w:snapToGrid/>
                <w:color w:val="000000"/>
                <w:kern w:val="2"/>
                <w:sz w:val="24"/>
                <w:szCs w:val="24"/>
                <w:lang w:val="en-US" w:eastAsia="zh-CN" w:bidi="ar"/>
              </w:rPr>
              <w:t>专项债券资金分配使用依据是否充分；</w:t>
            </w:r>
            <w:r>
              <w:rPr>
                <w:rFonts w:hint="default" w:ascii="Times New Roman" w:hAnsi="Times New Roman" w:eastAsia="仿宋" w:cs="Times New Roman"/>
                <w:snapToGrid/>
                <w:color w:val="000000"/>
                <w:kern w:val="2"/>
                <w:sz w:val="24"/>
                <w:szCs w:val="24"/>
                <w:lang w:val="en-US" w:eastAsia="zh-CN" w:bidi="ar"/>
              </w:rPr>
              <w:br w:type="textWrapping"/>
            </w:r>
            <w:r>
              <w:rPr>
                <w:rFonts w:hint="default" w:ascii="Times New Roman" w:hAnsi="Times New Roman" w:eastAsia="仿宋" w:cs="Times New Roman"/>
                <w:snapToGrid/>
                <w:color w:val="000000"/>
                <w:kern w:val="2"/>
                <w:sz w:val="24"/>
                <w:szCs w:val="24"/>
                <w:lang w:val="en-US" w:eastAsia="zh-CN" w:bidi="ar"/>
              </w:rPr>
              <w:t>②</w:t>
            </w:r>
            <w:r>
              <w:rPr>
                <w:rFonts w:hint="eastAsia" w:ascii="仿宋" w:hAnsi="仿宋" w:eastAsia="仿宋" w:cs="仿宋"/>
                <w:snapToGrid/>
                <w:color w:val="000000"/>
                <w:kern w:val="2"/>
                <w:sz w:val="24"/>
                <w:szCs w:val="24"/>
                <w:lang w:val="en-US" w:eastAsia="zh-CN" w:bidi="ar"/>
              </w:rPr>
              <w:t>预算资金、银行贷款、自有资金、债券资金额度分配是否合理。</w:t>
            </w:r>
          </w:p>
        </w:tc>
        <w:tc>
          <w:tcPr>
            <w:tcW w:w="825" w:type="dxa"/>
            <w:shd w:val="clear" w:color="auto" w:fill="auto"/>
            <w:vAlign w:val="center"/>
          </w:tcPr>
          <w:p w14:paraId="78AB267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3664CF3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024B6F3B">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1ECADAA9">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项目管理办法</w:t>
            </w:r>
          </w:p>
        </w:tc>
      </w:tr>
      <w:tr w14:paraId="3096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shd w:val="clear" w:color="auto" w:fill="auto"/>
            <w:vAlign w:val="center"/>
          </w:tcPr>
          <w:p w14:paraId="0F03D8F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管理</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30</w:t>
            </w:r>
            <w:r>
              <w:rPr>
                <w:rFonts w:hint="eastAsia" w:ascii="仿宋" w:hAnsi="仿宋" w:eastAsia="仿宋" w:cs="仿宋"/>
                <w:snapToGrid/>
                <w:color w:val="000000"/>
                <w:kern w:val="0"/>
                <w:sz w:val="24"/>
                <w:szCs w:val="24"/>
                <w:lang w:val="en-US" w:eastAsia="zh-CN" w:bidi="ar"/>
              </w:rPr>
              <w:t>分）</w:t>
            </w:r>
          </w:p>
        </w:tc>
        <w:tc>
          <w:tcPr>
            <w:tcW w:w="1238" w:type="dxa"/>
            <w:vMerge w:val="restart"/>
            <w:shd w:val="clear" w:color="auto" w:fill="auto"/>
            <w:vAlign w:val="center"/>
          </w:tcPr>
          <w:p w14:paraId="15ECF59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新增地方政府专项债券资金管理制度健全性及组织实施有效性（</w:t>
            </w:r>
            <w:r>
              <w:rPr>
                <w:rFonts w:hint="default" w:ascii="Times New Roman" w:hAnsi="Times New Roman" w:eastAsia="仿宋" w:cs="Times New Roman"/>
                <w:snapToGrid/>
                <w:color w:val="000000"/>
                <w:kern w:val="0"/>
                <w:sz w:val="24"/>
                <w:szCs w:val="24"/>
                <w:lang w:val="en-US" w:eastAsia="zh-CN" w:bidi="ar"/>
              </w:rPr>
              <w:t>12</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54B1AFF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管理制度健全性</w:t>
            </w:r>
          </w:p>
        </w:tc>
        <w:tc>
          <w:tcPr>
            <w:tcW w:w="586" w:type="dxa"/>
            <w:shd w:val="clear" w:color="auto" w:fill="auto"/>
            <w:vAlign w:val="center"/>
          </w:tcPr>
          <w:p w14:paraId="73B8315A">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6</w:t>
            </w:r>
          </w:p>
        </w:tc>
        <w:tc>
          <w:tcPr>
            <w:tcW w:w="1817" w:type="dxa"/>
            <w:shd w:val="clear" w:color="auto" w:fill="auto"/>
            <w:vAlign w:val="center"/>
          </w:tcPr>
          <w:p w14:paraId="75C79145">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使用专项债券项目实施单位财务和业务管理制度是否健全、是否符合法律法规和相关管理规定，用以反映和考核专项债券项目顺利实施的保障能力。</w:t>
            </w:r>
          </w:p>
        </w:tc>
        <w:tc>
          <w:tcPr>
            <w:tcW w:w="3180" w:type="dxa"/>
            <w:shd w:val="clear" w:color="auto" w:fill="auto"/>
            <w:vAlign w:val="center"/>
          </w:tcPr>
          <w:p w14:paraId="5B247285">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项目实施单位是否制定专项债券资金使用计划和资金管理办法；</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所制定的财务管理制度及规定是否合法、合规、完整；</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项目实施单位是否制定专项债券项目管理办法；</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所制定的业务管理制度及规定是否合法、合规、完整。</w:t>
            </w:r>
          </w:p>
        </w:tc>
        <w:tc>
          <w:tcPr>
            <w:tcW w:w="825" w:type="dxa"/>
            <w:shd w:val="clear" w:color="auto" w:fill="auto"/>
            <w:vAlign w:val="center"/>
          </w:tcPr>
          <w:p w14:paraId="3C191A3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63B393D8">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0491B0E7">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6</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1.5</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7E0E2320">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资金到账和支出凭证、调整及支出调整手续、合同书、验收报告、技术鉴定等资料</w:t>
            </w:r>
          </w:p>
        </w:tc>
      </w:tr>
      <w:tr w14:paraId="5326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6" w:type="dxa"/>
            <w:vMerge w:val="continue"/>
            <w:shd w:val="clear" w:color="auto" w:fill="auto"/>
            <w:vAlign w:val="center"/>
          </w:tcPr>
          <w:p w14:paraId="29212B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0AB916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015C573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组织实施有效性</w:t>
            </w:r>
          </w:p>
        </w:tc>
        <w:tc>
          <w:tcPr>
            <w:tcW w:w="586" w:type="dxa"/>
            <w:shd w:val="clear" w:color="auto" w:fill="auto"/>
            <w:vAlign w:val="center"/>
          </w:tcPr>
          <w:p w14:paraId="5B03A98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6</w:t>
            </w:r>
          </w:p>
        </w:tc>
        <w:tc>
          <w:tcPr>
            <w:tcW w:w="1817" w:type="dxa"/>
            <w:shd w:val="clear" w:color="auto" w:fill="auto"/>
            <w:vAlign w:val="center"/>
          </w:tcPr>
          <w:p w14:paraId="6A0E9392">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项目实施单位是否按照财务和业务管理制度执行，用以反映和考核专项债券项目实施过程中制度有效执行情况。</w:t>
            </w:r>
          </w:p>
        </w:tc>
        <w:tc>
          <w:tcPr>
            <w:tcW w:w="3180" w:type="dxa"/>
            <w:shd w:val="clear" w:color="auto" w:fill="auto"/>
            <w:vAlign w:val="center"/>
          </w:tcPr>
          <w:p w14:paraId="537C6708">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项目实施是否遵守相关法律法规和相关管理规定；</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项目实施单位是否按照制定的专项债券资金使用计划执行；</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专项债券收支、还本付息及专项收入纳入政府性基金预算管理情况；</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项目调整及支出调整手续是否完备；</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项目合同书、验收报告、技术鉴定、资金凭证等资料是否齐全并及时归档；</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⑥</w:t>
            </w:r>
            <w:r>
              <w:rPr>
                <w:rFonts w:hint="eastAsia" w:ascii="仿宋" w:hAnsi="仿宋" w:eastAsia="仿宋" w:cs="仿宋"/>
                <w:snapToGrid/>
                <w:color w:val="000000"/>
                <w:kern w:val="0"/>
                <w:sz w:val="24"/>
                <w:szCs w:val="24"/>
                <w:lang w:val="en-US" w:eastAsia="zh-CN" w:bidi="ar"/>
              </w:rPr>
              <w:t>项目实施的人员条件、场地设备、信息支撑等是否落实到位。</w:t>
            </w:r>
          </w:p>
        </w:tc>
        <w:tc>
          <w:tcPr>
            <w:tcW w:w="825" w:type="dxa"/>
            <w:shd w:val="clear" w:color="auto" w:fill="auto"/>
            <w:vAlign w:val="center"/>
          </w:tcPr>
          <w:p w14:paraId="46FDEE2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012537B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4B8035E8">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6</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742F3863">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管理机构信息、建设单位基本信息、相关网站、项目资金支出材料等</w:t>
            </w:r>
          </w:p>
        </w:tc>
      </w:tr>
      <w:tr w14:paraId="5177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6" w:type="dxa"/>
            <w:vMerge w:val="continue"/>
            <w:shd w:val="clear" w:color="auto" w:fill="auto"/>
            <w:vAlign w:val="center"/>
          </w:tcPr>
          <w:p w14:paraId="5A4672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restart"/>
            <w:shd w:val="clear" w:color="auto" w:fill="auto"/>
            <w:vAlign w:val="center"/>
          </w:tcPr>
          <w:p w14:paraId="4FE2834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新增地方政府专项债券资金使用情况（</w:t>
            </w:r>
            <w:r>
              <w:rPr>
                <w:rFonts w:hint="default" w:ascii="Times New Roman" w:hAnsi="Times New Roman" w:eastAsia="仿宋" w:cs="Times New Roman"/>
                <w:snapToGrid/>
                <w:color w:val="000000"/>
                <w:kern w:val="0"/>
                <w:sz w:val="24"/>
                <w:szCs w:val="24"/>
                <w:lang w:val="en-US" w:eastAsia="zh-CN" w:bidi="ar"/>
              </w:rPr>
              <w:t>18</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777F26A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资金使用合规性</w:t>
            </w:r>
          </w:p>
        </w:tc>
        <w:tc>
          <w:tcPr>
            <w:tcW w:w="586" w:type="dxa"/>
            <w:shd w:val="clear" w:color="auto" w:fill="auto"/>
            <w:vAlign w:val="center"/>
          </w:tcPr>
          <w:p w14:paraId="4DEDA59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6</w:t>
            </w:r>
          </w:p>
        </w:tc>
        <w:tc>
          <w:tcPr>
            <w:tcW w:w="1817" w:type="dxa"/>
            <w:shd w:val="clear" w:color="auto" w:fill="auto"/>
            <w:vAlign w:val="center"/>
          </w:tcPr>
          <w:p w14:paraId="611DCC93">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项目资金使用是否符合相关的管理制度规定，用以反映和考核项目资金的规范运行情况。</w:t>
            </w:r>
          </w:p>
        </w:tc>
        <w:tc>
          <w:tcPr>
            <w:tcW w:w="3180" w:type="dxa"/>
            <w:shd w:val="clear" w:color="auto" w:fill="auto"/>
            <w:vAlign w:val="center"/>
          </w:tcPr>
          <w:p w14:paraId="0FD7C372">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项目建设和运营期间是否成立专门的管理机构；</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项目资金使用是否符合相关专项债券资金使用管理制度规定；</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项目单位或项目实施企业是否被中国人民银行列入征信系统黑名单；</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项目单位在项目建设运营期间，项目单位或地方政府是否擅自变动项目资金；</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专项债券项目存续期是否按要求在网站上进行信息公开。</w:t>
            </w:r>
          </w:p>
        </w:tc>
        <w:tc>
          <w:tcPr>
            <w:tcW w:w="825" w:type="dxa"/>
            <w:shd w:val="clear" w:color="auto" w:fill="auto"/>
            <w:vAlign w:val="center"/>
          </w:tcPr>
          <w:p w14:paraId="3C7800D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4C8F78D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5A751388">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6</w:t>
            </w:r>
            <w:r>
              <w:rPr>
                <w:rFonts w:hint="eastAsia" w:ascii="仿宋" w:hAnsi="仿宋" w:eastAsia="仿宋" w:cs="仿宋"/>
                <w:snapToGrid/>
                <w:color w:val="000000"/>
                <w:kern w:val="0"/>
                <w:sz w:val="24"/>
                <w:szCs w:val="24"/>
                <w:lang w:val="en-US" w:eastAsia="zh-CN" w:bidi="ar"/>
              </w:rPr>
              <w:t>分，不符合②，扣</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分；不符合其他项，每项扣</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0EEF84EB">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财政拨款凭证、资金到账凭证等</w:t>
            </w:r>
          </w:p>
        </w:tc>
      </w:tr>
      <w:tr w14:paraId="4DA8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2" w:hRule="atLeast"/>
        </w:trPr>
        <w:tc>
          <w:tcPr>
            <w:tcW w:w="716" w:type="dxa"/>
            <w:vMerge w:val="continue"/>
            <w:shd w:val="clear" w:color="auto" w:fill="auto"/>
            <w:vAlign w:val="center"/>
          </w:tcPr>
          <w:p w14:paraId="181C60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3E9CC8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1B4F16C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核算入账及时性</w:t>
            </w:r>
          </w:p>
        </w:tc>
        <w:tc>
          <w:tcPr>
            <w:tcW w:w="586" w:type="dxa"/>
            <w:shd w:val="clear" w:color="auto" w:fill="auto"/>
            <w:vAlign w:val="center"/>
          </w:tcPr>
          <w:p w14:paraId="4B41EC9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1817" w:type="dxa"/>
            <w:shd w:val="clear" w:color="auto" w:fill="auto"/>
            <w:vAlign w:val="center"/>
          </w:tcPr>
          <w:p w14:paraId="7B7A4C1B">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专项债券项目核算入账情况，用以反映和考核项目是否按要求核算入账。</w:t>
            </w:r>
          </w:p>
        </w:tc>
        <w:tc>
          <w:tcPr>
            <w:tcW w:w="3180" w:type="dxa"/>
            <w:shd w:val="clear" w:color="auto" w:fill="auto"/>
            <w:vAlign w:val="center"/>
          </w:tcPr>
          <w:p w14:paraId="491352EB">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专项债券项目是否按要求核算入账。</w:t>
            </w:r>
          </w:p>
        </w:tc>
        <w:tc>
          <w:tcPr>
            <w:tcW w:w="825" w:type="dxa"/>
            <w:shd w:val="clear" w:color="auto" w:fill="auto"/>
            <w:vAlign w:val="center"/>
          </w:tcPr>
          <w:p w14:paraId="7FC575F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p>
        </w:tc>
        <w:tc>
          <w:tcPr>
            <w:tcW w:w="934" w:type="dxa"/>
            <w:shd w:val="clear" w:color="auto" w:fill="auto"/>
            <w:vAlign w:val="center"/>
          </w:tcPr>
          <w:p w14:paraId="4B59E72A">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经财政同意，将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是</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作为评价标准</w:t>
            </w:r>
          </w:p>
        </w:tc>
        <w:tc>
          <w:tcPr>
            <w:tcW w:w="1579" w:type="dxa"/>
            <w:shd w:val="clear" w:color="auto" w:fill="auto"/>
            <w:vAlign w:val="center"/>
          </w:tcPr>
          <w:p w14:paraId="1207507D">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kern w:val="0"/>
                <w:sz w:val="24"/>
                <w:szCs w:val="24"/>
                <w:lang w:val="en-US" w:eastAsia="zh-CN" w:bidi="ar"/>
              </w:rPr>
              <w:t>及时</w:t>
            </w:r>
            <w:r>
              <w:rPr>
                <w:rFonts w:hint="eastAsia" w:ascii="仿宋" w:hAnsi="仿宋" w:eastAsia="仿宋" w:cs="仿宋"/>
                <w:snapToGrid/>
                <w:color w:val="000000"/>
                <w:kern w:val="0"/>
                <w:sz w:val="24"/>
                <w:szCs w:val="24"/>
                <w:lang w:val="en-US" w:eastAsia="zh-CN" w:bidi="ar"/>
              </w:rPr>
              <w:t>完成核算入账，得满分，否则不得分。</w:t>
            </w:r>
          </w:p>
        </w:tc>
        <w:tc>
          <w:tcPr>
            <w:tcW w:w="1278" w:type="dxa"/>
            <w:shd w:val="clear" w:color="auto" w:fill="auto"/>
            <w:vAlign w:val="center"/>
          </w:tcPr>
          <w:p w14:paraId="1B6B55B8">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核算入账的记账凭证、发票等</w:t>
            </w:r>
          </w:p>
        </w:tc>
      </w:tr>
      <w:tr w14:paraId="4774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2" w:hRule="atLeast"/>
        </w:trPr>
        <w:tc>
          <w:tcPr>
            <w:tcW w:w="716" w:type="dxa"/>
            <w:vMerge w:val="continue"/>
            <w:shd w:val="clear" w:color="auto" w:fill="auto"/>
            <w:vAlign w:val="center"/>
          </w:tcPr>
          <w:p w14:paraId="18FA97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14EC23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66E082E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专项债券资金到位率</w:t>
            </w:r>
          </w:p>
        </w:tc>
        <w:tc>
          <w:tcPr>
            <w:tcW w:w="586" w:type="dxa"/>
            <w:shd w:val="clear" w:color="auto" w:fill="auto"/>
            <w:vAlign w:val="center"/>
          </w:tcPr>
          <w:p w14:paraId="0180A2D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3</w:t>
            </w:r>
          </w:p>
        </w:tc>
        <w:tc>
          <w:tcPr>
            <w:tcW w:w="1817" w:type="dxa"/>
            <w:shd w:val="clear" w:color="auto" w:fill="auto"/>
            <w:vAlign w:val="center"/>
          </w:tcPr>
          <w:p w14:paraId="576C2AA3">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实际到位专项债券资金与实际发行专项债券资金的比率，用以反映和考核专项债券资金落实情况对项目实施的总体保障程度。</w:t>
            </w:r>
          </w:p>
        </w:tc>
        <w:tc>
          <w:tcPr>
            <w:tcW w:w="3180" w:type="dxa"/>
            <w:shd w:val="clear" w:color="auto" w:fill="auto"/>
            <w:vAlign w:val="center"/>
          </w:tcPr>
          <w:p w14:paraId="1E6515C1">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专项债券资金到位率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（实际到位专项债券资金</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实际发行专项债券资金）</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tc>
        <w:tc>
          <w:tcPr>
            <w:tcW w:w="825" w:type="dxa"/>
            <w:shd w:val="clear" w:color="auto" w:fill="auto"/>
            <w:vAlign w:val="center"/>
          </w:tcPr>
          <w:p w14:paraId="665712B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100%</w:t>
            </w:r>
          </w:p>
        </w:tc>
        <w:tc>
          <w:tcPr>
            <w:tcW w:w="934" w:type="dxa"/>
            <w:shd w:val="clear" w:color="auto" w:fill="auto"/>
            <w:vAlign w:val="center"/>
          </w:tcPr>
          <w:p w14:paraId="3F8DA0F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3B7F9D5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7A592100">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得分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专项债券资金到位率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指标权重</w:t>
            </w:r>
          </w:p>
        </w:tc>
        <w:tc>
          <w:tcPr>
            <w:tcW w:w="1278" w:type="dxa"/>
            <w:shd w:val="clear" w:color="auto" w:fill="auto"/>
            <w:vAlign w:val="center"/>
          </w:tcPr>
          <w:p w14:paraId="2E7B61F5">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财政拨款凭证、资金到账凭证等</w:t>
            </w:r>
          </w:p>
        </w:tc>
      </w:tr>
      <w:tr w14:paraId="0528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716" w:type="dxa"/>
            <w:vMerge w:val="continue"/>
            <w:shd w:val="clear" w:color="auto" w:fill="auto"/>
            <w:vAlign w:val="center"/>
          </w:tcPr>
          <w:p w14:paraId="0B7C4A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277B61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1AC7389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配套资金到位率</w:t>
            </w:r>
          </w:p>
        </w:tc>
        <w:tc>
          <w:tcPr>
            <w:tcW w:w="586" w:type="dxa"/>
            <w:shd w:val="clear" w:color="auto" w:fill="auto"/>
            <w:vAlign w:val="center"/>
          </w:tcPr>
          <w:p w14:paraId="6E8DA58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1817" w:type="dxa"/>
            <w:shd w:val="clear" w:color="auto" w:fill="auto"/>
            <w:vAlign w:val="center"/>
          </w:tcPr>
          <w:p w14:paraId="5136B4B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实际到位配套资金与计划到位配套资金的比率，用以反映和考核配套资金落实情况对项目实施的总体保障程度。</w:t>
            </w:r>
          </w:p>
        </w:tc>
        <w:tc>
          <w:tcPr>
            <w:tcW w:w="3180" w:type="dxa"/>
            <w:shd w:val="clear" w:color="auto" w:fill="auto"/>
            <w:vAlign w:val="center"/>
          </w:tcPr>
          <w:p w14:paraId="07DF1EE4">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配套资金到位率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（实际到位配套资金</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计划到位配套资金）</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p w14:paraId="7E802B2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配套资金包含财政资金、银行贷款、自有资金等。</w:t>
            </w:r>
          </w:p>
        </w:tc>
        <w:tc>
          <w:tcPr>
            <w:tcW w:w="825" w:type="dxa"/>
            <w:shd w:val="clear" w:color="auto" w:fill="auto"/>
            <w:vAlign w:val="center"/>
          </w:tcPr>
          <w:p w14:paraId="20DCF14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100%</w:t>
            </w:r>
          </w:p>
        </w:tc>
        <w:tc>
          <w:tcPr>
            <w:tcW w:w="934" w:type="dxa"/>
            <w:shd w:val="clear" w:color="auto" w:fill="auto"/>
            <w:vAlign w:val="center"/>
          </w:tcPr>
          <w:p w14:paraId="7998404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757D606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55251D06">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得分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配套资金到位率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指标权重</w:t>
            </w:r>
          </w:p>
        </w:tc>
        <w:tc>
          <w:tcPr>
            <w:tcW w:w="1278" w:type="dxa"/>
            <w:shd w:val="clear" w:color="auto" w:fill="auto"/>
            <w:vAlign w:val="center"/>
          </w:tcPr>
          <w:p w14:paraId="64B8F39D">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财政拨款凭证、资金到账凭证等</w:t>
            </w:r>
          </w:p>
        </w:tc>
      </w:tr>
      <w:tr w14:paraId="2040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6" w:type="dxa"/>
            <w:vMerge w:val="continue"/>
            <w:shd w:val="clear" w:color="auto" w:fill="auto"/>
            <w:vAlign w:val="center"/>
          </w:tcPr>
          <w:p w14:paraId="37212B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32623C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5A6D5A5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专项债券资金执行率</w:t>
            </w:r>
          </w:p>
        </w:tc>
        <w:tc>
          <w:tcPr>
            <w:tcW w:w="586" w:type="dxa"/>
            <w:shd w:val="clear" w:color="auto" w:fill="auto"/>
            <w:vAlign w:val="center"/>
          </w:tcPr>
          <w:p w14:paraId="5C68403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3</w:t>
            </w:r>
          </w:p>
        </w:tc>
        <w:tc>
          <w:tcPr>
            <w:tcW w:w="1817" w:type="dxa"/>
            <w:shd w:val="clear" w:color="auto" w:fill="auto"/>
            <w:vAlign w:val="center"/>
          </w:tcPr>
          <w:p w14:paraId="4AF7EACF">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实际支出专项债券资金与实际到位专项债券资金的比率，用以反映和考核项目预算执行情况。</w:t>
            </w:r>
          </w:p>
        </w:tc>
        <w:tc>
          <w:tcPr>
            <w:tcW w:w="3180" w:type="dxa"/>
            <w:shd w:val="clear" w:color="auto" w:fill="auto"/>
            <w:vAlign w:val="center"/>
          </w:tcPr>
          <w:p w14:paraId="562FB2B3">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专项债券资金执行率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（实际支出专项债券资金</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实际到位专项债券资金）</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tc>
        <w:tc>
          <w:tcPr>
            <w:tcW w:w="825" w:type="dxa"/>
            <w:shd w:val="clear" w:color="auto" w:fill="auto"/>
            <w:vAlign w:val="center"/>
          </w:tcPr>
          <w:p w14:paraId="0CFCF99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100%</w:t>
            </w:r>
          </w:p>
        </w:tc>
        <w:tc>
          <w:tcPr>
            <w:tcW w:w="934" w:type="dxa"/>
            <w:shd w:val="clear" w:color="auto" w:fill="auto"/>
            <w:vAlign w:val="center"/>
          </w:tcPr>
          <w:p w14:paraId="02F880E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592E90A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55457DAF">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得分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专项债券资金执行率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指标权重</w:t>
            </w:r>
          </w:p>
        </w:tc>
        <w:tc>
          <w:tcPr>
            <w:tcW w:w="1278" w:type="dxa"/>
            <w:shd w:val="clear" w:color="auto" w:fill="auto"/>
            <w:vAlign w:val="center"/>
          </w:tcPr>
          <w:p w14:paraId="6E411894">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项目支出凭证、支出明细等</w:t>
            </w:r>
          </w:p>
        </w:tc>
      </w:tr>
      <w:tr w14:paraId="6F3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6" w:type="dxa"/>
            <w:vMerge w:val="continue"/>
            <w:shd w:val="clear" w:color="auto" w:fill="auto"/>
            <w:vAlign w:val="center"/>
          </w:tcPr>
          <w:p w14:paraId="796926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vMerge w:val="continue"/>
            <w:shd w:val="clear" w:color="auto" w:fill="auto"/>
            <w:vAlign w:val="center"/>
          </w:tcPr>
          <w:p w14:paraId="5BA738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5" w:type="dxa"/>
            <w:shd w:val="clear" w:color="auto" w:fill="auto"/>
            <w:vAlign w:val="center"/>
          </w:tcPr>
          <w:p w14:paraId="322BA7B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配套资金执行率</w:t>
            </w:r>
          </w:p>
        </w:tc>
        <w:tc>
          <w:tcPr>
            <w:tcW w:w="586" w:type="dxa"/>
            <w:shd w:val="clear" w:color="auto" w:fill="auto"/>
            <w:vAlign w:val="center"/>
          </w:tcPr>
          <w:p w14:paraId="6DEF492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1817" w:type="dxa"/>
            <w:shd w:val="clear" w:color="auto" w:fill="auto"/>
            <w:vAlign w:val="center"/>
          </w:tcPr>
          <w:p w14:paraId="4A725CB8">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实际支出配套资金与实际到位配套资金的比率，用以反映和考核项目预算执行情况。</w:t>
            </w:r>
          </w:p>
        </w:tc>
        <w:tc>
          <w:tcPr>
            <w:tcW w:w="3180" w:type="dxa"/>
            <w:shd w:val="clear" w:color="auto" w:fill="auto"/>
            <w:vAlign w:val="center"/>
          </w:tcPr>
          <w:p w14:paraId="49BFDE63">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配套资金执行率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（实际支出配套资金</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实际到位配套资金）</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tc>
        <w:tc>
          <w:tcPr>
            <w:tcW w:w="825" w:type="dxa"/>
            <w:shd w:val="clear" w:color="auto" w:fill="auto"/>
            <w:vAlign w:val="center"/>
          </w:tcPr>
          <w:p w14:paraId="5E8CB1B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100%</w:t>
            </w:r>
          </w:p>
        </w:tc>
        <w:tc>
          <w:tcPr>
            <w:tcW w:w="934" w:type="dxa"/>
            <w:shd w:val="clear" w:color="auto" w:fill="auto"/>
            <w:vAlign w:val="center"/>
          </w:tcPr>
          <w:p w14:paraId="4D8C793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1747130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7908C93F">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得分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配套资金执行率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指标权重</w:t>
            </w:r>
          </w:p>
        </w:tc>
        <w:tc>
          <w:tcPr>
            <w:tcW w:w="1278" w:type="dxa"/>
            <w:shd w:val="clear" w:color="auto" w:fill="auto"/>
            <w:vAlign w:val="center"/>
          </w:tcPr>
          <w:p w14:paraId="49B16C81">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项目支出凭证、支出明细等</w:t>
            </w:r>
          </w:p>
        </w:tc>
      </w:tr>
      <w:tr w14:paraId="063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716" w:type="dxa"/>
            <w:vMerge w:val="restart"/>
            <w:shd w:val="clear" w:color="auto" w:fill="auto"/>
            <w:vAlign w:val="center"/>
          </w:tcPr>
          <w:p w14:paraId="0FB4497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产出</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40</w:t>
            </w:r>
            <w:r>
              <w:rPr>
                <w:rFonts w:hint="eastAsia" w:ascii="仿宋" w:hAnsi="仿宋" w:eastAsia="仿宋" w:cs="仿宋"/>
                <w:snapToGrid/>
                <w:color w:val="000000"/>
                <w:kern w:val="0"/>
                <w:sz w:val="24"/>
                <w:szCs w:val="24"/>
                <w:lang w:val="en-US" w:eastAsia="zh-CN" w:bidi="ar"/>
              </w:rPr>
              <w:t>分）</w:t>
            </w:r>
          </w:p>
        </w:tc>
        <w:tc>
          <w:tcPr>
            <w:tcW w:w="1238" w:type="dxa"/>
            <w:shd w:val="clear" w:color="auto" w:fill="auto"/>
            <w:vAlign w:val="center"/>
          </w:tcPr>
          <w:p w14:paraId="1DE8F78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产出数量</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15</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197FD81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2"/>
                <w:sz w:val="24"/>
                <w:szCs w:val="24"/>
                <w:lang w:val="en-US" w:eastAsia="zh-CN" w:bidi="ar"/>
              </w:rPr>
              <w:t>进度计划完成率</w:t>
            </w:r>
          </w:p>
        </w:tc>
        <w:tc>
          <w:tcPr>
            <w:tcW w:w="586" w:type="dxa"/>
            <w:shd w:val="clear" w:color="auto" w:fill="auto"/>
            <w:vAlign w:val="center"/>
          </w:tcPr>
          <w:p w14:paraId="378A593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15</w:t>
            </w:r>
          </w:p>
        </w:tc>
        <w:tc>
          <w:tcPr>
            <w:tcW w:w="1817" w:type="dxa"/>
            <w:shd w:val="clear" w:color="auto" w:fill="auto"/>
            <w:vAlign w:val="center"/>
          </w:tcPr>
          <w:p w14:paraId="62A8B9D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使用专项债券资金项目是否按阶段性计划完成建设内容，用于反映和考核专项债券项目建设进度情况。</w:t>
            </w:r>
          </w:p>
        </w:tc>
        <w:tc>
          <w:tcPr>
            <w:tcW w:w="3180" w:type="dxa"/>
            <w:shd w:val="clear" w:color="auto" w:fill="auto"/>
            <w:vAlign w:val="center"/>
          </w:tcPr>
          <w:p w14:paraId="13B8B3B2">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进度计划完成率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（实际完成工程量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计划完成阶段性工程量）</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如涉及多个子项，则按照子项实际完成率加权平均值计算。</w:t>
            </w:r>
          </w:p>
        </w:tc>
        <w:tc>
          <w:tcPr>
            <w:tcW w:w="825" w:type="dxa"/>
            <w:shd w:val="clear" w:color="auto" w:fill="auto"/>
            <w:vAlign w:val="center"/>
          </w:tcPr>
          <w:p w14:paraId="7C0F16F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100%</w:t>
            </w:r>
          </w:p>
        </w:tc>
        <w:tc>
          <w:tcPr>
            <w:tcW w:w="934" w:type="dxa"/>
            <w:shd w:val="clear" w:color="auto" w:fill="auto"/>
            <w:vAlign w:val="center"/>
          </w:tcPr>
          <w:p w14:paraId="6AF16A9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30A6E7C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2662DFFC">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2"/>
                <w:sz w:val="24"/>
                <w:szCs w:val="24"/>
                <w:lang w:val="en-US" w:eastAsia="zh-CN" w:bidi="ar"/>
              </w:rPr>
              <w:t>得分</w:t>
            </w:r>
            <w:r>
              <w:rPr>
                <w:rFonts w:hint="default" w:ascii="Times New Roman" w:hAnsi="Times New Roman" w:eastAsia="仿宋" w:cs="Times New Roman"/>
                <w:snapToGrid/>
                <w:color w:val="000000"/>
                <w:kern w:val="2"/>
                <w:sz w:val="24"/>
                <w:szCs w:val="24"/>
                <w:lang w:val="en-US" w:eastAsia="zh-CN" w:bidi="ar"/>
              </w:rPr>
              <w:t>=</w:t>
            </w:r>
            <w:r>
              <w:rPr>
                <w:rFonts w:hint="eastAsia" w:ascii="仿宋" w:hAnsi="仿宋" w:eastAsia="仿宋" w:cs="仿宋"/>
                <w:snapToGrid/>
                <w:color w:val="000000"/>
                <w:kern w:val="2"/>
                <w:sz w:val="24"/>
                <w:szCs w:val="24"/>
                <w:lang w:val="en-US" w:eastAsia="zh-CN" w:bidi="ar"/>
              </w:rPr>
              <w:t>进度计划完成率</w:t>
            </w:r>
            <w:r>
              <w:rPr>
                <w:rFonts w:hint="default" w:ascii="Times New Roman" w:hAnsi="Times New Roman" w:eastAsia="仿宋" w:cs="Times New Roman"/>
                <w:snapToGrid/>
                <w:color w:val="000000"/>
                <w:kern w:val="2"/>
                <w:sz w:val="24"/>
                <w:szCs w:val="24"/>
                <w:lang w:val="en-US" w:eastAsia="zh-CN" w:bidi="ar"/>
              </w:rPr>
              <w:t>×</w:t>
            </w:r>
            <w:r>
              <w:rPr>
                <w:rFonts w:hint="eastAsia" w:ascii="仿宋" w:hAnsi="仿宋" w:eastAsia="仿宋" w:cs="仿宋"/>
                <w:snapToGrid/>
                <w:color w:val="000000"/>
                <w:kern w:val="2"/>
                <w:sz w:val="24"/>
                <w:szCs w:val="24"/>
                <w:lang w:val="en-US" w:eastAsia="zh-CN" w:bidi="ar"/>
              </w:rPr>
              <w:t>指标权重。</w:t>
            </w:r>
          </w:p>
        </w:tc>
        <w:tc>
          <w:tcPr>
            <w:tcW w:w="1278" w:type="dxa"/>
            <w:shd w:val="clear" w:color="auto" w:fill="auto"/>
            <w:vAlign w:val="center"/>
          </w:tcPr>
          <w:p w14:paraId="0A41A304">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案卷研究、基础数据、进度计划、现场核查</w:t>
            </w:r>
          </w:p>
        </w:tc>
      </w:tr>
      <w:tr w14:paraId="2D1B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16" w:type="dxa"/>
            <w:vMerge w:val="continue"/>
            <w:shd w:val="clear" w:color="auto" w:fill="auto"/>
            <w:vAlign w:val="center"/>
          </w:tcPr>
          <w:p w14:paraId="295BB8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auto"/>
            <w:vAlign w:val="center"/>
          </w:tcPr>
          <w:p w14:paraId="6D6A9CF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产出质量</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15</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0F34FC88">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质量检测达标情况</w:t>
            </w:r>
          </w:p>
        </w:tc>
        <w:tc>
          <w:tcPr>
            <w:tcW w:w="586" w:type="dxa"/>
            <w:shd w:val="clear" w:color="auto" w:fill="auto"/>
            <w:vAlign w:val="center"/>
          </w:tcPr>
          <w:p w14:paraId="3AF3C32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15</w:t>
            </w:r>
          </w:p>
        </w:tc>
        <w:tc>
          <w:tcPr>
            <w:tcW w:w="1817" w:type="dxa"/>
            <w:shd w:val="clear" w:color="auto" w:fill="auto"/>
            <w:vAlign w:val="center"/>
          </w:tcPr>
          <w:p w14:paraId="0AD4A8D9">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使用专项债券资金项目是否达到质量检测标准，具备设计中的功能要求，是否存在后续风险隐患，用于反映和考核专项债券项目建设质量及存在的风险情况。</w:t>
            </w:r>
          </w:p>
        </w:tc>
        <w:tc>
          <w:tcPr>
            <w:tcW w:w="3180" w:type="dxa"/>
            <w:shd w:val="clear" w:color="auto" w:fill="auto"/>
            <w:vAlign w:val="center"/>
          </w:tcPr>
          <w:p w14:paraId="0D5DFC11">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项目建设过程中使用的材料（器材）是否达到质量标准；</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项目资产质量符合相关的质量要求；</w:t>
            </w:r>
          </w:p>
          <w:p w14:paraId="41629E57">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项目竣工验收预期不会出现重要失误或显著延迟；</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项目实际产出质量与预期或目标一致；</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完工工程后续是否存在可能发生的其他隐患（建设前期的拆迁补偿款到位情况、是否具备运营资质情况等）。</w:t>
            </w:r>
          </w:p>
        </w:tc>
        <w:tc>
          <w:tcPr>
            <w:tcW w:w="825" w:type="dxa"/>
            <w:shd w:val="clear" w:color="auto" w:fill="auto"/>
            <w:vAlign w:val="center"/>
          </w:tcPr>
          <w:p w14:paraId="43F7C03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100%</w:t>
            </w:r>
          </w:p>
        </w:tc>
        <w:tc>
          <w:tcPr>
            <w:tcW w:w="934" w:type="dxa"/>
            <w:shd w:val="clear" w:color="auto" w:fill="auto"/>
            <w:vAlign w:val="center"/>
          </w:tcPr>
          <w:p w14:paraId="2FBDC6B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47DF451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5187C28C">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10</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分，扣完为止。</w:t>
            </w:r>
          </w:p>
        </w:tc>
        <w:tc>
          <w:tcPr>
            <w:tcW w:w="1278" w:type="dxa"/>
            <w:shd w:val="clear" w:color="auto" w:fill="auto"/>
            <w:vAlign w:val="center"/>
          </w:tcPr>
          <w:p w14:paraId="706A1CD9">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案卷研究、基础数据、质量检测报告、现场核查</w:t>
            </w:r>
          </w:p>
        </w:tc>
      </w:tr>
      <w:tr w14:paraId="305A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16" w:type="dxa"/>
            <w:vMerge w:val="continue"/>
            <w:shd w:val="clear" w:color="auto" w:fill="auto"/>
            <w:vAlign w:val="center"/>
          </w:tcPr>
          <w:p w14:paraId="78E6BB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auto"/>
            <w:vAlign w:val="center"/>
          </w:tcPr>
          <w:p w14:paraId="23C235A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产出时效</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6114C70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开工及时性</w:t>
            </w:r>
          </w:p>
        </w:tc>
        <w:tc>
          <w:tcPr>
            <w:tcW w:w="586" w:type="dxa"/>
            <w:shd w:val="clear" w:color="auto" w:fill="auto"/>
            <w:vAlign w:val="center"/>
          </w:tcPr>
          <w:p w14:paraId="0A8D7CB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5</w:t>
            </w:r>
          </w:p>
        </w:tc>
        <w:tc>
          <w:tcPr>
            <w:tcW w:w="1817" w:type="dxa"/>
            <w:shd w:val="clear" w:color="auto" w:fill="auto"/>
            <w:vAlign w:val="center"/>
          </w:tcPr>
          <w:p w14:paraId="17B42807">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使用专项债券资金项目是否按计划期限开工，用于反映和考核专项债券项目实际进度与计划进度匹配情况。</w:t>
            </w:r>
          </w:p>
        </w:tc>
        <w:tc>
          <w:tcPr>
            <w:tcW w:w="3180" w:type="dxa"/>
            <w:shd w:val="clear" w:color="auto" w:fill="auto"/>
            <w:vAlign w:val="center"/>
          </w:tcPr>
          <w:p w14:paraId="59952B78">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是否按照合同约定的计划期限开工。</w:t>
            </w:r>
          </w:p>
        </w:tc>
        <w:tc>
          <w:tcPr>
            <w:tcW w:w="825" w:type="dxa"/>
            <w:shd w:val="clear" w:color="auto" w:fill="auto"/>
            <w:vAlign w:val="center"/>
          </w:tcPr>
          <w:p w14:paraId="3446306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及时</w:t>
            </w:r>
          </w:p>
        </w:tc>
        <w:tc>
          <w:tcPr>
            <w:tcW w:w="934" w:type="dxa"/>
            <w:shd w:val="clear" w:color="auto" w:fill="auto"/>
            <w:vAlign w:val="center"/>
          </w:tcPr>
          <w:p w14:paraId="7004F7C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059C32F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793A53F7">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提前开工或按计划开工，得满分；延迟一个月（</w:t>
            </w:r>
            <w:r>
              <w:rPr>
                <w:rFonts w:hint="default" w:ascii="Times New Roman" w:hAnsi="Times New Roman" w:eastAsia="仿宋" w:cs="Times New Roman"/>
                <w:snapToGrid/>
                <w:color w:val="000000"/>
                <w:kern w:val="0"/>
                <w:sz w:val="24"/>
                <w:szCs w:val="24"/>
                <w:lang w:val="en-US" w:eastAsia="zh-CN" w:bidi="ar"/>
              </w:rPr>
              <w:t>30</w:t>
            </w:r>
            <w:r>
              <w:rPr>
                <w:rFonts w:hint="eastAsia" w:ascii="仿宋" w:hAnsi="仿宋" w:eastAsia="仿宋" w:cs="仿宋"/>
                <w:snapToGrid/>
                <w:color w:val="000000"/>
                <w:kern w:val="0"/>
                <w:sz w:val="24"/>
                <w:szCs w:val="24"/>
                <w:lang w:val="en-US" w:eastAsia="zh-CN" w:bidi="ar"/>
              </w:rPr>
              <w:t>日历天）以内，得</w:t>
            </w:r>
            <w:r>
              <w:rPr>
                <w:rFonts w:hint="default" w:ascii="Times New Roman" w:hAnsi="Times New Roman" w:eastAsia="仿宋" w:cs="Times New Roman"/>
                <w:snapToGrid/>
                <w:color w:val="000000"/>
                <w:kern w:val="0"/>
                <w:sz w:val="24"/>
                <w:szCs w:val="24"/>
                <w:lang w:val="en-US" w:eastAsia="zh-CN" w:bidi="ar"/>
              </w:rPr>
              <w:t>3</w:t>
            </w:r>
            <w:r>
              <w:rPr>
                <w:rFonts w:hint="eastAsia" w:ascii="仿宋" w:hAnsi="仿宋" w:eastAsia="仿宋" w:cs="仿宋"/>
                <w:snapToGrid/>
                <w:color w:val="000000"/>
                <w:kern w:val="0"/>
                <w:sz w:val="24"/>
                <w:szCs w:val="24"/>
                <w:lang w:val="en-US" w:eastAsia="zh-CN" w:bidi="ar"/>
              </w:rPr>
              <w:t>分；延迟一个月（</w:t>
            </w:r>
            <w:r>
              <w:rPr>
                <w:rFonts w:hint="default" w:ascii="Times New Roman" w:hAnsi="Times New Roman" w:eastAsia="仿宋" w:cs="Times New Roman"/>
                <w:snapToGrid/>
                <w:color w:val="000000"/>
                <w:kern w:val="0"/>
                <w:sz w:val="24"/>
                <w:szCs w:val="24"/>
                <w:lang w:val="en-US" w:eastAsia="zh-CN" w:bidi="ar"/>
              </w:rPr>
              <w:t>30</w:t>
            </w:r>
            <w:r>
              <w:rPr>
                <w:rFonts w:hint="eastAsia" w:ascii="仿宋" w:hAnsi="仿宋" w:eastAsia="仿宋" w:cs="仿宋"/>
                <w:snapToGrid/>
                <w:color w:val="000000"/>
                <w:kern w:val="0"/>
                <w:sz w:val="24"/>
                <w:szCs w:val="24"/>
                <w:lang w:val="en-US" w:eastAsia="zh-CN" w:bidi="ar"/>
              </w:rPr>
              <w:t>日历天）及以上不得分。</w:t>
            </w:r>
          </w:p>
        </w:tc>
        <w:tc>
          <w:tcPr>
            <w:tcW w:w="1278" w:type="dxa"/>
            <w:shd w:val="clear" w:color="auto" w:fill="auto"/>
            <w:vAlign w:val="center"/>
          </w:tcPr>
          <w:p w14:paraId="4ACDC291">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中标通知书、施工合同、开工报告等</w:t>
            </w:r>
          </w:p>
        </w:tc>
      </w:tr>
      <w:tr w14:paraId="7598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1" w:hRule="atLeast"/>
        </w:trPr>
        <w:tc>
          <w:tcPr>
            <w:tcW w:w="716" w:type="dxa"/>
            <w:vMerge w:val="continue"/>
            <w:shd w:val="clear" w:color="auto" w:fill="auto"/>
            <w:vAlign w:val="center"/>
          </w:tcPr>
          <w:p w14:paraId="199236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auto"/>
            <w:vAlign w:val="center"/>
          </w:tcPr>
          <w:p w14:paraId="10EBBF1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kern w:val="2"/>
                <w:sz w:val="24"/>
                <w:szCs w:val="24"/>
              </w:rPr>
            </w:pPr>
            <w:r>
              <w:rPr>
                <w:rFonts w:hint="eastAsia" w:ascii="仿宋" w:hAnsi="仿宋" w:eastAsia="仿宋" w:cs="仿宋"/>
                <w:snapToGrid/>
                <w:kern w:val="0"/>
                <w:sz w:val="24"/>
                <w:szCs w:val="24"/>
                <w:lang w:val="en-US" w:eastAsia="zh-CN" w:bidi="ar"/>
              </w:rPr>
              <w:t>产出成本</w:t>
            </w:r>
            <w:r>
              <w:rPr>
                <w:rFonts w:hint="default" w:ascii="Times New Roman" w:hAnsi="Times New Roman" w:eastAsia="仿宋" w:cs="Times New Roman"/>
                <w:snapToGrid/>
                <w:kern w:val="0"/>
                <w:sz w:val="24"/>
                <w:szCs w:val="24"/>
                <w:lang w:val="en-US" w:eastAsia="zh-CN" w:bidi="ar"/>
              </w:rPr>
              <w:br w:type="textWrapping"/>
            </w:r>
            <w:r>
              <w:rPr>
                <w:rFonts w:hint="eastAsia" w:ascii="仿宋" w:hAnsi="仿宋" w:eastAsia="仿宋" w:cs="仿宋"/>
                <w:snapToGrid/>
                <w:kern w:val="0"/>
                <w:sz w:val="24"/>
                <w:szCs w:val="24"/>
                <w:lang w:val="en-US" w:eastAsia="zh-CN" w:bidi="ar"/>
              </w:rPr>
              <w:t>（</w:t>
            </w:r>
            <w:r>
              <w:rPr>
                <w:rFonts w:hint="default" w:ascii="Times New Roman" w:hAnsi="Times New Roman" w:eastAsia="仿宋" w:cs="Times New Roman"/>
                <w:snapToGrid/>
                <w:kern w:val="0"/>
                <w:sz w:val="24"/>
                <w:szCs w:val="24"/>
                <w:lang w:val="en-US" w:eastAsia="zh-CN" w:bidi="ar"/>
              </w:rPr>
              <w:t>5</w:t>
            </w:r>
            <w:r>
              <w:rPr>
                <w:rFonts w:hint="eastAsia" w:ascii="仿宋" w:hAnsi="仿宋" w:eastAsia="仿宋" w:cs="仿宋"/>
                <w:snapToGrid/>
                <w:kern w:val="0"/>
                <w:sz w:val="24"/>
                <w:szCs w:val="24"/>
                <w:lang w:val="en-US" w:eastAsia="zh-CN" w:bidi="ar"/>
              </w:rPr>
              <w:t>分）</w:t>
            </w:r>
          </w:p>
        </w:tc>
        <w:tc>
          <w:tcPr>
            <w:tcW w:w="705" w:type="dxa"/>
            <w:shd w:val="clear" w:color="auto" w:fill="auto"/>
            <w:vAlign w:val="center"/>
          </w:tcPr>
          <w:p w14:paraId="1B1291D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kern w:val="2"/>
                <w:sz w:val="24"/>
                <w:szCs w:val="24"/>
              </w:rPr>
            </w:pPr>
            <w:r>
              <w:rPr>
                <w:rFonts w:hint="eastAsia" w:ascii="仿宋" w:hAnsi="仿宋" w:eastAsia="仿宋" w:cs="仿宋"/>
                <w:snapToGrid/>
                <w:kern w:val="0"/>
                <w:sz w:val="24"/>
                <w:szCs w:val="24"/>
                <w:lang w:val="en-US" w:eastAsia="zh-CN" w:bidi="ar"/>
              </w:rPr>
              <w:t>建设成本节约率</w:t>
            </w:r>
          </w:p>
        </w:tc>
        <w:tc>
          <w:tcPr>
            <w:tcW w:w="586" w:type="dxa"/>
            <w:shd w:val="clear" w:color="auto" w:fill="auto"/>
            <w:vAlign w:val="center"/>
          </w:tcPr>
          <w:p w14:paraId="3F31818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5</w:t>
            </w:r>
          </w:p>
        </w:tc>
        <w:tc>
          <w:tcPr>
            <w:tcW w:w="1817" w:type="dxa"/>
            <w:shd w:val="clear" w:color="auto" w:fill="auto"/>
            <w:vAlign w:val="center"/>
          </w:tcPr>
          <w:p w14:paraId="5859962A">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项目实际支出的建设成本较阶段性计划建设成本的节约情况，用于反映和考核项目建设成本情况。</w:t>
            </w:r>
          </w:p>
        </w:tc>
        <w:tc>
          <w:tcPr>
            <w:tcW w:w="3180" w:type="dxa"/>
            <w:shd w:val="clear" w:color="auto" w:fill="auto"/>
            <w:vAlign w:val="center"/>
          </w:tcPr>
          <w:p w14:paraId="42767272">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kern w:val="0"/>
                <w:sz w:val="24"/>
                <w:szCs w:val="24"/>
                <w:lang w:val="en-US" w:eastAsia="zh-CN" w:bidi="ar"/>
              </w:rPr>
              <w:t>建设成本节约率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（阶段性计划建设成本</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实际支出成本）</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阶段性计划建设成本</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tc>
        <w:tc>
          <w:tcPr>
            <w:tcW w:w="825" w:type="dxa"/>
            <w:shd w:val="clear" w:color="auto" w:fill="auto"/>
            <w:vAlign w:val="center"/>
          </w:tcPr>
          <w:p w14:paraId="78BC6BF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snapToGrid/>
                <w:kern w:val="0"/>
                <w:sz w:val="24"/>
                <w:szCs w:val="24"/>
                <w:lang w:val="en-US" w:eastAsia="zh-CN" w:bidi="ar"/>
              </w:rPr>
              <w:t>0%</w:t>
            </w:r>
          </w:p>
        </w:tc>
        <w:tc>
          <w:tcPr>
            <w:tcW w:w="934" w:type="dxa"/>
            <w:shd w:val="clear" w:color="auto" w:fill="auto"/>
            <w:vAlign w:val="center"/>
          </w:tcPr>
          <w:p w14:paraId="60823C6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2B78714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3A09D5A9">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kern w:val="2"/>
                <w:sz w:val="24"/>
                <w:szCs w:val="24"/>
              </w:rPr>
            </w:pPr>
            <w:r>
              <w:rPr>
                <w:rFonts w:hint="eastAsia" w:ascii="仿宋" w:hAnsi="仿宋" w:eastAsia="仿宋" w:cs="仿宋"/>
                <w:snapToGrid/>
                <w:kern w:val="0"/>
                <w:sz w:val="24"/>
                <w:szCs w:val="24"/>
                <w:lang w:val="en-US" w:eastAsia="zh-CN" w:bidi="ar"/>
              </w:rPr>
              <w:t>建设成本节约率≥</w:t>
            </w:r>
            <w:r>
              <w:rPr>
                <w:rFonts w:hint="default" w:ascii="Times New Roman" w:hAnsi="Times New Roman" w:eastAsia="仿宋" w:cs="Times New Roman"/>
                <w:snapToGrid/>
                <w:kern w:val="0"/>
                <w:sz w:val="24"/>
                <w:szCs w:val="24"/>
                <w:lang w:val="en-US" w:eastAsia="zh-CN" w:bidi="ar"/>
              </w:rPr>
              <w:t>0%</w:t>
            </w:r>
            <w:r>
              <w:rPr>
                <w:rFonts w:hint="eastAsia" w:ascii="仿宋" w:hAnsi="仿宋" w:eastAsia="仿宋" w:cs="仿宋"/>
                <w:snapToGrid/>
                <w:kern w:val="0"/>
                <w:sz w:val="24"/>
                <w:szCs w:val="24"/>
                <w:lang w:val="en-US" w:eastAsia="zh-CN" w:bidi="ar"/>
              </w:rPr>
              <w:t>，得满分，否则不得分。</w:t>
            </w:r>
          </w:p>
        </w:tc>
        <w:tc>
          <w:tcPr>
            <w:tcW w:w="1278" w:type="dxa"/>
            <w:shd w:val="clear" w:color="auto" w:fill="auto"/>
            <w:vAlign w:val="center"/>
          </w:tcPr>
          <w:p w14:paraId="6FD7AF62">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color w:val="000000"/>
                <w:kern w:val="2"/>
                <w:sz w:val="24"/>
                <w:szCs w:val="24"/>
              </w:rPr>
            </w:pPr>
            <w:r>
              <w:rPr>
                <w:rFonts w:hint="eastAsia" w:ascii="仿宋" w:hAnsi="仿宋" w:eastAsia="仿宋" w:cs="仿宋"/>
                <w:snapToGrid/>
                <w:color w:val="000000"/>
                <w:kern w:val="2"/>
                <w:sz w:val="24"/>
                <w:szCs w:val="24"/>
                <w:lang w:val="en-US" w:eastAsia="zh-CN" w:bidi="ar"/>
              </w:rPr>
              <w:t>案卷研究、基础数据、现场核查</w:t>
            </w:r>
          </w:p>
        </w:tc>
      </w:tr>
      <w:tr w14:paraId="03D1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6" w:type="dxa"/>
            <w:vMerge w:val="restart"/>
            <w:shd w:val="clear" w:color="auto" w:fill="auto"/>
            <w:vAlign w:val="center"/>
          </w:tcPr>
          <w:p w14:paraId="42F71F1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效益</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20</w:t>
            </w:r>
            <w:r>
              <w:rPr>
                <w:rFonts w:hint="eastAsia" w:ascii="仿宋" w:hAnsi="仿宋" w:eastAsia="仿宋" w:cs="仿宋"/>
                <w:snapToGrid/>
                <w:color w:val="000000"/>
                <w:kern w:val="0"/>
                <w:sz w:val="24"/>
                <w:szCs w:val="24"/>
                <w:lang w:val="en-US" w:eastAsia="zh-CN" w:bidi="ar"/>
              </w:rPr>
              <w:t>分）</w:t>
            </w:r>
          </w:p>
        </w:tc>
        <w:tc>
          <w:tcPr>
            <w:tcW w:w="1238" w:type="dxa"/>
            <w:shd w:val="clear" w:color="auto" w:fill="auto"/>
            <w:vAlign w:val="center"/>
          </w:tcPr>
          <w:p w14:paraId="68B4878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社会效益</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10</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49EA1DB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促进教育与人才培养、推动科技创新与成果转化</w:t>
            </w:r>
          </w:p>
        </w:tc>
        <w:tc>
          <w:tcPr>
            <w:tcW w:w="586" w:type="dxa"/>
            <w:shd w:val="clear" w:color="auto" w:fill="auto"/>
            <w:vAlign w:val="center"/>
          </w:tcPr>
          <w:p w14:paraId="6F7686A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10</w:t>
            </w:r>
          </w:p>
        </w:tc>
        <w:tc>
          <w:tcPr>
            <w:tcW w:w="1817" w:type="dxa"/>
            <w:shd w:val="clear" w:color="auto" w:fill="auto"/>
            <w:vAlign w:val="center"/>
          </w:tcPr>
          <w:p w14:paraId="421821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auto"/>
                <w:kern w:val="0"/>
                <w:sz w:val="24"/>
                <w:szCs w:val="24"/>
                <w:lang w:bidi="ar"/>
              </w:rPr>
              <w:t>使用专项债券项目工程建设对社会发展所带来的直接或间接的正负面影响情况。如新增就业、社会荣誉、公众舆情与群体性事件等。</w:t>
            </w:r>
          </w:p>
        </w:tc>
        <w:tc>
          <w:tcPr>
            <w:tcW w:w="3180" w:type="dxa"/>
            <w:shd w:val="clear" w:color="auto" w:fill="auto"/>
            <w:vAlign w:val="center"/>
          </w:tcPr>
          <w:p w14:paraId="5D9D475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kern w:val="0"/>
                <w:sz w:val="24"/>
                <w:szCs w:val="24"/>
                <w:lang w:bidi="ar"/>
              </w:rPr>
              <w:t>通过考察项目实施对</w:t>
            </w:r>
            <w:r>
              <w:rPr>
                <w:rFonts w:hint="eastAsia" w:ascii="仿宋" w:hAnsi="仿宋" w:eastAsia="仿宋" w:cs="仿宋"/>
                <w:snapToGrid/>
                <w:color w:val="000000"/>
                <w:kern w:val="0"/>
                <w:sz w:val="24"/>
                <w:szCs w:val="24"/>
                <w:lang w:val="en-US" w:eastAsia="zh-CN" w:bidi="ar"/>
              </w:rPr>
              <w:t>促进教育与人才培养、推动科技创新与成果转化</w:t>
            </w:r>
            <w:r>
              <w:rPr>
                <w:rFonts w:hint="default" w:ascii="Times New Roman" w:hAnsi="Times New Roman" w:eastAsia="仿宋" w:cs="Times New Roman"/>
                <w:color w:val="auto"/>
                <w:kern w:val="0"/>
                <w:sz w:val="24"/>
                <w:szCs w:val="24"/>
                <w:lang w:bidi="ar"/>
              </w:rPr>
              <w:t>的显著程度，来反映项目实施带来的效益情况。</w:t>
            </w:r>
          </w:p>
          <w:p w14:paraId="0911E4A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kern w:val="0"/>
                <w:sz w:val="24"/>
                <w:szCs w:val="24"/>
                <w:lang w:bidi="ar"/>
              </w:rPr>
              <w:t>显著程度采用五段式选项来体现被调查对象的意见，即设置“非常显著”、“比较显著”、“显著”、“不太显著”和“非常不显著”五个等级。赋值分别为“5、4、3、2、1”，根据等概率法计算</w:t>
            </w:r>
            <w:r>
              <w:rPr>
                <w:rFonts w:hint="default" w:ascii="Times New Roman" w:hAnsi="Times New Roman" w:eastAsia="仿宋" w:cs="Times New Roman"/>
                <w:color w:val="auto"/>
                <w:kern w:val="0"/>
                <w:sz w:val="24"/>
                <w:szCs w:val="24"/>
                <w:lang w:eastAsia="zh-CN" w:bidi="ar"/>
              </w:rPr>
              <w:t>显著</w:t>
            </w:r>
            <w:r>
              <w:rPr>
                <w:rFonts w:hint="default" w:ascii="Times New Roman" w:hAnsi="Times New Roman" w:eastAsia="仿宋" w:cs="Times New Roman"/>
                <w:color w:val="auto"/>
                <w:kern w:val="0"/>
                <w:sz w:val="24"/>
                <w:szCs w:val="24"/>
                <w:lang w:bidi="ar"/>
              </w:rPr>
              <w:t>程度，计算公式为：</w:t>
            </w:r>
          </w:p>
          <w:p w14:paraId="3A2E93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auto"/>
                <w:kern w:val="0"/>
                <w:sz w:val="24"/>
                <w:szCs w:val="24"/>
                <w:lang w:bidi="ar"/>
              </w:rPr>
              <w:t>显著程度=（“非常显著”个数*5+“比较显著”*4+“显著”*3+“不太显著”*2+“非常不显著”*1）/（全部回答个数*5）*100%</w:t>
            </w:r>
          </w:p>
        </w:tc>
        <w:tc>
          <w:tcPr>
            <w:tcW w:w="825" w:type="dxa"/>
            <w:shd w:val="clear" w:color="auto" w:fill="auto"/>
            <w:vAlign w:val="center"/>
          </w:tcPr>
          <w:p w14:paraId="2CA882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bidi="ar"/>
              </w:rPr>
              <w:t>90%</w:t>
            </w:r>
          </w:p>
        </w:tc>
        <w:tc>
          <w:tcPr>
            <w:tcW w:w="934" w:type="dxa"/>
            <w:shd w:val="clear" w:color="auto" w:fill="auto"/>
            <w:vAlign w:val="center"/>
          </w:tcPr>
          <w:p w14:paraId="2E8486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计划</w:t>
            </w:r>
          </w:p>
          <w:p w14:paraId="257805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bidi="ar"/>
              </w:rPr>
              <w:t>标准</w:t>
            </w:r>
          </w:p>
        </w:tc>
        <w:tc>
          <w:tcPr>
            <w:tcW w:w="1579" w:type="dxa"/>
            <w:shd w:val="clear" w:color="auto" w:fill="auto"/>
            <w:vAlign w:val="center"/>
          </w:tcPr>
          <w:p w14:paraId="7F7ED5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bidi="ar"/>
              </w:rPr>
              <w:t>显著程度</w:t>
            </w:r>
            <w:r>
              <w:rPr>
                <w:rFonts w:hint="default" w:ascii="Times New Roman" w:hAnsi="Times New Roman" w:eastAsia="仿宋" w:cs="Times New Roman"/>
                <w:color w:val="000000"/>
                <w:kern w:val="0"/>
                <w:sz w:val="24"/>
                <w:szCs w:val="24"/>
                <w:lang w:eastAsia="zh-CN" w:bidi="ar"/>
              </w:rPr>
              <w:t>≥</w:t>
            </w:r>
            <w:r>
              <w:rPr>
                <w:rFonts w:hint="default" w:ascii="Times New Roman" w:hAnsi="Times New Roman" w:eastAsia="仿宋" w:cs="Times New Roman"/>
                <w:color w:val="000000"/>
                <w:kern w:val="0"/>
                <w:sz w:val="24"/>
                <w:szCs w:val="24"/>
                <w:lang w:bidi="ar"/>
              </w:rPr>
              <w:t>90%时，得满分；显著程度＜90%，每下降1%，扣除5%权重分。</w:t>
            </w:r>
          </w:p>
        </w:tc>
        <w:tc>
          <w:tcPr>
            <w:tcW w:w="1278" w:type="dxa"/>
            <w:shd w:val="clear" w:color="auto" w:fill="auto"/>
            <w:vAlign w:val="center"/>
          </w:tcPr>
          <w:p w14:paraId="785512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eastAsia" w:ascii="Times New Roman" w:hAnsi="Times New Roman" w:eastAsia="仿宋" w:cs="Times New Roman"/>
                <w:color w:val="000000"/>
                <w:kern w:val="2"/>
                <w:sz w:val="24"/>
                <w:szCs w:val="24"/>
              </w:rPr>
            </w:pPr>
            <w:r>
              <w:rPr>
                <w:rFonts w:hint="default" w:ascii="Times New Roman" w:hAnsi="Times New Roman" w:eastAsia="仿宋" w:cs="Times New Roman"/>
                <w:color w:val="000000"/>
                <w:kern w:val="0"/>
                <w:sz w:val="24"/>
                <w:szCs w:val="24"/>
                <w:lang w:bidi="ar"/>
              </w:rPr>
              <w:t>调查问卷</w:t>
            </w:r>
          </w:p>
        </w:tc>
      </w:tr>
      <w:tr w14:paraId="71C2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6" w:hRule="atLeast"/>
        </w:trPr>
        <w:tc>
          <w:tcPr>
            <w:tcW w:w="716" w:type="dxa"/>
            <w:vMerge w:val="continue"/>
            <w:shd w:val="clear" w:color="auto" w:fill="auto"/>
            <w:vAlign w:val="center"/>
          </w:tcPr>
          <w:p w14:paraId="7F5F17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auto"/>
            <w:vAlign w:val="center"/>
          </w:tcPr>
          <w:p w14:paraId="6333643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经济效益</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3D7271D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kern w:val="0"/>
                <w:sz w:val="24"/>
                <w:szCs w:val="24"/>
              </w:rPr>
            </w:pPr>
            <w:r>
              <w:rPr>
                <w:rFonts w:hint="eastAsia" w:ascii="仿宋" w:hAnsi="仿宋" w:eastAsia="仿宋" w:cs="仿宋"/>
                <w:snapToGrid/>
                <w:kern w:val="0"/>
                <w:sz w:val="24"/>
                <w:szCs w:val="24"/>
                <w:lang w:val="en-US" w:eastAsia="zh-CN" w:bidi="ar"/>
              </w:rPr>
              <w:t>直接经济效益</w:t>
            </w:r>
          </w:p>
        </w:tc>
        <w:tc>
          <w:tcPr>
            <w:tcW w:w="586" w:type="dxa"/>
            <w:shd w:val="clear" w:color="auto" w:fill="auto"/>
            <w:vAlign w:val="center"/>
          </w:tcPr>
          <w:p w14:paraId="5351F70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kern w:val="2"/>
                <w:sz w:val="24"/>
                <w:szCs w:val="24"/>
              </w:rPr>
            </w:pPr>
            <w:r>
              <w:rPr>
                <w:rFonts w:hint="default" w:ascii="Times New Roman" w:hAnsi="Times New Roman" w:eastAsia="仿宋" w:cs="Times New Roman"/>
                <w:snapToGrid/>
                <w:kern w:val="0"/>
                <w:sz w:val="24"/>
                <w:szCs w:val="24"/>
                <w:lang w:val="en-US" w:eastAsia="zh-CN" w:bidi="ar"/>
              </w:rPr>
              <w:t>5</w:t>
            </w:r>
          </w:p>
        </w:tc>
        <w:tc>
          <w:tcPr>
            <w:tcW w:w="1817" w:type="dxa"/>
            <w:shd w:val="clear" w:color="auto" w:fill="auto"/>
            <w:vAlign w:val="center"/>
          </w:tcPr>
          <w:p w14:paraId="1B0A9F2C">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kern w:val="0"/>
                <w:sz w:val="24"/>
                <w:szCs w:val="24"/>
              </w:rPr>
            </w:pPr>
            <w:r>
              <w:rPr>
                <w:rFonts w:hint="eastAsia" w:ascii="仿宋" w:hAnsi="仿宋" w:eastAsia="仿宋" w:cs="仿宋"/>
                <w:snapToGrid/>
                <w:kern w:val="0"/>
                <w:sz w:val="24"/>
                <w:szCs w:val="24"/>
                <w:lang w:val="en-US" w:eastAsia="zh-CN" w:bidi="ar"/>
              </w:rPr>
              <w:t>使用专项债券项目对当地经济发展带来直接影响。</w:t>
            </w:r>
          </w:p>
        </w:tc>
        <w:tc>
          <w:tcPr>
            <w:tcW w:w="3180" w:type="dxa"/>
            <w:shd w:val="clear" w:color="auto" w:fill="auto"/>
            <w:vAlign w:val="center"/>
          </w:tcPr>
          <w:p w14:paraId="34089CA1">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kern w:val="2"/>
                <w:sz w:val="24"/>
                <w:szCs w:val="24"/>
              </w:rPr>
            </w:pPr>
            <w:r>
              <w:rPr>
                <w:rFonts w:hint="eastAsia" w:ascii="仿宋" w:hAnsi="仿宋" w:eastAsia="仿宋" w:cs="仿宋"/>
                <w:snapToGrid/>
                <w:kern w:val="2"/>
                <w:sz w:val="24"/>
                <w:szCs w:val="24"/>
                <w:lang w:val="en-US" w:eastAsia="zh-CN" w:bidi="ar"/>
              </w:rPr>
              <w:t>通过项目建设是否产生</w:t>
            </w:r>
            <w:r>
              <w:rPr>
                <w:rFonts w:hint="eastAsia" w:ascii="仿宋" w:hAnsi="仿宋" w:eastAsia="仿宋" w:cs="仿宋"/>
                <w:snapToGrid/>
                <w:kern w:val="0"/>
                <w:sz w:val="24"/>
                <w:szCs w:val="24"/>
                <w:lang w:val="en-US" w:eastAsia="zh-CN" w:bidi="ar"/>
              </w:rPr>
              <w:t>直接经济效益。</w:t>
            </w:r>
          </w:p>
        </w:tc>
        <w:tc>
          <w:tcPr>
            <w:tcW w:w="825" w:type="dxa"/>
            <w:shd w:val="clear" w:color="auto" w:fill="auto"/>
            <w:vAlign w:val="center"/>
          </w:tcPr>
          <w:p w14:paraId="6427E8E6">
            <w:pPr>
              <w:keepNext w:val="0"/>
              <w:keepLines w:val="0"/>
              <w:widowControl w:val="0"/>
              <w:suppressLineNumbers w:val="0"/>
              <w:autoSpaceDE w:val="0"/>
              <w:autoSpaceDN/>
              <w:adjustRightInd w:val="0"/>
              <w:snapToGrid w:val="0"/>
              <w:spacing w:before="0" w:beforeAutospacing="0" w:after="0" w:afterAutospacing="0"/>
              <w:ind w:left="0" w:right="0" w:firstLine="0" w:firstLineChars="0"/>
              <w:jc w:val="center"/>
              <w:rPr>
                <w:rFonts w:hint="eastAsia" w:ascii="Times New Roman" w:hAnsi="Times New Roman" w:eastAsia="仿宋" w:cs="Times New Roman"/>
                <w:kern w:val="0"/>
                <w:sz w:val="24"/>
                <w:szCs w:val="24"/>
              </w:rPr>
            </w:pPr>
            <w:r>
              <w:rPr>
                <w:rFonts w:hint="eastAsia" w:ascii="仿宋" w:hAnsi="仿宋" w:eastAsia="仿宋" w:cs="仿宋"/>
                <w:snapToGrid/>
                <w:kern w:val="0"/>
                <w:sz w:val="24"/>
                <w:szCs w:val="24"/>
                <w:lang w:val="en-US" w:eastAsia="zh-CN" w:bidi="ar"/>
              </w:rPr>
              <w:t>是</w:t>
            </w:r>
            <w:r>
              <w:rPr>
                <w:rFonts w:hint="default" w:ascii="Times New Roman" w:hAnsi="Times New Roman" w:eastAsia="仿宋" w:cs="Times New Roman"/>
                <w:snapToGrid/>
                <w:kern w:val="0"/>
                <w:sz w:val="24"/>
                <w:szCs w:val="24"/>
                <w:lang w:val="en-US" w:eastAsia="zh-CN" w:bidi="ar"/>
              </w:rPr>
              <w:t>/</w:t>
            </w:r>
            <w:r>
              <w:rPr>
                <w:rFonts w:hint="eastAsia" w:ascii="仿宋" w:hAnsi="仿宋" w:eastAsia="仿宋" w:cs="仿宋"/>
                <w:snapToGrid/>
                <w:kern w:val="0"/>
                <w:sz w:val="24"/>
                <w:szCs w:val="24"/>
                <w:lang w:val="en-US" w:eastAsia="zh-CN" w:bidi="ar"/>
              </w:rPr>
              <w:t>否</w:t>
            </w:r>
          </w:p>
        </w:tc>
        <w:tc>
          <w:tcPr>
            <w:tcW w:w="934" w:type="dxa"/>
            <w:shd w:val="clear" w:color="auto" w:fill="auto"/>
            <w:vAlign w:val="center"/>
          </w:tcPr>
          <w:p w14:paraId="1580D288">
            <w:pPr>
              <w:keepNext w:val="0"/>
              <w:keepLines w:val="0"/>
              <w:widowControl w:val="0"/>
              <w:suppressLineNumbers w:val="0"/>
              <w:autoSpaceDE w:val="0"/>
              <w:autoSpaceDN/>
              <w:adjustRightInd w:val="0"/>
              <w:snapToGrid w:val="0"/>
              <w:spacing w:before="0" w:beforeAutospacing="0" w:after="0" w:afterAutospacing="0"/>
              <w:ind w:left="0" w:right="0" w:firstLine="0" w:firstLineChars="0"/>
              <w:jc w:val="center"/>
              <w:rPr>
                <w:rFonts w:hint="eastAsia" w:ascii="Times New Roman" w:hAnsi="Times New Roman" w:eastAsia="仿宋" w:cs="Times New Roman"/>
                <w:kern w:val="0"/>
                <w:sz w:val="24"/>
                <w:szCs w:val="24"/>
              </w:rPr>
            </w:pPr>
            <w:r>
              <w:rPr>
                <w:rFonts w:hint="eastAsia" w:ascii="仿宋" w:hAnsi="仿宋" w:eastAsia="仿宋" w:cs="仿宋"/>
                <w:snapToGrid/>
                <w:kern w:val="0"/>
                <w:sz w:val="24"/>
                <w:szCs w:val="24"/>
                <w:lang w:val="en-US" w:eastAsia="zh-CN" w:bidi="ar"/>
              </w:rPr>
              <w:t>经财政同意，将</w:t>
            </w:r>
            <w:r>
              <w:rPr>
                <w:rFonts w:hint="default" w:ascii="Times New Roman" w:hAnsi="Times New Roman" w:eastAsia="仿宋" w:cs="Times New Roman"/>
                <w:snapToGrid/>
                <w:kern w:val="0"/>
                <w:sz w:val="24"/>
                <w:szCs w:val="24"/>
                <w:lang w:val="en-US" w:eastAsia="zh-CN" w:bidi="ar"/>
              </w:rPr>
              <w:t>“</w:t>
            </w:r>
            <w:r>
              <w:rPr>
                <w:rFonts w:hint="eastAsia" w:ascii="仿宋" w:hAnsi="仿宋" w:eastAsia="仿宋" w:cs="仿宋"/>
                <w:snapToGrid/>
                <w:kern w:val="0"/>
                <w:sz w:val="24"/>
                <w:szCs w:val="24"/>
                <w:lang w:val="en-US" w:eastAsia="zh-CN" w:bidi="ar"/>
              </w:rPr>
              <w:t>是</w:t>
            </w:r>
            <w:r>
              <w:rPr>
                <w:rFonts w:hint="default" w:ascii="Times New Roman" w:hAnsi="Times New Roman" w:eastAsia="仿宋" w:cs="Times New Roman"/>
                <w:snapToGrid/>
                <w:kern w:val="0"/>
                <w:sz w:val="24"/>
                <w:szCs w:val="24"/>
                <w:lang w:val="en-US" w:eastAsia="zh-CN" w:bidi="ar"/>
              </w:rPr>
              <w:t>/</w:t>
            </w:r>
            <w:r>
              <w:rPr>
                <w:rFonts w:hint="eastAsia" w:ascii="仿宋" w:hAnsi="仿宋" w:eastAsia="仿宋" w:cs="仿宋"/>
                <w:snapToGrid/>
                <w:kern w:val="0"/>
                <w:sz w:val="24"/>
                <w:szCs w:val="24"/>
                <w:lang w:val="en-US" w:eastAsia="zh-CN" w:bidi="ar"/>
              </w:rPr>
              <w:t>否</w:t>
            </w:r>
            <w:r>
              <w:rPr>
                <w:rFonts w:hint="default" w:ascii="Times New Roman" w:hAnsi="Times New Roman" w:eastAsia="仿宋" w:cs="Times New Roman"/>
                <w:snapToGrid/>
                <w:kern w:val="0"/>
                <w:sz w:val="24"/>
                <w:szCs w:val="24"/>
                <w:lang w:val="en-US" w:eastAsia="zh-CN" w:bidi="ar"/>
              </w:rPr>
              <w:t>”</w:t>
            </w:r>
            <w:r>
              <w:rPr>
                <w:rFonts w:hint="eastAsia" w:ascii="仿宋" w:hAnsi="仿宋" w:eastAsia="仿宋" w:cs="仿宋"/>
                <w:snapToGrid/>
                <w:kern w:val="0"/>
                <w:sz w:val="24"/>
                <w:szCs w:val="24"/>
                <w:lang w:val="en-US" w:eastAsia="zh-CN" w:bidi="ar"/>
              </w:rPr>
              <w:t>作为评价标准</w:t>
            </w:r>
          </w:p>
        </w:tc>
        <w:tc>
          <w:tcPr>
            <w:tcW w:w="1579" w:type="dxa"/>
            <w:shd w:val="clear" w:color="auto" w:fill="auto"/>
            <w:vAlign w:val="center"/>
          </w:tcPr>
          <w:p w14:paraId="2DEE600B">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kern w:val="2"/>
                <w:sz w:val="24"/>
                <w:szCs w:val="24"/>
              </w:rPr>
            </w:pPr>
            <w:r>
              <w:rPr>
                <w:rFonts w:hint="eastAsia" w:ascii="仿宋" w:hAnsi="仿宋" w:eastAsia="仿宋" w:cs="仿宋"/>
                <w:snapToGrid/>
                <w:kern w:val="0"/>
                <w:sz w:val="24"/>
                <w:szCs w:val="24"/>
                <w:lang w:val="en-US" w:eastAsia="zh-CN" w:bidi="ar"/>
              </w:rPr>
              <w:t>满足条件得满分，否则不得分。</w:t>
            </w:r>
          </w:p>
        </w:tc>
        <w:tc>
          <w:tcPr>
            <w:tcW w:w="1278" w:type="dxa"/>
            <w:shd w:val="clear" w:color="auto" w:fill="auto"/>
            <w:vAlign w:val="center"/>
          </w:tcPr>
          <w:p w14:paraId="772185F8">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kern w:val="0"/>
                <w:sz w:val="24"/>
                <w:szCs w:val="24"/>
              </w:rPr>
            </w:pPr>
            <w:r>
              <w:rPr>
                <w:rFonts w:hint="eastAsia" w:ascii="仿宋" w:hAnsi="仿宋" w:eastAsia="仿宋" w:cs="仿宋"/>
                <w:snapToGrid/>
                <w:kern w:val="0"/>
                <w:sz w:val="24"/>
                <w:szCs w:val="24"/>
                <w:lang w:val="en-US" w:eastAsia="zh-CN" w:bidi="ar"/>
              </w:rPr>
              <w:t>案卷研究、平衡方案、框架协议等</w:t>
            </w:r>
          </w:p>
        </w:tc>
      </w:tr>
      <w:tr w14:paraId="10EC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716" w:type="dxa"/>
            <w:vMerge w:val="continue"/>
            <w:shd w:val="clear" w:color="auto" w:fill="auto"/>
            <w:vAlign w:val="center"/>
          </w:tcPr>
          <w:p w14:paraId="3CA960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auto"/>
            <w:vAlign w:val="center"/>
          </w:tcPr>
          <w:p w14:paraId="4649CCA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满意度</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分）</w:t>
            </w:r>
          </w:p>
        </w:tc>
        <w:tc>
          <w:tcPr>
            <w:tcW w:w="705" w:type="dxa"/>
            <w:shd w:val="clear" w:color="auto" w:fill="auto"/>
            <w:vAlign w:val="center"/>
          </w:tcPr>
          <w:p w14:paraId="68A53588">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受益群体满意度</w:t>
            </w:r>
          </w:p>
        </w:tc>
        <w:tc>
          <w:tcPr>
            <w:tcW w:w="586" w:type="dxa"/>
            <w:shd w:val="clear" w:color="auto" w:fill="auto"/>
            <w:vAlign w:val="center"/>
          </w:tcPr>
          <w:p w14:paraId="11ACE9F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0"/>
                <w:szCs w:val="20"/>
              </w:rPr>
            </w:pPr>
            <w:r>
              <w:rPr>
                <w:rFonts w:hint="default" w:ascii="Times New Roman" w:hAnsi="Times New Roman" w:eastAsia="仿宋" w:cs="Times New Roman"/>
                <w:snapToGrid/>
                <w:color w:val="000000"/>
                <w:kern w:val="0"/>
                <w:sz w:val="24"/>
                <w:szCs w:val="24"/>
                <w:lang w:val="en-US" w:eastAsia="zh-CN" w:bidi="ar"/>
              </w:rPr>
              <w:t>5</w:t>
            </w:r>
          </w:p>
        </w:tc>
        <w:tc>
          <w:tcPr>
            <w:tcW w:w="1817" w:type="dxa"/>
            <w:shd w:val="clear" w:color="auto" w:fill="auto"/>
            <w:vAlign w:val="center"/>
          </w:tcPr>
          <w:p w14:paraId="357CF425">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项目受益群体对项目实施效果的满意程度。</w:t>
            </w:r>
          </w:p>
        </w:tc>
        <w:tc>
          <w:tcPr>
            <w:tcW w:w="3180" w:type="dxa"/>
            <w:shd w:val="clear" w:color="auto" w:fill="auto"/>
            <w:vAlign w:val="center"/>
          </w:tcPr>
          <w:p w14:paraId="6E7E7415">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满意度采用五段式选项来体现被调查对象的意见，即设置</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非常满意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比较满意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不太满意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和</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非常不满意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五个等级。赋值分别为</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3</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，根据等概率法计算满意程度，计算公式为：</w:t>
            </w:r>
          </w:p>
          <w:p w14:paraId="5E7D7671">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每题满意度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非常满意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个数</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比较满意</w:t>
            </w:r>
            <w:r>
              <w:rPr>
                <w:rFonts w:hint="default" w:ascii="Times New Roman" w:hAnsi="Times New Roman" w:eastAsia="仿宋" w:cs="Times New Roman"/>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满意</w:t>
            </w:r>
            <w:r>
              <w:rPr>
                <w:rFonts w:hint="default" w:ascii="Times New Roman" w:hAnsi="Times New Roman" w:eastAsia="仿宋" w:cs="Times New Roman"/>
                <w:snapToGrid/>
                <w:color w:val="000000"/>
                <w:kern w:val="0"/>
                <w:sz w:val="24"/>
                <w:szCs w:val="24"/>
                <w:lang w:val="en-US" w:eastAsia="zh-CN" w:bidi="ar"/>
              </w:rPr>
              <w:t>”*3+“</w:t>
            </w:r>
            <w:r>
              <w:rPr>
                <w:rFonts w:hint="eastAsia" w:ascii="仿宋" w:hAnsi="仿宋" w:eastAsia="仿宋" w:cs="仿宋"/>
                <w:snapToGrid/>
                <w:color w:val="000000"/>
                <w:kern w:val="0"/>
                <w:sz w:val="24"/>
                <w:szCs w:val="24"/>
                <w:lang w:val="en-US" w:eastAsia="zh-CN" w:bidi="ar"/>
              </w:rPr>
              <w:t>不太满意</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非常不满意</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（全部回答个数</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p w14:paraId="0A5CAE77">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总体满意度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各题满意度的算术（或加权）平均值。</w:t>
            </w:r>
          </w:p>
        </w:tc>
        <w:tc>
          <w:tcPr>
            <w:tcW w:w="825" w:type="dxa"/>
            <w:shd w:val="clear" w:color="auto" w:fill="auto"/>
            <w:vAlign w:val="center"/>
          </w:tcPr>
          <w:p w14:paraId="78920042">
            <w:pPr>
              <w:keepNext w:val="0"/>
              <w:keepLines w:val="0"/>
              <w:widowControl w:val="0"/>
              <w:suppressLineNumbers w:val="0"/>
              <w:autoSpaceDE w:val="0"/>
              <w:autoSpaceDN/>
              <w:adjustRightInd w:val="0"/>
              <w:snapToGrid w:val="0"/>
              <w:spacing w:before="0" w:beforeAutospacing="0" w:after="0" w:afterAutospacing="0"/>
              <w:ind w:left="0" w:right="0" w:firstLine="0" w:firstLineChars="0"/>
              <w:jc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90%</w:t>
            </w:r>
          </w:p>
        </w:tc>
        <w:tc>
          <w:tcPr>
            <w:tcW w:w="934" w:type="dxa"/>
            <w:shd w:val="clear" w:color="auto" w:fill="auto"/>
            <w:vAlign w:val="center"/>
          </w:tcPr>
          <w:p w14:paraId="10B3FBD1">
            <w:pPr>
              <w:keepNext w:val="0"/>
              <w:keepLines w:val="0"/>
              <w:widowControl w:val="0"/>
              <w:suppressLineNumbers w:val="0"/>
              <w:autoSpaceDE w:val="0"/>
              <w:autoSpaceDN/>
              <w:adjustRightInd w:val="0"/>
              <w:snapToGrid w:val="0"/>
              <w:spacing w:before="0" w:beforeAutospacing="0" w:after="0" w:afterAutospacing="0"/>
              <w:ind w:left="0" w:right="0" w:firstLine="0" w:firstLineChars="0"/>
              <w:jc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计划</w:t>
            </w:r>
          </w:p>
          <w:p w14:paraId="14106A99">
            <w:pPr>
              <w:keepNext w:val="0"/>
              <w:keepLines w:val="0"/>
              <w:widowControl w:val="0"/>
              <w:suppressLineNumbers w:val="0"/>
              <w:autoSpaceDE w:val="0"/>
              <w:autoSpaceDN/>
              <w:adjustRightInd w:val="0"/>
              <w:snapToGrid w:val="0"/>
              <w:spacing w:before="0" w:beforeAutospacing="0" w:after="0" w:afterAutospacing="0"/>
              <w:ind w:left="0" w:right="0" w:firstLine="0" w:firstLineChars="0"/>
              <w:jc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标准</w:t>
            </w:r>
          </w:p>
        </w:tc>
        <w:tc>
          <w:tcPr>
            <w:tcW w:w="1579" w:type="dxa"/>
            <w:shd w:val="clear" w:color="auto" w:fill="auto"/>
            <w:vAlign w:val="center"/>
          </w:tcPr>
          <w:p w14:paraId="5EBACEBB">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2"/>
                <w:sz w:val="24"/>
                <w:szCs w:val="24"/>
                <w:lang w:val="en-US" w:eastAsia="zh-CN" w:bidi="ar"/>
              </w:rPr>
              <w:t>满意度≥</w:t>
            </w:r>
            <w:r>
              <w:rPr>
                <w:rFonts w:hint="default" w:ascii="Times New Roman" w:hAnsi="Times New Roman" w:eastAsia="仿宋" w:cs="Times New Roman"/>
                <w:snapToGrid/>
                <w:color w:val="000000"/>
                <w:kern w:val="2"/>
                <w:sz w:val="24"/>
                <w:szCs w:val="24"/>
                <w:lang w:val="en-US" w:eastAsia="zh-CN" w:bidi="ar"/>
              </w:rPr>
              <w:t>90%</w:t>
            </w:r>
            <w:r>
              <w:rPr>
                <w:rFonts w:hint="eastAsia" w:ascii="仿宋" w:hAnsi="仿宋" w:eastAsia="仿宋" w:cs="仿宋"/>
                <w:snapToGrid/>
                <w:color w:val="000000"/>
                <w:kern w:val="2"/>
                <w:sz w:val="24"/>
                <w:szCs w:val="24"/>
                <w:lang w:val="en-US" w:eastAsia="zh-CN" w:bidi="ar"/>
              </w:rPr>
              <w:t>得满分，满意度＜</w:t>
            </w:r>
            <w:r>
              <w:rPr>
                <w:rFonts w:hint="default" w:ascii="Times New Roman" w:hAnsi="Times New Roman" w:eastAsia="仿宋" w:cs="Times New Roman"/>
                <w:snapToGrid/>
                <w:color w:val="000000"/>
                <w:kern w:val="2"/>
                <w:sz w:val="24"/>
                <w:szCs w:val="24"/>
                <w:lang w:val="en-US" w:eastAsia="zh-CN" w:bidi="ar"/>
              </w:rPr>
              <w:t>90%</w:t>
            </w:r>
            <w:r>
              <w:rPr>
                <w:rFonts w:hint="eastAsia" w:ascii="仿宋" w:hAnsi="仿宋" w:eastAsia="仿宋" w:cs="仿宋"/>
                <w:snapToGrid/>
                <w:color w:val="000000"/>
                <w:kern w:val="2"/>
                <w:sz w:val="24"/>
                <w:szCs w:val="24"/>
                <w:lang w:val="en-US" w:eastAsia="zh-CN" w:bidi="ar"/>
              </w:rPr>
              <w:t>，每下降</w:t>
            </w:r>
            <w:r>
              <w:rPr>
                <w:rFonts w:hint="default" w:ascii="Times New Roman" w:hAnsi="Times New Roman" w:eastAsia="仿宋" w:cs="Times New Roman"/>
                <w:snapToGrid/>
                <w:color w:val="000000"/>
                <w:kern w:val="2"/>
                <w:sz w:val="24"/>
                <w:szCs w:val="24"/>
                <w:lang w:val="en-US" w:eastAsia="zh-CN" w:bidi="ar"/>
              </w:rPr>
              <w:t>1%</w:t>
            </w:r>
            <w:r>
              <w:rPr>
                <w:rFonts w:hint="eastAsia" w:ascii="仿宋" w:hAnsi="仿宋" w:eastAsia="仿宋" w:cs="仿宋"/>
                <w:snapToGrid/>
                <w:color w:val="000000"/>
                <w:kern w:val="2"/>
                <w:sz w:val="24"/>
                <w:szCs w:val="24"/>
                <w:lang w:val="en-US" w:eastAsia="zh-CN" w:bidi="ar"/>
              </w:rPr>
              <w:t>，扣除</w:t>
            </w:r>
            <w:r>
              <w:rPr>
                <w:rFonts w:hint="default" w:ascii="Times New Roman" w:hAnsi="Times New Roman" w:eastAsia="仿宋" w:cs="Times New Roman"/>
                <w:snapToGrid/>
                <w:color w:val="000000"/>
                <w:kern w:val="2"/>
                <w:sz w:val="24"/>
                <w:szCs w:val="24"/>
                <w:lang w:val="en-US" w:eastAsia="zh-CN" w:bidi="ar"/>
              </w:rPr>
              <w:t>5%</w:t>
            </w:r>
            <w:r>
              <w:rPr>
                <w:rFonts w:hint="eastAsia" w:ascii="仿宋" w:hAnsi="仿宋" w:eastAsia="仿宋" w:cs="仿宋"/>
                <w:snapToGrid/>
                <w:color w:val="000000"/>
                <w:kern w:val="2"/>
                <w:sz w:val="24"/>
                <w:szCs w:val="24"/>
                <w:lang w:val="en-US" w:eastAsia="zh-CN" w:bidi="ar"/>
              </w:rPr>
              <w:t>权重分。</w:t>
            </w:r>
          </w:p>
        </w:tc>
        <w:tc>
          <w:tcPr>
            <w:tcW w:w="1278" w:type="dxa"/>
            <w:shd w:val="clear" w:color="auto" w:fill="auto"/>
            <w:vAlign w:val="center"/>
          </w:tcPr>
          <w:p w14:paraId="2E34A9ED">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color w:val="000000"/>
                <w:kern w:val="2"/>
                <w:sz w:val="24"/>
                <w:szCs w:val="24"/>
              </w:rPr>
            </w:pPr>
            <w:r>
              <w:rPr>
                <w:rFonts w:hint="eastAsia" w:ascii="仿宋" w:hAnsi="仿宋" w:eastAsia="仿宋" w:cs="仿宋"/>
                <w:snapToGrid/>
                <w:color w:val="000000"/>
                <w:kern w:val="2"/>
                <w:sz w:val="24"/>
                <w:szCs w:val="24"/>
                <w:lang w:val="en-US" w:eastAsia="zh-CN" w:bidi="ar"/>
              </w:rPr>
              <w:t>调查问卷</w:t>
            </w:r>
          </w:p>
        </w:tc>
      </w:tr>
    </w:tbl>
    <w:p w14:paraId="1C5F9EAA">
      <w:pPr>
        <w:rPr>
          <w:rFonts w:hint="default"/>
          <w:lang w:val="en-US" w:eastAsia="zh-CN"/>
        </w:rPr>
      </w:pPr>
    </w:p>
    <w:p w14:paraId="5F80FBF7">
      <w:pPr>
        <w:pStyle w:val="3"/>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val="en-US" w:eastAsia="zh-CN" w:bidi="ar"/>
        </w:rPr>
        <w:sectPr>
          <w:pgSz w:w="16838" w:h="11906" w:orient="landscape"/>
          <w:pgMar w:top="1080" w:right="1440" w:bottom="1080" w:left="1440" w:header="851" w:footer="992" w:gutter="0"/>
          <w:pgNumType w:fmt="decimal"/>
          <w:cols w:space="425" w:num="1"/>
          <w:docGrid w:type="lines" w:linePitch="312" w:charSpace="0"/>
        </w:sectPr>
      </w:pPr>
      <w:bookmarkStart w:id="107" w:name="_Toc10314"/>
    </w:p>
    <w:p w14:paraId="5FEE9F68">
      <w:pPr>
        <w:pStyle w:val="3"/>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eastAsia" w:ascii="黑体" w:hAnsi="黑体" w:eastAsia="黑体" w:cs="黑体"/>
          <w:b w:val="0"/>
          <w:bCs w:val="0"/>
          <w:highlight w:val="none"/>
          <w:lang w:val="en-US" w:eastAsia="zh-CN" w:bidi="ar"/>
        </w:rPr>
      </w:pPr>
      <w:bookmarkStart w:id="108" w:name="_Toc13232"/>
      <w:r>
        <w:rPr>
          <w:rFonts w:hint="default" w:ascii="黑体" w:hAnsi="黑体" w:eastAsia="黑体" w:cs="黑体"/>
          <w:b w:val="0"/>
          <w:bCs w:val="0"/>
          <w:highlight w:val="none"/>
          <w:lang w:val="en-US" w:eastAsia="zh-CN" w:bidi="ar"/>
        </w:rPr>
        <w:t>附件</w:t>
      </w:r>
      <w:r>
        <w:rPr>
          <w:rFonts w:hint="eastAsia" w:ascii="黑体" w:hAnsi="黑体" w:eastAsia="黑体" w:cs="黑体"/>
          <w:b w:val="0"/>
          <w:bCs w:val="0"/>
          <w:highlight w:val="none"/>
          <w:lang w:val="en-US" w:eastAsia="zh-CN" w:bidi="ar"/>
        </w:rPr>
        <w:t>2</w:t>
      </w:r>
      <w:r>
        <w:rPr>
          <w:rFonts w:hint="default" w:ascii="黑体" w:hAnsi="黑体" w:eastAsia="黑体" w:cs="黑体"/>
          <w:b w:val="0"/>
          <w:bCs w:val="0"/>
          <w:highlight w:val="none"/>
          <w:lang w:val="en-US" w:eastAsia="zh-CN" w:bidi="ar"/>
        </w:rPr>
        <w:t>：绩效评价评分表</w:t>
      </w:r>
      <w:bookmarkEnd w:id="107"/>
      <w:bookmarkEnd w:id="108"/>
    </w:p>
    <w:tbl>
      <w:tblPr>
        <w:tblStyle w:val="17"/>
        <w:tblW w:w="47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1365"/>
        <w:gridCol w:w="777"/>
        <w:gridCol w:w="855"/>
        <w:gridCol w:w="5365"/>
        <w:gridCol w:w="1701"/>
        <w:gridCol w:w="1050"/>
        <w:gridCol w:w="1683"/>
      </w:tblGrid>
      <w:tr w14:paraId="58FF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blHeader/>
        </w:trPr>
        <w:tc>
          <w:tcPr>
            <w:tcW w:w="789" w:type="dxa"/>
            <w:tcBorders>
              <w:bottom w:val="single" w:color="auto" w:sz="4" w:space="0"/>
              <w:right w:val="single" w:color="auto" w:sz="4" w:space="0"/>
            </w:tcBorders>
            <w:shd w:val="clear" w:color="auto" w:fill="C8C8C8" w:themeFill="accent3" w:themeFillTint="99"/>
            <w:vAlign w:val="center"/>
          </w:tcPr>
          <w:p w14:paraId="6EB0BF6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一级指标</w:t>
            </w:r>
          </w:p>
        </w:tc>
        <w:tc>
          <w:tcPr>
            <w:tcW w:w="1365" w:type="dxa"/>
            <w:tcBorders>
              <w:left w:val="single" w:color="auto" w:sz="4" w:space="0"/>
              <w:bottom w:val="single" w:color="auto" w:sz="4" w:space="0"/>
              <w:right w:val="single" w:color="auto" w:sz="4" w:space="0"/>
            </w:tcBorders>
            <w:shd w:val="clear" w:color="auto" w:fill="C8C8C8" w:themeFill="accent3" w:themeFillTint="99"/>
            <w:vAlign w:val="center"/>
          </w:tcPr>
          <w:p w14:paraId="3B3DEF2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二级指标</w:t>
            </w:r>
          </w:p>
        </w:tc>
        <w:tc>
          <w:tcPr>
            <w:tcW w:w="777" w:type="dxa"/>
            <w:tcBorders>
              <w:left w:val="single" w:color="auto" w:sz="4" w:space="0"/>
              <w:bottom w:val="single" w:color="auto" w:sz="4" w:space="0"/>
              <w:right w:val="single" w:color="auto" w:sz="4" w:space="0"/>
            </w:tcBorders>
            <w:shd w:val="clear" w:color="auto" w:fill="C8C8C8" w:themeFill="accent3" w:themeFillTint="99"/>
            <w:vAlign w:val="center"/>
          </w:tcPr>
          <w:p w14:paraId="22440B8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三级指标</w:t>
            </w:r>
          </w:p>
        </w:tc>
        <w:tc>
          <w:tcPr>
            <w:tcW w:w="855" w:type="dxa"/>
            <w:tcBorders>
              <w:left w:val="single" w:color="auto" w:sz="4" w:space="0"/>
              <w:bottom w:val="single" w:color="auto" w:sz="4" w:space="0"/>
              <w:right w:val="single" w:color="auto" w:sz="4" w:space="0"/>
            </w:tcBorders>
            <w:shd w:val="clear" w:color="auto" w:fill="C8C8C8" w:themeFill="accent3" w:themeFillTint="99"/>
            <w:vAlign w:val="center"/>
          </w:tcPr>
          <w:p w14:paraId="4C80AE2A">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权重</w:t>
            </w:r>
          </w:p>
        </w:tc>
        <w:tc>
          <w:tcPr>
            <w:tcW w:w="5365" w:type="dxa"/>
            <w:tcBorders>
              <w:left w:val="single" w:color="auto" w:sz="4" w:space="0"/>
              <w:bottom w:val="single" w:color="auto" w:sz="4" w:space="0"/>
              <w:right w:val="single" w:color="auto" w:sz="4" w:space="0"/>
            </w:tcBorders>
            <w:shd w:val="clear" w:color="auto" w:fill="C8C8C8" w:themeFill="accent3" w:themeFillTint="99"/>
            <w:vAlign w:val="center"/>
          </w:tcPr>
          <w:p w14:paraId="00750EE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指标公式</w:t>
            </w:r>
          </w:p>
        </w:tc>
        <w:tc>
          <w:tcPr>
            <w:tcW w:w="1701" w:type="dxa"/>
            <w:tcBorders>
              <w:left w:val="single" w:color="auto" w:sz="4" w:space="0"/>
              <w:bottom w:val="single" w:color="auto" w:sz="4" w:space="0"/>
              <w:right w:val="single" w:color="auto" w:sz="4" w:space="0"/>
            </w:tcBorders>
            <w:shd w:val="clear" w:color="auto" w:fill="C8C8C8" w:themeFill="accent3" w:themeFillTint="99"/>
            <w:vAlign w:val="center"/>
          </w:tcPr>
          <w:p w14:paraId="0206B52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b/>
                <w:bCs/>
                <w:color w:val="000000"/>
                <w:kern w:val="2"/>
                <w:sz w:val="24"/>
                <w:szCs w:val="24"/>
              </w:rPr>
            </w:pPr>
            <w:r>
              <w:rPr>
                <w:rFonts w:hint="eastAsia" w:ascii="仿宋" w:hAnsi="仿宋" w:eastAsia="仿宋" w:cs="仿宋"/>
                <w:b/>
                <w:bCs/>
                <w:snapToGrid/>
                <w:color w:val="000000"/>
                <w:kern w:val="0"/>
                <w:sz w:val="24"/>
                <w:szCs w:val="24"/>
                <w:lang w:val="en-US" w:eastAsia="zh-CN" w:bidi="ar"/>
              </w:rPr>
              <w:t>评分标准</w:t>
            </w:r>
          </w:p>
        </w:tc>
        <w:tc>
          <w:tcPr>
            <w:tcW w:w="1050" w:type="dxa"/>
            <w:tcBorders>
              <w:left w:val="single" w:color="auto" w:sz="4" w:space="0"/>
              <w:bottom w:val="single" w:color="auto" w:sz="4" w:space="0"/>
              <w:right w:val="single" w:color="auto" w:sz="4" w:space="0"/>
            </w:tcBorders>
            <w:shd w:val="clear" w:color="auto" w:fill="C8C8C8" w:themeFill="accent3" w:themeFillTint="99"/>
            <w:vAlign w:val="center"/>
          </w:tcPr>
          <w:p w14:paraId="1802380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仿宋" w:hAnsi="仿宋" w:eastAsia="仿宋" w:cs="仿宋"/>
                <w:b/>
                <w:bCs/>
                <w:snapToGrid/>
                <w:color w:val="000000"/>
                <w:kern w:val="0"/>
                <w:sz w:val="24"/>
                <w:szCs w:val="24"/>
                <w:lang w:val="en-US" w:eastAsia="zh-CN" w:bidi="ar"/>
              </w:rPr>
            </w:pPr>
            <w:r>
              <w:rPr>
                <w:rFonts w:hint="eastAsia" w:ascii="仿宋" w:hAnsi="仿宋" w:eastAsia="仿宋" w:cs="仿宋"/>
                <w:b/>
                <w:bCs/>
                <w:snapToGrid/>
                <w:color w:val="000000"/>
                <w:kern w:val="0"/>
                <w:sz w:val="24"/>
                <w:szCs w:val="24"/>
                <w:lang w:val="en-US" w:eastAsia="zh-CN" w:bidi="ar"/>
              </w:rPr>
              <w:t>得分</w:t>
            </w:r>
          </w:p>
        </w:tc>
        <w:tc>
          <w:tcPr>
            <w:tcW w:w="1683" w:type="dxa"/>
            <w:tcBorders>
              <w:left w:val="single" w:color="auto" w:sz="4" w:space="0"/>
              <w:bottom w:val="single" w:color="auto" w:sz="4" w:space="0"/>
            </w:tcBorders>
            <w:shd w:val="clear" w:color="auto" w:fill="C8C8C8" w:themeFill="accent3" w:themeFillTint="99"/>
            <w:vAlign w:val="center"/>
          </w:tcPr>
          <w:p w14:paraId="79D50A9A">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仿宋" w:hAnsi="仿宋" w:eastAsia="仿宋" w:cs="仿宋"/>
                <w:b/>
                <w:bCs/>
                <w:snapToGrid/>
                <w:color w:val="000000"/>
                <w:kern w:val="0"/>
                <w:sz w:val="24"/>
                <w:szCs w:val="24"/>
                <w:lang w:val="en-US" w:eastAsia="zh-CN" w:bidi="ar"/>
              </w:rPr>
            </w:pPr>
            <w:r>
              <w:rPr>
                <w:rFonts w:hint="eastAsia" w:ascii="仿宋" w:hAnsi="仿宋" w:eastAsia="仿宋" w:cs="仿宋"/>
                <w:b/>
                <w:bCs/>
                <w:snapToGrid/>
                <w:color w:val="000000"/>
                <w:kern w:val="0"/>
                <w:sz w:val="24"/>
                <w:szCs w:val="24"/>
                <w:lang w:val="en-US" w:eastAsia="zh-CN" w:bidi="ar"/>
              </w:rPr>
              <w:t>扣分原因</w:t>
            </w:r>
          </w:p>
        </w:tc>
      </w:tr>
      <w:tr w14:paraId="3CBD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9" w:type="dxa"/>
            <w:vMerge w:val="restart"/>
            <w:tcBorders>
              <w:top w:val="nil"/>
              <w:bottom w:val="single" w:color="auto" w:sz="4" w:space="0"/>
              <w:right w:val="single" w:color="auto" w:sz="4" w:space="0"/>
            </w:tcBorders>
            <w:shd w:val="clear" w:color="auto" w:fill="auto"/>
            <w:vAlign w:val="center"/>
          </w:tcPr>
          <w:p w14:paraId="3403AE5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决策</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10</w:t>
            </w:r>
            <w:r>
              <w:rPr>
                <w:rFonts w:hint="eastAsia" w:ascii="仿宋" w:hAnsi="仿宋" w:eastAsia="仿宋" w:cs="仿宋"/>
                <w:snapToGrid/>
                <w:color w:val="000000"/>
                <w:kern w:val="0"/>
                <w:sz w:val="24"/>
                <w:szCs w:val="24"/>
                <w:lang w:val="en-US" w:eastAsia="zh-CN" w:bidi="ar"/>
              </w:rPr>
              <w:t>分）</w:t>
            </w:r>
          </w:p>
        </w:tc>
        <w:tc>
          <w:tcPr>
            <w:tcW w:w="1365" w:type="dxa"/>
            <w:vMerge w:val="restart"/>
            <w:tcBorders>
              <w:top w:val="nil"/>
              <w:left w:val="single" w:color="auto" w:sz="4" w:space="0"/>
              <w:bottom w:val="single" w:color="auto" w:sz="4" w:space="0"/>
              <w:right w:val="single" w:color="auto" w:sz="4" w:space="0"/>
            </w:tcBorders>
            <w:shd w:val="clear" w:color="auto" w:fill="auto"/>
            <w:vAlign w:val="center"/>
          </w:tcPr>
          <w:p w14:paraId="5634C53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新增地方政府专项债券项目申报的政策依据与程序规范性（</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83D969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立项依据充分性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6FCFDE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1</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6A8AFDE3">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项目是否符合专项债券支持领域和方向情况；</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项目立项审批是否符合国家法律法规、国民经济发展规划和市县区城市发展规划；</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项目是否列入政府投资计划和中长期财政规划；</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是否纳入财政部地方政府债务管理系统项目库和发改委国家重大项目建设库；</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项目资金是否纳入政府性基金预算管理。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56025AE">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0.2</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B56830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1</w:t>
            </w:r>
          </w:p>
        </w:tc>
        <w:tc>
          <w:tcPr>
            <w:tcW w:w="1683" w:type="dxa"/>
            <w:tcBorders>
              <w:top w:val="single" w:color="auto" w:sz="4" w:space="0"/>
              <w:left w:val="single" w:color="auto" w:sz="4" w:space="0"/>
              <w:bottom w:val="single" w:color="auto" w:sz="4" w:space="0"/>
            </w:tcBorders>
            <w:shd w:val="clear" w:color="auto" w:fill="auto"/>
            <w:vAlign w:val="center"/>
          </w:tcPr>
          <w:p w14:paraId="560313F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15EE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9" w:type="dxa"/>
            <w:vMerge w:val="continue"/>
            <w:tcBorders>
              <w:top w:val="nil"/>
              <w:bottom w:val="single" w:color="auto" w:sz="4" w:space="0"/>
              <w:right w:val="single" w:color="auto" w:sz="4" w:space="0"/>
            </w:tcBorders>
            <w:shd w:val="clear" w:color="auto" w:fill="auto"/>
            <w:vAlign w:val="center"/>
          </w:tcPr>
          <w:p w14:paraId="3A5B5E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0C7558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0394A2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立项程序规范性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D0C81F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1</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4A6A0CC3">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项目是否按照规定的程序申请设立；</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项目前期准备是否有选址意见书和用地审批文件；</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是否编制可行性研究报告或项目申请报告；</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可行性研究报告和项目申请报告核准文件是否批复；</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环境影响评价、安全评价、施工许可证或开工报告等是否有相关批复文件。</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BE5B975">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0.2</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E11014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0.8</w:t>
            </w:r>
          </w:p>
        </w:tc>
        <w:tc>
          <w:tcPr>
            <w:tcW w:w="1683" w:type="dxa"/>
            <w:tcBorders>
              <w:top w:val="single" w:color="auto" w:sz="4" w:space="0"/>
              <w:left w:val="single" w:color="auto" w:sz="4" w:space="0"/>
              <w:bottom w:val="single" w:color="auto" w:sz="4" w:space="0"/>
            </w:tcBorders>
            <w:shd w:val="clear" w:color="auto" w:fill="auto"/>
            <w:vAlign w:val="center"/>
          </w:tcPr>
          <w:p w14:paraId="7775BD5A">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除可行性研究报告批复、项目建议书批复及建设项目环境影响登记表外，其余批件均在开工后取得。</w:t>
            </w:r>
          </w:p>
        </w:tc>
      </w:tr>
      <w:tr w14:paraId="1A77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9" w:type="dxa"/>
            <w:vMerge w:val="continue"/>
            <w:tcBorders>
              <w:top w:val="nil"/>
              <w:bottom w:val="single" w:color="auto" w:sz="4" w:space="0"/>
              <w:right w:val="single" w:color="auto" w:sz="4" w:space="0"/>
            </w:tcBorders>
            <w:shd w:val="clear" w:color="auto" w:fill="auto"/>
            <w:vAlign w:val="center"/>
          </w:tcPr>
          <w:p w14:paraId="2A2300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restart"/>
            <w:tcBorders>
              <w:top w:val="nil"/>
              <w:left w:val="single" w:color="auto" w:sz="4" w:space="0"/>
              <w:bottom w:val="single" w:color="auto" w:sz="4" w:space="0"/>
              <w:right w:val="single" w:color="auto" w:sz="4" w:space="0"/>
            </w:tcBorders>
            <w:shd w:val="clear" w:color="auto" w:fill="auto"/>
            <w:vAlign w:val="center"/>
          </w:tcPr>
          <w:p w14:paraId="6887D7B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新增地方政府专项债券绩效目标设定的合理性与指标明确性（</w:t>
            </w:r>
            <w:r>
              <w:rPr>
                <w:rFonts w:hint="default" w:ascii="Times New Roman" w:hAnsi="Times New Roman" w:eastAsia="仿宋" w:cs="Times New Roman"/>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EDB85C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绩效目标合理性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56FAB3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73174CD5">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专项债券项目申报时是否制定绩效目标；</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绩效目标指标值是否与债券资金投入的项目内容相符；</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项目预期产出的效益和效果是否符合当地经济发展需求；</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项目所申请的专项债券资金与项目概算需求的资金量是否相匹配。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40CCAFF">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0.5</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75F9DB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1.5</w:t>
            </w:r>
          </w:p>
        </w:tc>
        <w:tc>
          <w:tcPr>
            <w:tcW w:w="1683" w:type="dxa"/>
            <w:tcBorders>
              <w:top w:val="single" w:color="auto" w:sz="4" w:space="0"/>
              <w:left w:val="single" w:color="auto" w:sz="4" w:space="0"/>
              <w:bottom w:val="single" w:color="auto" w:sz="4" w:space="0"/>
            </w:tcBorders>
            <w:shd w:val="clear" w:color="auto" w:fill="auto"/>
            <w:vAlign w:val="center"/>
          </w:tcPr>
          <w:p w14:paraId="5540061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项目绩效目标设置有待提升，年度总体目标及项目总体目标均未阐述项目建设内容。</w:t>
            </w:r>
          </w:p>
        </w:tc>
      </w:tr>
      <w:tr w14:paraId="2980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2" w:hRule="atLeast"/>
        </w:trPr>
        <w:tc>
          <w:tcPr>
            <w:tcW w:w="789" w:type="dxa"/>
            <w:vMerge w:val="continue"/>
            <w:tcBorders>
              <w:top w:val="nil"/>
              <w:bottom w:val="single" w:color="auto" w:sz="4" w:space="0"/>
              <w:right w:val="single" w:color="auto" w:sz="4" w:space="0"/>
            </w:tcBorders>
            <w:shd w:val="clear" w:color="auto" w:fill="auto"/>
            <w:vAlign w:val="center"/>
          </w:tcPr>
          <w:p w14:paraId="27F82B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5CFBAB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C3FA2E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绩效指标明确性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A2D4CB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199B49A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项目绩效目标细化分解的具体指标是否真实反映该项目相关信息；</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细化分解的具体指标是否通过清晰、可衡量、可量化的指标值体现；</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绩效目标指标值的设定是否与项目目标任务数或计划数相对应。</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6A41EFA">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分，不符合</w:t>
            </w: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或</w:t>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，每有一处扣</w:t>
            </w:r>
            <w:r>
              <w:rPr>
                <w:rFonts w:hint="default" w:ascii="Times New Roman" w:hAnsi="Times New Roman" w:eastAsia="仿宋" w:cs="Times New Roman"/>
                <w:snapToGrid/>
                <w:color w:val="000000"/>
                <w:kern w:val="0"/>
                <w:sz w:val="24"/>
                <w:szCs w:val="24"/>
                <w:lang w:val="en-US" w:eastAsia="zh-CN" w:bidi="ar"/>
              </w:rPr>
              <w:t>0.8</w:t>
            </w:r>
            <w:r>
              <w:rPr>
                <w:rFonts w:hint="eastAsia" w:ascii="仿宋" w:hAnsi="仿宋" w:eastAsia="仿宋" w:cs="仿宋"/>
                <w:snapToGrid/>
                <w:color w:val="000000"/>
                <w:kern w:val="0"/>
                <w:sz w:val="24"/>
                <w:szCs w:val="24"/>
                <w:lang w:val="en-US" w:eastAsia="zh-CN" w:bidi="ar"/>
              </w:rPr>
              <w:t>分，不符合</w:t>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扣</w:t>
            </w:r>
            <w:r>
              <w:rPr>
                <w:rFonts w:hint="default" w:ascii="Times New Roman" w:hAnsi="Times New Roman" w:eastAsia="仿宋" w:cs="Times New Roman"/>
                <w:snapToGrid/>
                <w:color w:val="000000"/>
                <w:kern w:val="0"/>
                <w:sz w:val="24"/>
                <w:szCs w:val="24"/>
                <w:lang w:val="en-US" w:eastAsia="zh-CN" w:bidi="ar"/>
              </w:rPr>
              <w:t>0.4</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9C5DBF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0</w:t>
            </w:r>
          </w:p>
        </w:tc>
        <w:tc>
          <w:tcPr>
            <w:tcW w:w="1683" w:type="dxa"/>
            <w:tcBorders>
              <w:top w:val="single" w:color="auto" w:sz="4" w:space="0"/>
              <w:left w:val="single" w:color="auto" w:sz="4" w:space="0"/>
              <w:bottom w:val="single" w:color="auto" w:sz="4" w:space="0"/>
            </w:tcBorders>
            <w:shd w:val="clear" w:color="auto" w:fill="auto"/>
            <w:vAlign w:val="center"/>
          </w:tcPr>
          <w:p w14:paraId="67A21251">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部分三级指标及指标值有待进一步完善，3个质量指标、时效指标“按时开工”、成本指标“单位成本”，指标值均未量化；质量指标“功能、节能、环保”，指标阐述不完整；指标值阐述冗长，建议简化。</w:t>
            </w:r>
          </w:p>
        </w:tc>
      </w:tr>
      <w:tr w14:paraId="5E2E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9" w:type="dxa"/>
            <w:vMerge w:val="continue"/>
            <w:tcBorders>
              <w:top w:val="nil"/>
              <w:bottom w:val="single" w:color="auto" w:sz="4" w:space="0"/>
              <w:right w:val="single" w:color="auto" w:sz="4" w:space="0"/>
            </w:tcBorders>
            <w:shd w:val="clear" w:color="auto" w:fill="auto"/>
            <w:vAlign w:val="center"/>
          </w:tcPr>
          <w:p w14:paraId="36F7CC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restart"/>
            <w:tcBorders>
              <w:top w:val="nil"/>
              <w:left w:val="single" w:color="auto" w:sz="4" w:space="0"/>
              <w:bottom w:val="single" w:color="auto" w:sz="4" w:space="0"/>
              <w:right w:val="single" w:color="auto" w:sz="4" w:space="0"/>
            </w:tcBorders>
            <w:shd w:val="clear" w:color="auto" w:fill="auto"/>
            <w:vAlign w:val="center"/>
          </w:tcPr>
          <w:p w14:paraId="14F4BE5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编制新增地方政府专项债券资金平衡方案科学性和资金分配的合理性（</w:t>
            </w:r>
            <w:r>
              <w:rPr>
                <w:rFonts w:hint="default" w:ascii="Times New Roman" w:hAnsi="Times New Roman" w:eastAsia="仿宋" w:cs="Times New Roman"/>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49D7EC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平衡方案科学性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28605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5DBC80DE">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项目单位编制的平衡方案是否经过科学论证；</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编制的内容与申请专项债券项目内容是否相匹配。</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申请专项债券额度测算依据是否按照专项债券资金使用规定编制；</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2"/>
                <w:sz w:val="24"/>
                <w:szCs w:val="24"/>
                <w:lang w:val="en-US" w:eastAsia="zh-CN" w:bidi="ar"/>
              </w:rPr>
              <w:t>申请的专项债券项目资金额度与当年专项债券项目任务是否相匹配。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686131F">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0.5</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D08CC8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2</w:t>
            </w:r>
          </w:p>
        </w:tc>
        <w:tc>
          <w:tcPr>
            <w:tcW w:w="1683" w:type="dxa"/>
            <w:tcBorders>
              <w:top w:val="single" w:color="auto" w:sz="4" w:space="0"/>
              <w:left w:val="single" w:color="auto" w:sz="4" w:space="0"/>
              <w:bottom w:val="single" w:color="auto" w:sz="4" w:space="0"/>
            </w:tcBorders>
            <w:shd w:val="clear" w:color="auto" w:fill="auto"/>
            <w:vAlign w:val="center"/>
          </w:tcPr>
          <w:p w14:paraId="36AB6C1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25E3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9" w:type="dxa"/>
            <w:vMerge w:val="continue"/>
            <w:tcBorders>
              <w:top w:val="nil"/>
              <w:bottom w:val="single" w:color="auto" w:sz="4" w:space="0"/>
              <w:right w:val="single" w:color="auto" w:sz="4" w:space="0"/>
            </w:tcBorders>
            <w:shd w:val="clear" w:color="auto" w:fill="auto"/>
            <w:vAlign w:val="center"/>
          </w:tcPr>
          <w:p w14:paraId="5511F3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260664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148A78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资金分配合理性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0CC018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3B6D6245">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2"/>
                <w:sz w:val="24"/>
                <w:szCs w:val="24"/>
                <w:lang w:val="en-US" w:eastAsia="zh-CN" w:bidi="ar"/>
              </w:rPr>
              <w:t>①</w:t>
            </w:r>
            <w:r>
              <w:rPr>
                <w:rFonts w:hint="eastAsia" w:ascii="仿宋" w:hAnsi="仿宋" w:eastAsia="仿宋" w:cs="仿宋"/>
                <w:snapToGrid/>
                <w:color w:val="000000"/>
                <w:kern w:val="2"/>
                <w:sz w:val="24"/>
                <w:szCs w:val="24"/>
                <w:lang w:val="en-US" w:eastAsia="zh-CN" w:bidi="ar"/>
              </w:rPr>
              <w:t>专项债券资金分配使用依据是否充分；</w:t>
            </w:r>
            <w:r>
              <w:rPr>
                <w:rFonts w:hint="default" w:ascii="Times New Roman" w:hAnsi="Times New Roman" w:eastAsia="仿宋" w:cs="Times New Roman"/>
                <w:snapToGrid/>
                <w:color w:val="000000"/>
                <w:kern w:val="2"/>
                <w:sz w:val="24"/>
                <w:szCs w:val="24"/>
                <w:lang w:val="en-US" w:eastAsia="zh-CN" w:bidi="ar"/>
              </w:rPr>
              <w:br w:type="textWrapping"/>
            </w:r>
            <w:r>
              <w:rPr>
                <w:rFonts w:hint="default" w:ascii="Times New Roman" w:hAnsi="Times New Roman" w:eastAsia="仿宋" w:cs="Times New Roman"/>
                <w:snapToGrid/>
                <w:color w:val="000000"/>
                <w:kern w:val="2"/>
                <w:sz w:val="24"/>
                <w:szCs w:val="24"/>
                <w:lang w:val="en-US" w:eastAsia="zh-CN" w:bidi="ar"/>
              </w:rPr>
              <w:t>②</w:t>
            </w:r>
            <w:r>
              <w:rPr>
                <w:rFonts w:hint="eastAsia" w:ascii="仿宋" w:hAnsi="仿宋" w:eastAsia="仿宋" w:cs="仿宋"/>
                <w:snapToGrid/>
                <w:color w:val="000000"/>
                <w:kern w:val="2"/>
                <w:sz w:val="24"/>
                <w:szCs w:val="24"/>
                <w:lang w:val="en-US" w:eastAsia="zh-CN" w:bidi="ar"/>
              </w:rPr>
              <w:t>预算资金、银行贷款、自有资金、债券资金额度分配是否合理。</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A3334D2">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307315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2</w:t>
            </w:r>
          </w:p>
        </w:tc>
        <w:tc>
          <w:tcPr>
            <w:tcW w:w="1683" w:type="dxa"/>
            <w:tcBorders>
              <w:top w:val="single" w:color="auto" w:sz="4" w:space="0"/>
              <w:left w:val="single" w:color="auto" w:sz="4" w:space="0"/>
              <w:bottom w:val="single" w:color="auto" w:sz="4" w:space="0"/>
            </w:tcBorders>
            <w:shd w:val="clear" w:color="auto" w:fill="auto"/>
            <w:vAlign w:val="center"/>
          </w:tcPr>
          <w:p w14:paraId="4D9DBDE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6422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89" w:type="dxa"/>
            <w:vMerge w:val="restart"/>
            <w:tcBorders>
              <w:top w:val="nil"/>
              <w:bottom w:val="single" w:color="auto" w:sz="4" w:space="0"/>
              <w:right w:val="single" w:color="auto" w:sz="4" w:space="0"/>
            </w:tcBorders>
            <w:shd w:val="clear" w:color="auto" w:fill="auto"/>
            <w:vAlign w:val="center"/>
          </w:tcPr>
          <w:p w14:paraId="746F466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管理</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30</w:t>
            </w:r>
            <w:r>
              <w:rPr>
                <w:rFonts w:hint="eastAsia" w:ascii="仿宋" w:hAnsi="仿宋" w:eastAsia="仿宋" w:cs="仿宋"/>
                <w:snapToGrid/>
                <w:color w:val="000000"/>
                <w:kern w:val="0"/>
                <w:sz w:val="24"/>
                <w:szCs w:val="24"/>
                <w:lang w:val="en-US" w:eastAsia="zh-CN" w:bidi="ar"/>
              </w:rPr>
              <w:t>分）</w:t>
            </w:r>
          </w:p>
        </w:tc>
        <w:tc>
          <w:tcPr>
            <w:tcW w:w="1365" w:type="dxa"/>
            <w:vMerge w:val="restart"/>
            <w:tcBorders>
              <w:top w:val="nil"/>
              <w:left w:val="single" w:color="auto" w:sz="4" w:space="0"/>
              <w:bottom w:val="single" w:color="auto" w:sz="4" w:space="0"/>
              <w:right w:val="single" w:color="auto" w:sz="4" w:space="0"/>
            </w:tcBorders>
            <w:shd w:val="clear" w:color="auto" w:fill="auto"/>
            <w:vAlign w:val="center"/>
          </w:tcPr>
          <w:p w14:paraId="6BE58A4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新增地方政府专项债券资金管理制度健全性及组织实施有效性（</w:t>
            </w:r>
            <w:r>
              <w:rPr>
                <w:rFonts w:hint="default" w:ascii="Times New Roman" w:hAnsi="Times New Roman" w:eastAsia="仿宋" w:cs="Times New Roman"/>
                <w:snapToGrid/>
                <w:color w:val="000000"/>
                <w:kern w:val="0"/>
                <w:sz w:val="24"/>
                <w:szCs w:val="24"/>
                <w:lang w:val="en-US" w:eastAsia="zh-CN" w:bidi="ar"/>
              </w:rPr>
              <w:t>12</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C21B2D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管理制度健全性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0E5193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6</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288ACDE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项目实施单位是否制定专项债券资金使用计划和资金管理办法；</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所制定的财务管理制度及规定是否合法、合规、完整；</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项目实施单位是否制定专项债券项目管理办法；</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所制定的业务管理制度及规定是否合法、合规、完整。</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A0C2F53">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6</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1.5</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7519C8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1.5</w:t>
            </w:r>
          </w:p>
        </w:tc>
        <w:tc>
          <w:tcPr>
            <w:tcW w:w="1683" w:type="dxa"/>
            <w:tcBorders>
              <w:top w:val="single" w:color="auto" w:sz="4" w:space="0"/>
              <w:left w:val="single" w:color="auto" w:sz="4" w:space="0"/>
              <w:bottom w:val="single" w:color="auto" w:sz="4" w:space="0"/>
            </w:tcBorders>
            <w:shd w:val="clear" w:color="auto" w:fill="auto"/>
            <w:vAlign w:val="center"/>
          </w:tcPr>
          <w:p w14:paraId="64FB8D8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资金管理制度不完整；未制定相关项目管理办法。</w:t>
            </w:r>
          </w:p>
        </w:tc>
      </w:tr>
      <w:tr w14:paraId="195C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9" w:type="dxa"/>
            <w:vMerge w:val="continue"/>
            <w:tcBorders>
              <w:top w:val="nil"/>
              <w:bottom w:val="single" w:color="auto" w:sz="4" w:space="0"/>
              <w:right w:val="single" w:color="auto" w:sz="4" w:space="0"/>
            </w:tcBorders>
            <w:shd w:val="clear" w:color="auto" w:fill="auto"/>
            <w:vAlign w:val="center"/>
          </w:tcPr>
          <w:p w14:paraId="0E8192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49B02C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0FD71F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组织实施有效性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B45384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6</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21ECD462">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项目实施是否遵守相关法律法规和相关管理规定；</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项目实施单位是否按照制定的专项债券资金使用计划执行；</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专项债券收支、还本付息及专项收入纳入政府性基金预算管理情况；</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项目调整及支出调整手续是否完备；</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项目合同书、验收报告、技术鉴定、资金凭证等资料是否齐全并及时归档；</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⑥</w:t>
            </w:r>
            <w:r>
              <w:rPr>
                <w:rFonts w:hint="eastAsia" w:ascii="仿宋" w:hAnsi="仿宋" w:eastAsia="仿宋" w:cs="仿宋"/>
                <w:snapToGrid/>
                <w:color w:val="000000"/>
                <w:kern w:val="0"/>
                <w:sz w:val="24"/>
                <w:szCs w:val="24"/>
                <w:lang w:val="en-US" w:eastAsia="zh-CN" w:bidi="ar"/>
              </w:rPr>
              <w:t>项目实施的人员条件、场地设备、信息支撑等是否落实到位。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972BAEB">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6</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9BDB42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5</w:t>
            </w:r>
          </w:p>
        </w:tc>
        <w:tc>
          <w:tcPr>
            <w:tcW w:w="1683" w:type="dxa"/>
            <w:tcBorders>
              <w:top w:val="single" w:color="auto" w:sz="4" w:space="0"/>
              <w:left w:val="single" w:color="auto" w:sz="4" w:space="0"/>
              <w:bottom w:val="single" w:color="auto" w:sz="4" w:space="0"/>
            </w:tcBorders>
            <w:shd w:val="clear" w:color="auto" w:fill="auto"/>
            <w:vAlign w:val="center"/>
          </w:tcPr>
          <w:p w14:paraId="04AB0AE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部分合同日期签署不完整，如《技术咨询合同》《咨询业务委托合同》等。</w:t>
            </w:r>
          </w:p>
        </w:tc>
      </w:tr>
      <w:tr w14:paraId="24B9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9" w:type="dxa"/>
            <w:vMerge w:val="continue"/>
            <w:tcBorders>
              <w:top w:val="nil"/>
              <w:bottom w:val="single" w:color="auto" w:sz="4" w:space="0"/>
              <w:right w:val="single" w:color="auto" w:sz="4" w:space="0"/>
            </w:tcBorders>
            <w:shd w:val="clear" w:color="auto" w:fill="auto"/>
            <w:vAlign w:val="center"/>
          </w:tcPr>
          <w:p w14:paraId="791CF8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restart"/>
            <w:tcBorders>
              <w:top w:val="nil"/>
              <w:left w:val="single" w:color="auto" w:sz="4" w:space="0"/>
              <w:bottom w:val="single" w:color="auto" w:sz="4" w:space="0"/>
              <w:right w:val="single" w:color="auto" w:sz="4" w:space="0"/>
            </w:tcBorders>
            <w:shd w:val="clear" w:color="auto" w:fill="auto"/>
            <w:vAlign w:val="center"/>
          </w:tcPr>
          <w:p w14:paraId="4F12D4A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新增地方政府专项债券资金使用情况（</w:t>
            </w:r>
            <w:r>
              <w:rPr>
                <w:rFonts w:hint="default" w:ascii="Times New Roman" w:hAnsi="Times New Roman" w:eastAsia="仿宋" w:cs="Times New Roman"/>
                <w:snapToGrid/>
                <w:color w:val="000000"/>
                <w:kern w:val="0"/>
                <w:sz w:val="24"/>
                <w:szCs w:val="24"/>
                <w:lang w:val="en-US" w:eastAsia="zh-CN" w:bidi="ar"/>
              </w:rPr>
              <w:t>18</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A1F56E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资金使用合规性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A18455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6</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66CB4448">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项目建设和运营期间是否成立专门的管理机构；</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项目资金使用是否符合相关专项债券资金使用管理制度规定；</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项目单位或项目实施企业是否被中国人民银行列入征信系统黑名单；</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项目单位在项目建设运营期间，项目单位或地方政府是否擅自变动项目资金；</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专项债券项目存续期是否按要求在网站上进行信息公开。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A5D2108">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6</w:t>
            </w:r>
            <w:r>
              <w:rPr>
                <w:rFonts w:hint="eastAsia" w:ascii="仿宋" w:hAnsi="仿宋" w:eastAsia="仿宋" w:cs="仿宋"/>
                <w:snapToGrid/>
                <w:color w:val="000000"/>
                <w:kern w:val="0"/>
                <w:sz w:val="24"/>
                <w:szCs w:val="24"/>
                <w:lang w:val="en-US" w:eastAsia="zh-CN" w:bidi="ar"/>
              </w:rPr>
              <w:t>分，不符合②，扣</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分；不符合其他项，每项扣</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F5470D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6</w:t>
            </w:r>
          </w:p>
        </w:tc>
        <w:tc>
          <w:tcPr>
            <w:tcW w:w="1683" w:type="dxa"/>
            <w:tcBorders>
              <w:top w:val="single" w:color="auto" w:sz="4" w:space="0"/>
              <w:left w:val="single" w:color="auto" w:sz="4" w:space="0"/>
              <w:bottom w:val="single" w:color="auto" w:sz="4" w:space="0"/>
            </w:tcBorders>
            <w:shd w:val="clear" w:color="auto" w:fill="auto"/>
            <w:vAlign w:val="center"/>
          </w:tcPr>
          <w:p w14:paraId="6B565B48">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698F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2" w:hRule="atLeast"/>
        </w:trPr>
        <w:tc>
          <w:tcPr>
            <w:tcW w:w="789" w:type="dxa"/>
            <w:vMerge w:val="continue"/>
            <w:tcBorders>
              <w:top w:val="nil"/>
              <w:bottom w:val="single" w:color="auto" w:sz="4" w:space="0"/>
              <w:right w:val="single" w:color="auto" w:sz="4" w:space="0"/>
            </w:tcBorders>
            <w:shd w:val="clear" w:color="auto" w:fill="auto"/>
            <w:vAlign w:val="center"/>
          </w:tcPr>
          <w:p w14:paraId="0FCA7F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1175CF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CA82F2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核算入账及时性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E9EC75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6188EA29">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专项债券项目是否按要求核算入账。</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DF9A58E">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kern w:val="0"/>
                <w:sz w:val="24"/>
                <w:szCs w:val="24"/>
                <w:lang w:val="en-US" w:eastAsia="zh-CN" w:bidi="ar"/>
              </w:rPr>
              <w:t>及时</w:t>
            </w:r>
            <w:r>
              <w:rPr>
                <w:rFonts w:hint="eastAsia" w:ascii="仿宋" w:hAnsi="仿宋" w:eastAsia="仿宋" w:cs="仿宋"/>
                <w:snapToGrid/>
                <w:color w:val="000000"/>
                <w:kern w:val="0"/>
                <w:sz w:val="24"/>
                <w:szCs w:val="24"/>
                <w:lang w:val="en-US" w:eastAsia="zh-CN" w:bidi="ar"/>
              </w:rPr>
              <w:t>完成核算入账，得满分，否则不得分。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12832D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2</w:t>
            </w:r>
          </w:p>
        </w:tc>
        <w:tc>
          <w:tcPr>
            <w:tcW w:w="1683" w:type="dxa"/>
            <w:tcBorders>
              <w:top w:val="single" w:color="auto" w:sz="4" w:space="0"/>
              <w:left w:val="single" w:color="auto" w:sz="4" w:space="0"/>
              <w:bottom w:val="single" w:color="auto" w:sz="4" w:space="0"/>
            </w:tcBorders>
            <w:shd w:val="clear" w:color="auto" w:fill="auto"/>
            <w:vAlign w:val="center"/>
          </w:tcPr>
          <w:p w14:paraId="00DBCAC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4FC8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2" w:hRule="atLeast"/>
        </w:trPr>
        <w:tc>
          <w:tcPr>
            <w:tcW w:w="789" w:type="dxa"/>
            <w:vMerge w:val="continue"/>
            <w:tcBorders>
              <w:top w:val="nil"/>
              <w:bottom w:val="single" w:color="auto" w:sz="4" w:space="0"/>
              <w:right w:val="single" w:color="auto" w:sz="4" w:space="0"/>
            </w:tcBorders>
            <w:shd w:val="clear" w:color="auto" w:fill="auto"/>
            <w:vAlign w:val="center"/>
          </w:tcPr>
          <w:p w14:paraId="2980DB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7D199B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8A675E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专项债券资金到位率</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21ACC2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3</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75E0389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专项债券资金到位率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（实际到位专项债券资金</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实际发行专项债券资金）</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92D965E">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得分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专项债券资金到位率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指标权重</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F378D1A">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3</w:t>
            </w:r>
          </w:p>
        </w:tc>
        <w:tc>
          <w:tcPr>
            <w:tcW w:w="1683" w:type="dxa"/>
            <w:tcBorders>
              <w:top w:val="single" w:color="auto" w:sz="4" w:space="0"/>
              <w:left w:val="single" w:color="auto" w:sz="4" w:space="0"/>
              <w:bottom w:val="single" w:color="auto" w:sz="4" w:space="0"/>
            </w:tcBorders>
            <w:shd w:val="clear" w:color="auto" w:fill="auto"/>
            <w:vAlign w:val="center"/>
          </w:tcPr>
          <w:p w14:paraId="06B7EF2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7825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7" w:hRule="atLeast"/>
        </w:trPr>
        <w:tc>
          <w:tcPr>
            <w:tcW w:w="789" w:type="dxa"/>
            <w:vMerge w:val="continue"/>
            <w:tcBorders>
              <w:top w:val="nil"/>
              <w:bottom w:val="single" w:color="auto" w:sz="4" w:space="0"/>
              <w:right w:val="single" w:color="auto" w:sz="4" w:space="0"/>
            </w:tcBorders>
            <w:shd w:val="clear" w:color="auto" w:fill="auto"/>
            <w:vAlign w:val="center"/>
          </w:tcPr>
          <w:p w14:paraId="3F62DC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35377A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70318E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配套资金到位率</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2AEA28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02838016">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配套资金到位率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（实际到位配套资金</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计划到位配套资金）</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p w14:paraId="02AAAFBF">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配套资金包含财政资金、银行贷款、自有资金等。</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FF354EF">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得分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配套资金到位率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指标权重</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62F056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0.72</w:t>
            </w:r>
          </w:p>
        </w:tc>
        <w:tc>
          <w:tcPr>
            <w:tcW w:w="1683" w:type="dxa"/>
            <w:tcBorders>
              <w:top w:val="single" w:color="auto" w:sz="4" w:space="0"/>
              <w:left w:val="single" w:color="auto" w:sz="4" w:space="0"/>
              <w:bottom w:val="single" w:color="auto" w:sz="4" w:space="0"/>
            </w:tcBorders>
            <w:shd w:val="clear" w:color="auto" w:fill="auto"/>
            <w:vAlign w:val="center"/>
          </w:tcPr>
          <w:p w14:paraId="67EBA87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项目资本金到位率为36.22%。</w:t>
            </w:r>
          </w:p>
        </w:tc>
      </w:tr>
      <w:tr w14:paraId="6360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9" w:type="dxa"/>
            <w:vMerge w:val="continue"/>
            <w:tcBorders>
              <w:top w:val="nil"/>
              <w:bottom w:val="single" w:color="auto" w:sz="4" w:space="0"/>
              <w:right w:val="single" w:color="auto" w:sz="4" w:space="0"/>
            </w:tcBorders>
            <w:shd w:val="clear" w:color="auto" w:fill="auto"/>
            <w:vAlign w:val="center"/>
          </w:tcPr>
          <w:p w14:paraId="77FD18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158570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B092DA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专项债券资金执行率</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D98629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3</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3A0548DC">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专项债券资金执行率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（实际支出专项债券资金</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实际到位专项债券资金）</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49D1E30">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得分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专项债券资金执行率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指标权重</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EC5F7E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3</w:t>
            </w:r>
          </w:p>
        </w:tc>
        <w:tc>
          <w:tcPr>
            <w:tcW w:w="1683" w:type="dxa"/>
            <w:tcBorders>
              <w:top w:val="single" w:color="auto" w:sz="4" w:space="0"/>
              <w:left w:val="single" w:color="auto" w:sz="4" w:space="0"/>
              <w:bottom w:val="single" w:color="auto" w:sz="4" w:space="0"/>
            </w:tcBorders>
            <w:shd w:val="clear" w:color="auto" w:fill="auto"/>
            <w:vAlign w:val="center"/>
          </w:tcPr>
          <w:p w14:paraId="250D406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412B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9" w:type="dxa"/>
            <w:vMerge w:val="continue"/>
            <w:tcBorders>
              <w:top w:val="nil"/>
              <w:bottom w:val="single" w:color="auto" w:sz="4" w:space="0"/>
              <w:right w:val="single" w:color="auto" w:sz="4" w:space="0"/>
            </w:tcBorders>
            <w:shd w:val="clear" w:color="auto" w:fill="auto"/>
            <w:vAlign w:val="center"/>
          </w:tcPr>
          <w:p w14:paraId="33E8AD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vMerge w:val="continue"/>
            <w:tcBorders>
              <w:top w:val="nil"/>
              <w:left w:val="single" w:color="auto" w:sz="4" w:space="0"/>
              <w:bottom w:val="single" w:color="auto" w:sz="4" w:space="0"/>
              <w:right w:val="single" w:color="auto" w:sz="4" w:space="0"/>
            </w:tcBorders>
            <w:shd w:val="clear" w:color="auto" w:fill="auto"/>
            <w:vAlign w:val="center"/>
          </w:tcPr>
          <w:p w14:paraId="139C19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27D5B9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配套资金执行率</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532EE8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2</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31BEC590">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配套资金执行率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（实际支出配套资金</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实际到位配套资金）</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8181414">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得分</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配套资金执行率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指标权重</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A53668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2</w:t>
            </w:r>
          </w:p>
        </w:tc>
        <w:tc>
          <w:tcPr>
            <w:tcW w:w="1683" w:type="dxa"/>
            <w:tcBorders>
              <w:top w:val="single" w:color="auto" w:sz="4" w:space="0"/>
              <w:left w:val="single" w:color="auto" w:sz="4" w:space="0"/>
              <w:bottom w:val="single" w:color="auto" w:sz="4" w:space="0"/>
            </w:tcBorders>
            <w:shd w:val="clear" w:color="auto" w:fill="auto"/>
            <w:vAlign w:val="center"/>
          </w:tcPr>
          <w:p w14:paraId="02DC587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403F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6" w:hRule="atLeast"/>
        </w:trPr>
        <w:tc>
          <w:tcPr>
            <w:tcW w:w="789" w:type="dxa"/>
            <w:vMerge w:val="restart"/>
            <w:tcBorders>
              <w:top w:val="nil"/>
              <w:bottom w:val="single" w:color="auto" w:sz="4" w:space="0"/>
              <w:right w:val="single" w:color="auto" w:sz="4" w:space="0"/>
            </w:tcBorders>
            <w:shd w:val="clear" w:color="auto" w:fill="auto"/>
            <w:vAlign w:val="center"/>
          </w:tcPr>
          <w:p w14:paraId="5D3ECC0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产出</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40</w:t>
            </w:r>
            <w:r>
              <w:rPr>
                <w:rFonts w:hint="eastAsia" w:ascii="仿宋" w:hAnsi="仿宋" w:eastAsia="仿宋" w:cs="仿宋"/>
                <w:snapToGrid/>
                <w:color w:val="000000"/>
                <w:kern w:val="0"/>
                <w:sz w:val="24"/>
                <w:szCs w:val="24"/>
                <w:lang w:val="en-US" w:eastAsia="zh-CN" w:bidi="ar"/>
              </w:rPr>
              <w:t>分）</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931353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产出数量</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15</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F2C1E5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2"/>
                <w:sz w:val="24"/>
                <w:szCs w:val="24"/>
                <w:lang w:val="en-US" w:eastAsia="zh-CN" w:bidi="ar"/>
              </w:rPr>
              <w:t>进度计划完成率</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13A53C8">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15</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61AA038D">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进度计划完成率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（实际完成工程量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计划完成阶段性工程量）</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如涉及多个子项，则按照子项实际完成率加权平均值计算。</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075F869">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2"/>
                <w:sz w:val="24"/>
                <w:szCs w:val="24"/>
                <w:lang w:val="en-US" w:eastAsia="zh-CN" w:bidi="ar"/>
              </w:rPr>
              <w:t>得分</w:t>
            </w:r>
            <w:r>
              <w:rPr>
                <w:rFonts w:hint="default" w:ascii="Times New Roman" w:hAnsi="Times New Roman" w:eastAsia="仿宋" w:cs="Times New Roman"/>
                <w:snapToGrid/>
                <w:color w:val="000000"/>
                <w:kern w:val="2"/>
                <w:sz w:val="24"/>
                <w:szCs w:val="24"/>
                <w:lang w:val="en-US" w:eastAsia="zh-CN" w:bidi="ar"/>
              </w:rPr>
              <w:t>=</w:t>
            </w:r>
            <w:r>
              <w:rPr>
                <w:rFonts w:hint="eastAsia" w:ascii="仿宋" w:hAnsi="仿宋" w:eastAsia="仿宋" w:cs="仿宋"/>
                <w:snapToGrid/>
                <w:color w:val="000000"/>
                <w:kern w:val="2"/>
                <w:sz w:val="24"/>
                <w:szCs w:val="24"/>
                <w:lang w:val="en-US" w:eastAsia="zh-CN" w:bidi="ar"/>
              </w:rPr>
              <w:t>进度计划完成率</w:t>
            </w:r>
            <w:r>
              <w:rPr>
                <w:rFonts w:hint="default" w:ascii="Times New Roman" w:hAnsi="Times New Roman" w:eastAsia="仿宋" w:cs="Times New Roman"/>
                <w:snapToGrid/>
                <w:color w:val="000000"/>
                <w:kern w:val="2"/>
                <w:sz w:val="24"/>
                <w:szCs w:val="24"/>
                <w:lang w:val="en-US" w:eastAsia="zh-CN" w:bidi="ar"/>
              </w:rPr>
              <w:t>×</w:t>
            </w:r>
            <w:r>
              <w:rPr>
                <w:rFonts w:hint="eastAsia" w:ascii="仿宋" w:hAnsi="仿宋" w:eastAsia="仿宋" w:cs="仿宋"/>
                <w:snapToGrid/>
                <w:color w:val="000000"/>
                <w:kern w:val="2"/>
                <w:sz w:val="24"/>
                <w:szCs w:val="24"/>
                <w:lang w:val="en-US" w:eastAsia="zh-CN" w:bidi="ar"/>
              </w:rPr>
              <w:t>指标权重。</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1FE06A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8.42</w:t>
            </w:r>
          </w:p>
        </w:tc>
        <w:tc>
          <w:tcPr>
            <w:tcW w:w="1683" w:type="dxa"/>
            <w:tcBorders>
              <w:top w:val="single" w:color="auto" w:sz="4" w:space="0"/>
              <w:left w:val="single" w:color="auto" w:sz="4" w:space="0"/>
              <w:bottom w:val="single" w:color="auto" w:sz="4" w:space="0"/>
            </w:tcBorders>
            <w:shd w:val="clear" w:color="auto" w:fill="auto"/>
            <w:vAlign w:val="center"/>
          </w:tcPr>
          <w:p w14:paraId="62AF339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项目实际完成率按56.11%计入。</w:t>
            </w:r>
          </w:p>
        </w:tc>
      </w:tr>
      <w:tr w14:paraId="4C37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7" w:hRule="atLeast"/>
        </w:trPr>
        <w:tc>
          <w:tcPr>
            <w:tcW w:w="789" w:type="dxa"/>
            <w:vMerge w:val="continue"/>
            <w:tcBorders>
              <w:top w:val="nil"/>
              <w:bottom w:val="single" w:color="auto" w:sz="4" w:space="0"/>
              <w:right w:val="single" w:color="auto" w:sz="4" w:space="0"/>
            </w:tcBorders>
            <w:shd w:val="clear" w:color="auto" w:fill="auto"/>
            <w:vAlign w:val="center"/>
          </w:tcPr>
          <w:p w14:paraId="5BD3EF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81F2B86">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产出质量</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15</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AA2950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质量检测达标情况</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46B149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15</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4B4F30AA">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①</w:t>
            </w:r>
            <w:r>
              <w:rPr>
                <w:rFonts w:hint="eastAsia" w:ascii="仿宋" w:hAnsi="仿宋" w:eastAsia="仿宋" w:cs="仿宋"/>
                <w:snapToGrid/>
                <w:color w:val="000000"/>
                <w:kern w:val="0"/>
                <w:sz w:val="24"/>
                <w:szCs w:val="24"/>
                <w:lang w:val="en-US" w:eastAsia="zh-CN" w:bidi="ar"/>
              </w:rPr>
              <w:t>项目建设过程中使用的材料（器材）是否达到质量标准；</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②</w:t>
            </w:r>
            <w:r>
              <w:rPr>
                <w:rFonts w:hint="eastAsia" w:ascii="仿宋" w:hAnsi="仿宋" w:eastAsia="仿宋" w:cs="仿宋"/>
                <w:snapToGrid/>
                <w:color w:val="000000"/>
                <w:kern w:val="0"/>
                <w:sz w:val="24"/>
                <w:szCs w:val="24"/>
                <w:lang w:val="en-US" w:eastAsia="zh-CN" w:bidi="ar"/>
              </w:rPr>
              <w:t>项目资产质量符合相关的质量要求；</w:t>
            </w:r>
          </w:p>
          <w:p w14:paraId="02B2EC32">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0"/>
                <w:sz w:val="24"/>
                <w:szCs w:val="24"/>
                <w:lang w:val="en-US" w:eastAsia="zh-CN" w:bidi="ar"/>
              </w:rPr>
              <w:t>③</w:t>
            </w:r>
            <w:r>
              <w:rPr>
                <w:rFonts w:hint="eastAsia" w:ascii="仿宋" w:hAnsi="仿宋" w:eastAsia="仿宋" w:cs="仿宋"/>
                <w:snapToGrid/>
                <w:color w:val="000000"/>
                <w:kern w:val="0"/>
                <w:sz w:val="24"/>
                <w:szCs w:val="24"/>
                <w:lang w:val="en-US" w:eastAsia="zh-CN" w:bidi="ar"/>
              </w:rPr>
              <w:t>项目竣工验收预期不会出现重要失误或显著延迟；</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④</w:t>
            </w:r>
            <w:r>
              <w:rPr>
                <w:rFonts w:hint="eastAsia" w:ascii="仿宋" w:hAnsi="仿宋" w:eastAsia="仿宋" w:cs="仿宋"/>
                <w:snapToGrid/>
                <w:color w:val="000000"/>
                <w:kern w:val="0"/>
                <w:sz w:val="24"/>
                <w:szCs w:val="24"/>
                <w:lang w:val="en-US" w:eastAsia="zh-CN" w:bidi="ar"/>
              </w:rPr>
              <w:t>项目实际产出质量与预期或目标一致；</w:t>
            </w:r>
            <w:r>
              <w:rPr>
                <w:rFonts w:hint="default" w:ascii="Times New Roman" w:hAnsi="Times New Roman" w:eastAsia="仿宋" w:cs="Times New Roman"/>
                <w:snapToGrid/>
                <w:color w:val="000000"/>
                <w:kern w:val="0"/>
                <w:sz w:val="24"/>
                <w:szCs w:val="24"/>
                <w:lang w:val="en-US" w:eastAsia="zh-CN" w:bidi="ar"/>
              </w:rPr>
              <w:br w:type="textWrapping"/>
            </w:r>
            <w:r>
              <w:rPr>
                <w:rFonts w:hint="default" w:ascii="Times New Roman" w:hAnsi="Times New Roman" w:eastAsia="仿宋" w:cs="Times New Roman"/>
                <w:snapToGrid/>
                <w:color w:val="000000"/>
                <w:kern w:val="0"/>
                <w:sz w:val="24"/>
                <w:szCs w:val="24"/>
                <w:lang w:val="en-US" w:eastAsia="zh-CN" w:bidi="ar"/>
              </w:rPr>
              <w:t>⑤</w:t>
            </w:r>
            <w:r>
              <w:rPr>
                <w:rFonts w:hint="eastAsia" w:ascii="仿宋" w:hAnsi="仿宋" w:eastAsia="仿宋" w:cs="仿宋"/>
                <w:snapToGrid/>
                <w:color w:val="000000"/>
                <w:kern w:val="0"/>
                <w:sz w:val="24"/>
                <w:szCs w:val="24"/>
                <w:lang w:val="en-US" w:eastAsia="zh-CN" w:bidi="ar"/>
              </w:rPr>
              <w:t>完工工程后续是否存在可能发生的其他隐患（建设前期的拆迁补偿款到位情况、是否具备运营资质情况等）。</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0D48B4D">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完全符合以上条件得</w:t>
            </w:r>
            <w:r>
              <w:rPr>
                <w:rFonts w:hint="default" w:ascii="Times New Roman" w:hAnsi="Times New Roman" w:eastAsia="仿宋" w:cs="Times New Roman"/>
                <w:snapToGrid/>
                <w:color w:val="000000"/>
                <w:kern w:val="0"/>
                <w:sz w:val="24"/>
                <w:szCs w:val="24"/>
                <w:lang w:val="en-US" w:eastAsia="zh-CN" w:bidi="ar"/>
              </w:rPr>
              <w:t>10</w:t>
            </w:r>
            <w:r>
              <w:rPr>
                <w:rFonts w:hint="eastAsia" w:ascii="仿宋" w:hAnsi="仿宋" w:eastAsia="仿宋" w:cs="仿宋"/>
                <w:snapToGrid/>
                <w:color w:val="000000"/>
                <w:kern w:val="0"/>
                <w:sz w:val="24"/>
                <w:szCs w:val="24"/>
                <w:lang w:val="en-US" w:eastAsia="zh-CN" w:bidi="ar"/>
              </w:rPr>
              <w:t>分，存在一处不符合，扣</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分，扣完为止。</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848906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15</w:t>
            </w:r>
          </w:p>
        </w:tc>
        <w:tc>
          <w:tcPr>
            <w:tcW w:w="1683" w:type="dxa"/>
            <w:tcBorders>
              <w:top w:val="single" w:color="auto" w:sz="4" w:space="0"/>
              <w:left w:val="single" w:color="auto" w:sz="4" w:space="0"/>
              <w:bottom w:val="single" w:color="auto" w:sz="4" w:space="0"/>
            </w:tcBorders>
            <w:shd w:val="clear" w:color="auto" w:fill="auto"/>
            <w:vAlign w:val="center"/>
          </w:tcPr>
          <w:p w14:paraId="0B6E2E9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2B7D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8" w:hRule="atLeast"/>
        </w:trPr>
        <w:tc>
          <w:tcPr>
            <w:tcW w:w="789" w:type="dxa"/>
            <w:vMerge w:val="continue"/>
            <w:tcBorders>
              <w:top w:val="nil"/>
              <w:bottom w:val="single" w:color="auto" w:sz="4" w:space="0"/>
              <w:right w:val="single" w:color="auto" w:sz="4" w:space="0"/>
            </w:tcBorders>
            <w:shd w:val="clear" w:color="auto" w:fill="auto"/>
            <w:vAlign w:val="center"/>
          </w:tcPr>
          <w:p w14:paraId="79B3BC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323AAB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产出时效</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AFD5C8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开工及时性</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2F42A42">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5</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4268C186">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是否按照合同约定的计划期限开工。</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F808513">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提前开工或按计划开工，得满分；延迟一个月（</w:t>
            </w:r>
            <w:r>
              <w:rPr>
                <w:rFonts w:hint="default" w:ascii="Times New Roman" w:hAnsi="Times New Roman" w:eastAsia="仿宋" w:cs="Times New Roman"/>
                <w:snapToGrid/>
                <w:color w:val="000000"/>
                <w:kern w:val="0"/>
                <w:sz w:val="24"/>
                <w:szCs w:val="24"/>
                <w:lang w:val="en-US" w:eastAsia="zh-CN" w:bidi="ar"/>
              </w:rPr>
              <w:t>30</w:t>
            </w:r>
            <w:r>
              <w:rPr>
                <w:rFonts w:hint="eastAsia" w:ascii="仿宋" w:hAnsi="仿宋" w:eastAsia="仿宋" w:cs="仿宋"/>
                <w:snapToGrid/>
                <w:color w:val="000000"/>
                <w:kern w:val="0"/>
                <w:sz w:val="24"/>
                <w:szCs w:val="24"/>
                <w:lang w:val="en-US" w:eastAsia="zh-CN" w:bidi="ar"/>
              </w:rPr>
              <w:t>日历天）以内，得</w:t>
            </w:r>
            <w:r>
              <w:rPr>
                <w:rFonts w:hint="default" w:ascii="Times New Roman" w:hAnsi="Times New Roman" w:eastAsia="仿宋" w:cs="Times New Roman"/>
                <w:snapToGrid/>
                <w:color w:val="000000"/>
                <w:kern w:val="0"/>
                <w:sz w:val="24"/>
                <w:szCs w:val="24"/>
                <w:lang w:val="en-US" w:eastAsia="zh-CN" w:bidi="ar"/>
              </w:rPr>
              <w:t>3</w:t>
            </w:r>
            <w:r>
              <w:rPr>
                <w:rFonts w:hint="eastAsia" w:ascii="仿宋" w:hAnsi="仿宋" w:eastAsia="仿宋" w:cs="仿宋"/>
                <w:snapToGrid/>
                <w:color w:val="000000"/>
                <w:kern w:val="0"/>
                <w:sz w:val="24"/>
                <w:szCs w:val="24"/>
                <w:lang w:val="en-US" w:eastAsia="zh-CN" w:bidi="ar"/>
              </w:rPr>
              <w:t>分；延迟一个月（</w:t>
            </w:r>
            <w:r>
              <w:rPr>
                <w:rFonts w:hint="default" w:ascii="Times New Roman" w:hAnsi="Times New Roman" w:eastAsia="仿宋" w:cs="Times New Roman"/>
                <w:snapToGrid/>
                <w:color w:val="000000"/>
                <w:kern w:val="0"/>
                <w:sz w:val="24"/>
                <w:szCs w:val="24"/>
                <w:lang w:val="en-US" w:eastAsia="zh-CN" w:bidi="ar"/>
              </w:rPr>
              <w:t>30</w:t>
            </w:r>
            <w:r>
              <w:rPr>
                <w:rFonts w:hint="eastAsia" w:ascii="仿宋" w:hAnsi="仿宋" w:eastAsia="仿宋" w:cs="仿宋"/>
                <w:snapToGrid/>
                <w:color w:val="000000"/>
                <w:kern w:val="0"/>
                <w:sz w:val="24"/>
                <w:szCs w:val="24"/>
                <w:lang w:val="en-US" w:eastAsia="zh-CN" w:bidi="ar"/>
              </w:rPr>
              <w:t>日历天）及以上不得分。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AEFD8D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5</w:t>
            </w:r>
          </w:p>
        </w:tc>
        <w:tc>
          <w:tcPr>
            <w:tcW w:w="1683" w:type="dxa"/>
            <w:tcBorders>
              <w:top w:val="single" w:color="auto" w:sz="4" w:space="0"/>
              <w:left w:val="single" w:color="auto" w:sz="4" w:space="0"/>
              <w:bottom w:val="single" w:color="auto" w:sz="4" w:space="0"/>
            </w:tcBorders>
            <w:shd w:val="clear" w:color="auto" w:fill="auto"/>
            <w:vAlign w:val="center"/>
          </w:tcPr>
          <w:p w14:paraId="484CFA0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711B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1" w:hRule="atLeast"/>
        </w:trPr>
        <w:tc>
          <w:tcPr>
            <w:tcW w:w="789" w:type="dxa"/>
            <w:vMerge w:val="continue"/>
            <w:tcBorders>
              <w:top w:val="nil"/>
              <w:bottom w:val="single" w:color="auto" w:sz="4" w:space="0"/>
              <w:right w:val="single" w:color="auto" w:sz="4" w:space="0"/>
            </w:tcBorders>
            <w:shd w:val="clear" w:color="auto" w:fill="auto"/>
            <w:vAlign w:val="center"/>
          </w:tcPr>
          <w:p w14:paraId="440AA4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4DD3763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kern w:val="2"/>
                <w:sz w:val="24"/>
                <w:szCs w:val="24"/>
              </w:rPr>
            </w:pPr>
            <w:r>
              <w:rPr>
                <w:rFonts w:hint="eastAsia" w:ascii="仿宋" w:hAnsi="仿宋" w:eastAsia="仿宋" w:cs="仿宋"/>
                <w:snapToGrid/>
                <w:kern w:val="0"/>
                <w:sz w:val="24"/>
                <w:szCs w:val="24"/>
                <w:lang w:val="en-US" w:eastAsia="zh-CN" w:bidi="ar"/>
              </w:rPr>
              <w:t>产出成本</w:t>
            </w:r>
            <w:r>
              <w:rPr>
                <w:rFonts w:hint="default" w:ascii="Times New Roman" w:hAnsi="Times New Roman" w:eastAsia="仿宋" w:cs="Times New Roman"/>
                <w:snapToGrid/>
                <w:kern w:val="0"/>
                <w:sz w:val="24"/>
                <w:szCs w:val="24"/>
                <w:lang w:val="en-US" w:eastAsia="zh-CN" w:bidi="ar"/>
              </w:rPr>
              <w:br w:type="textWrapping"/>
            </w:r>
            <w:r>
              <w:rPr>
                <w:rFonts w:hint="eastAsia" w:ascii="仿宋" w:hAnsi="仿宋" w:eastAsia="仿宋" w:cs="仿宋"/>
                <w:snapToGrid/>
                <w:kern w:val="0"/>
                <w:sz w:val="24"/>
                <w:szCs w:val="24"/>
                <w:lang w:val="en-US" w:eastAsia="zh-CN" w:bidi="ar"/>
              </w:rPr>
              <w:t>（</w:t>
            </w:r>
            <w:r>
              <w:rPr>
                <w:rFonts w:hint="default" w:ascii="Times New Roman" w:hAnsi="Times New Roman" w:eastAsia="仿宋" w:cs="Times New Roman"/>
                <w:snapToGrid/>
                <w:kern w:val="0"/>
                <w:sz w:val="24"/>
                <w:szCs w:val="24"/>
                <w:lang w:val="en-US" w:eastAsia="zh-CN" w:bidi="ar"/>
              </w:rPr>
              <w:t>5</w:t>
            </w:r>
            <w:r>
              <w:rPr>
                <w:rFonts w:hint="eastAsia" w:ascii="仿宋" w:hAnsi="仿宋" w:eastAsia="仿宋" w:cs="仿宋"/>
                <w:snapToGrid/>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0785D8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kern w:val="2"/>
                <w:sz w:val="24"/>
                <w:szCs w:val="24"/>
              </w:rPr>
            </w:pPr>
            <w:r>
              <w:rPr>
                <w:rFonts w:hint="eastAsia" w:ascii="仿宋" w:hAnsi="仿宋" w:eastAsia="仿宋" w:cs="仿宋"/>
                <w:snapToGrid/>
                <w:kern w:val="0"/>
                <w:sz w:val="24"/>
                <w:szCs w:val="24"/>
                <w:lang w:val="en-US" w:eastAsia="zh-CN" w:bidi="ar"/>
              </w:rPr>
              <w:t>建设成本节约率</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4129587">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5</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437B34FC">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kern w:val="0"/>
                <w:sz w:val="24"/>
                <w:szCs w:val="24"/>
                <w:lang w:val="en-US" w:eastAsia="zh-CN" w:bidi="ar"/>
              </w:rPr>
              <w:t>建设成本节约率</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（阶段性计划建设成本</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实际支出成本）</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阶段性计划建设成本</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AFA40A0">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kern w:val="2"/>
                <w:sz w:val="24"/>
                <w:szCs w:val="24"/>
              </w:rPr>
            </w:pPr>
            <w:r>
              <w:rPr>
                <w:rFonts w:hint="eastAsia" w:ascii="仿宋" w:hAnsi="仿宋" w:eastAsia="仿宋" w:cs="仿宋"/>
                <w:snapToGrid/>
                <w:kern w:val="0"/>
                <w:sz w:val="24"/>
                <w:szCs w:val="24"/>
                <w:lang w:val="en-US" w:eastAsia="zh-CN" w:bidi="ar"/>
              </w:rPr>
              <w:t>建设成本节约率≥</w:t>
            </w:r>
            <w:r>
              <w:rPr>
                <w:rFonts w:hint="default" w:ascii="Times New Roman" w:hAnsi="Times New Roman" w:eastAsia="仿宋" w:cs="Times New Roman"/>
                <w:snapToGrid/>
                <w:kern w:val="0"/>
                <w:sz w:val="24"/>
                <w:szCs w:val="24"/>
                <w:lang w:val="en-US" w:eastAsia="zh-CN" w:bidi="ar"/>
              </w:rPr>
              <w:t>0%</w:t>
            </w:r>
            <w:r>
              <w:rPr>
                <w:rFonts w:hint="eastAsia" w:ascii="仿宋" w:hAnsi="仿宋" w:eastAsia="仿宋" w:cs="仿宋"/>
                <w:snapToGrid/>
                <w:kern w:val="0"/>
                <w:sz w:val="24"/>
                <w:szCs w:val="24"/>
                <w:lang w:val="en-US" w:eastAsia="zh-CN" w:bidi="ar"/>
              </w:rPr>
              <w:t>，得满分，否则不得分。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A8B311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5</w:t>
            </w:r>
          </w:p>
        </w:tc>
        <w:tc>
          <w:tcPr>
            <w:tcW w:w="1683" w:type="dxa"/>
            <w:tcBorders>
              <w:top w:val="single" w:color="auto" w:sz="4" w:space="0"/>
              <w:left w:val="single" w:color="auto" w:sz="4" w:space="0"/>
              <w:bottom w:val="single" w:color="auto" w:sz="4" w:space="0"/>
            </w:tcBorders>
            <w:shd w:val="clear" w:color="auto" w:fill="auto"/>
            <w:vAlign w:val="center"/>
          </w:tcPr>
          <w:p w14:paraId="4A81D40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66EE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Borders>
              <w:top w:val="nil"/>
              <w:bottom w:val="single" w:color="auto" w:sz="4" w:space="0"/>
              <w:right w:val="single" w:color="auto" w:sz="4" w:space="0"/>
            </w:tcBorders>
            <w:shd w:val="clear" w:color="auto" w:fill="auto"/>
            <w:vAlign w:val="center"/>
          </w:tcPr>
          <w:p w14:paraId="1A3CC93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效益</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20</w:t>
            </w:r>
            <w:r>
              <w:rPr>
                <w:rFonts w:hint="eastAsia" w:ascii="仿宋" w:hAnsi="仿宋" w:eastAsia="仿宋" w:cs="仿宋"/>
                <w:snapToGrid/>
                <w:color w:val="000000"/>
                <w:kern w:val="0"/>
                <w:sz w:val="24"/>
                <w:szCs w:val="24"/>
                <w:lang w:val="en-US" w:eastAsia="zh-CN" w:bidi="ar"/>
              </w:rPr>
              <w:t>分）</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423F016D">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社会效益</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10</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1CC3F7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促进教育与人才培养、推动科技创新与成果转化</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7E7216E">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snapToGrid/>
                <w:color w:val="000000"/>
                <w:kern w:val="0"/>
                <w:sz w:val="24"/>
                <w:szCs w:val="24"/>
                <w:lang w:val="en-US" w:eastAsia="zh-CN" w:bidi="ar"/>
              </w:rPr>
              <w:t>10</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3C156F6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kern w:val="0"/>
                <w:sz w:val="24"/>
                <w:szCs w:val="24"/>
                <w:lang w:bidi="ar"/>
              </w:rPr>
              <w:t>通过考察项目实施对</w:t>
            </w:r>
            <w:r>
              <w:rPr>
                <w:rFonts w:hint="eastAsia" w:ascii="仿宋" w:hAnsi="仿宋" w:eastAsia="仿宋" w:cs="仿宋"/>
                <w:snapToGrid/>
                <w:color w:val="000000"/>
                <w:kern w:val="0"/>
                <w:sz w:val="24"/>
                <w:szCs w:val="24"/>
                <w:lang w:val="en-US" w:eastAsia="zh-CN" w:bidi="ar"/>
              </w:rPr>
              <w:t>促进教育与人才培养、推动科技创新与成果转化</w:t>
            </w:r>
            <w:r>
              <w:rPr>
                <w:rFonts w:hint="default" w:ascii="Times New Roman" w:hAnsi="Times New Roman" w:eastAsia="仿宋" w:cs="Times New Roman"/>
                <w:color w:val="auto"/>
                <w:kern w:val="0"/>
                <w:sz w:val="24"/>
                <w:szCs w:val="24"/>
                <w:lang w:bidi="ar"/>
              </w:rPr>
              <w:t>的显著程度，来反映项目实施带来的效益情况。</w:t>
            </w:r>
          </w:p>
          <w:p w14:paraId="55AF02D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Times New Roman" w:hAnsi="Times New Roman" w:eastAsia="仿宋" w:cs="Times New Roman"/>
                <w:color w:val="auto"/>
                <w:kern w:val="0"/>
                <w:sz w:val="24"/>
                <w:szCs w:val="24"/>
                <w:lang w:bidi="ar"/>
              </w:rPr>
            </w:pPr>
            <w:r>
              <w:rPr>
                <w:rFonts w:hint="default" w:ascii="Times New Roman" w:hAnsi="Times New Roman" w:eastAsia="仿宋" w:cs="Times New Roman"/>
                <w:color w:val="auto"/>
                <w:kern w:val="0"/>
                <w:sz w:val="24"/>
                <w:szCs w:val="24"/>
                <w:lang w:bidi="ar"/>
              </w:rPr>
              <w:t>显著程度采用五段式选项来体现被调查对象的意见，即设置“非常显著”、“比较显著”、“显著”、“不太显著”和“非常不显著”五个等级。赋值分别为“5、4、3、2、1”，根据等概率法计算</w:t>
            </w:r>
            <w:r>
              <w:rPr>
                <w:rFonts w:hint="default" w:ascii="Times New Roman" w:hAnsi="Times New Roman" w:eastAsia="仿宋" w:cs="Times New Roman"/>
                <w:color w:val="auto"/>
                <w:kern w:val="0"/>
                <w:sz w:val="24"/>
                <w:szCs w:val="24"/>
                <w:lang w:eastAsia="zh-CN" w:bidi="ar"/>
              </w:rPr>
              <w:t>显著</w:t>
            </w:r>
            <w:r>
              <w:rPr>
                <w:rFonts w:hint="default" w:ascii="Times New Roman" w:hAnsi="Times New Roman" w:eastAsia="仿宋" w:cs="Times New Roman"/>
                <w:color w:val="auto"/>
                <w:kern w:val="0"/>
                <w:sz w:val="24"/>
                <w:szCs w:val="24"/>
                <w:lang w:bidi="ar"/>
              </w:rPr>
              <w:t>程度，计算公式为：</w:t>
            </w:r>
          </w:p>
          <w:p w14:paraId="747A74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auto"/>
                <w:kern w:val="0"/>
                <w:sz w:val="24"/>
                <w:szCs w:val="24"/>
                <w:lang w:bidi="ar"/>
              </w:rPr>
              <w:t>显著程度=（“非常显著”个数*5+“比较显著”*4+“显著”*3+“不太显著”*2+“非常不显著”*1）/（全部回答个数*5）*100%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CF2C8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bidi="ar"/>
              </w:rPr>
              <w:t>显著程度</w:t>
            </w:r>
            <w:r>
              <w:rPr>
                <w:rFonts w:hint="default" w:ascii="Times New Roman" w:hAnsi="Times New Roman" w:eastAsia="仿宋" w:cs="Times New Roman"/>
                <w:color w:val="000000"/>
                <w:kern w:val="0"/>
                <w:sz w:val="24"/>
                <w:szCs w:val="24"/>
                <w:lang w:eastAsia="zh-CN" w:bidi="ar"/>
              </w:rPr>
              <w:t>≥</w:t>
            </w:r>
            <w:r>
              <w:rPr>
                <w:rFonts w:hint="default" w:ascii="Times New Roman" w:hAnsi="Times New Roman" w:eastAsia="仿宋" w:cs="Times New Roman"/>
                <w:color w:val="000000"/>
                <w:kern w:val="0"/>
                <w:sz w:val="24"/>
                <w:szCs w:val="24"/>
                <w:lang w:bidi="ar"/>
              </w:rPr>
              <w:t>90%时，得满分；显著程度＜90%，每下降1%，扣除5%权重分。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E6D1934">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10</w:t>
            </w:r>
          </w:p>
        </w:tc>
        <w:tc>
          <w:tcPr>
            <w:tcW w:w="1683" w:type="dxa"/>
            <w:tcBorders>
              <w:top w:val="single" w:color="auto" w:sz="4" w:space="0"/>
              <w:left w:val="single" w:color="auto" w:sz="4" w:space="0"/>
              <w:bottom w:val="single" w:color="auto" w:sz="4" w:space="0"/>
            </w:tcBorders>
            <w:shd w:val="clear" w:color="auto" w:fill="auto"/>
            <w:vAlign w:val="center"/>
          </w:tcPr>
          <w:p w14:paraId="5E57D3A9">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7F4C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89" w:type="dxa"/>
            <w:vMerge w:val="continue"/>
            <w:tcBorders>
              <w:top w:val="nil"/>
              <w:bottom w:val="single" w:color="auto" w:sz="4" w:space="0"/>
              <w:right w:val="single" w:color="auto" w:sz="4" w:space="0"/>
            </w:tcBorders>
            <w:shd w:val="clear" w:color="auto" w:fill="auto"/>
            <w:vAlign w:val="center"/>
          </w:tcPr>
          <w:p w14:paraId="19F0CA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2255080">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经济效益</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47B46A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kern w:val="0"/>
                <w:sz w:val="24"/>
                <w:szCs w:val="24"/>
              </w:rPr>
            </w:pPr>
            <w:r>
              <w:rPr>
                <w:rFonts w:hint="eastAsia" w:ascii="仿宋" w:hAnsi="仿宋" w:eastAsia="仿宋" w:cs="仿宋"/>
                <w:snapToGrid/>
                <w:kern w:val="0"/>
                <w:sz w:val="24"/>
                <w:szCs w:val="24"/>
                <w:lang w:val="en-US" w:eastAsia="zh-CN" w:bidi="ar"/>
              </w:rPr>
              <w:t>直接经济效益</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3CB9E3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kern w:val="2"/>
                <w:sz w:val="24"/>
                <w:szCs w:val="24"/>
              </w:rPr>
            </w:pPr>
            <w:r>
              <w:rPr>
                <w:rFonts w:hint="default" w:ascii="Times New Roman" w:hAnsi="Times New Roman" w:eastAsia="仿宋" w:cs="Times New Roman"/>
                <w:snapToGrid/>
                <w:kern w:val="0"/>
                <w:sz w:val="24"/>
                <w:szCs w:val="24"/>
                <w:lang w:val="en-US" w:eastAsia="zh-CN" w:bidi="ar"/>
              </w:rPr>
              <w:t>5</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7B6C9943">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kern w:val="2"/>
                <w:sz w:val="24"/>
                <w:szCs w:val="24"/>
              </w:rPr>
            </w:pPr>
            <w:r>
              <w:rPr>
                <w:rFonts w:hint="eastAsia" w:ascii="仿宋" w:hAnsi="仿宋" w:eastAsia="仿宋" w:cs="仿宋"/>
                <w:snapToGrid/>
                <w:kern w:val="2"/>
                <w:sz w:val="24"/>
                <w:szCs w:val="24"/>
                <w:lang w:val="en-US" w:eastAsia="zh-CN" w:bidi="ar"/>
              </w:rPr>
              <w:t>通过项目建设是否产生</w:t>
            </w:r>
            <w:r>
              <w:rPr>
                <w:rFonts w:hint="eastAsia" w:ascii="仿宋" w:hAnsi="仿宋" w:eastAsia="仿宋" w:cs="仿宋"/>
                <w:snapToGrid/>
                <w:kern w:val="0"/>
                <w:sz w:val="24"/>
                <w:szCs w:val="24"/>
                <w:lang w:val="en-US" w:eastAsia="zh-CN" w:bidi="ar"/>
              </w:rPr>
              <w:t>直接经济效益。</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B37E5DD">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eastAsia" w:ascii="Times New Roman" w:hAnsi="Times New Roman" w:eastAsia="仿宋" w:cs="Times New Roman"/>
                <w:kern w:val="2"/>
                <w:sz w:val="24"/>
                <w:szCs w:val="24"/>
              </w:rPr>
            </w:pPr>
            <w:r>
              <w:rPr>
                <w:rFonts w:hint="eastAsia" w:ascii="仿宋" w:hAnsi="仿宋" w:eastAsia="仿宋" w:cs="仿宋"/>
                <w:snapToGrid/>
                <w:kern w:val="0"/>
                <w:sz w:val="24"/>
                <w:szCs w:val="24"/>
                <w:lang w:val="en-US" w:eastAsia="zh-CN" w:bidi="ar"/>
              </w:rPr>
              <w:t>满足条件得满分，否则不得分。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6ACB31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0</w:t>
            </w:r>
          </w:p>
        </w:tc>
        <w:tc>
          <w:tcPr>
            <w:tcW w:w="1683" w:type="dxa"/>
            <w:tcBorders>
              <w:top w:val="single" w:color="auto" w:sz="4" w:space="0"/>
              <w:left w:val="single" w:color="auto" w:sz="4" w:space="0"/>
              <w:bottom w:val="single" w:color="auto" w:sz="4" w:space="0"/>
            </w:tcBorders>
            <w:shd w:val="clear" w:color="auto" w:fill="auto"/>
            <w:vAlign w:val="center"/>
          </w:tcPr>
          <w:p w14:paraId="0031BE6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项目计划2023年8月开始运营，截至2024年12月31日，本项目未建设完成，无法投入运营，未产生直接经济效益。</w:t>
            </w:r>
          </w:p>
        </w:tc>
      </w:tr>
      <w:tr w14:paraId="3B36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789" w:type="dxa"/>
            <w:vMerge w:val="continue"/>
            <w:tcBorders>
              <w:top w:val="nil"/>
              <w:bottom w:val="nil"/>
              <w:right w:val="single" w:color="auto" w:sz="4" w:space="0"/>
            </w:tcBorders>
            <w:shd w:val="clear" w:color="auto" w:fill="auto"/>
            <w:vAlign w:val="center"/>
          </w:tcPr>
          <w:p w14:paraId="5887A0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8351EEC">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0"/>
                <w:sz w:val="24"/>
                <w:szCs w:val="24"/>
                <w:lang w:val="en-US" w:eastAsia="zh-CN" w:bidi="ar"/>
              </w:rPr>
              <w:t>满意度</w:t>
            </w:r>
            <w:r>
              <w:rPr>
                <w:rFonts w:hint="default" w:ascii="Times New Roman" w:hAnsi="Times New Roman" w:eastAsia="仿宋" w:cs="Times New Roman"/>
                <w:snapToGrid/>
                <w:color w:val="000000"/>
                <w:kern w:val="0"/>
                <w:sz w:val="24"/>
                <w:szCs w:val="24"/>
                <w:lang w:val="en-US" w:eastAsia="zh-CN" w:bidi="ar"/>
              </w:rPr>
              <w:br w:type="textWrapping"/>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分）</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794CB4B">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受益群体满意度</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3B8F598">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color w:val="000000"/>
                <w:kern w:val="0"/>
                <w:sz w:val="20"/>
                <w:szCs w:val="20"/>
              </w:rPr>
            </w:pPr>
            <w:r>
              <w:rPr>
                <w:rFonts w:hint="default" w:ascii="Times New Roman" w:hAnsi="Times New Roman" w:eastAsia="仿宋" w:cs="Times New Roman"/>
                <w:snapToGrid/>
                <w:color w:val="000000"/>
                <w:kern w:val="0"/>
                <w:sz w:val="24"/>
                <w:szCs w:val="24"/>
                <w:lang w:val="en-US" w:eastAsia="zh-CN" w:bidi="ar"/>
              </w:rPr>
              <w:t>5</w:t>
            </w:r>
          </w:p>
        </w:tc>
        <w:tc>
          <w:tcPr>
            <w:tcW w:w="5365" w:type="dxa"/>
            <w:tcBorders>
              <w:top w:val="single" w:color="auto" w:sz="4" w:space="0"/>
              <w:left w:val="single" w:color="auto" w:sz="4" w:space="0"/>
              <w:bottom w:val="single" w:color="auto" w:sz="4" w:space="0"/>
              <w:right w:val="single" w:color="auto" w:sz="4" w:space="0"/>
            </w:tcBorders>
            <w:shd w:val="clear" w:color="auto" w:fill="auto"/>
            <w:vAlign w:val="center"/>
          </w:tcPr>
          <w:p w14:paraId="0456E830">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满意度采用五段式选项来体现被调查对象的意见，即设置</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非常满意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比较满意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不太满意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和</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非常不满意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五个等级。赋值分别为</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3</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，根据等概率法计算满意程度，计算公式为：</w:t>
            </w:r>
          </w:p>
          <w:p w14:paraId="2D7D690E">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每题满意度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非常满意</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个数</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比较满意</w:t>
            </w:r>
            <w:r>
              <w:rPr>
                <w:rFonts w:hint="default" w:ascii="Times New Roman" w:hAnsi="Times New Roman" w:eastAsia="仿宋" w:cs="Times New Roman"/>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满意</w:t>
            </w:r>
            <w:r>
              <w:rPr>
                <w:rFonts w:hint="default" w:ascii="Times New Roman" w:hAnsi="Times New Roman" w:eastAsia="仿宋" w:cs="Times New Roman"/>
                <w:snapToGrid/>
                <w:color w:val="000000"/>
                <w:kern w:val="0"/>
                <w:sz w:val="24"/>
                <w:szCs w:val="24"/>
                <w:lang w:val="en-US" w:eastAsia="zh-CN" w:bidi="ar"/>
              </w:rPr>
              <w:t>”*3+“</w:t>
            </w:r>
            <w:r>
              <w:rPr>
                <w:rFonts w:hint="eastAsia" w:ascii="仿宋" w:hAnsi="仿宋" w:eastAsia="仿宋" w:cs="仿宋"/>
                <w:snapToGrid/>
                <w:color w:val="000000"/>
                <w:kern w:val="0"/>
                <w:sz w:val="24"/>
                <w:szCs w:val="24"/>
                <w:lang w:val="en-US" w:eastAsia="zh-CN" w:bidi="ar"/>
              </w:rPr>
              <w:t>不太满意</w:t>
            </w:r>
            <w:r>
              <w:rPr>
                <w:rFonts w:hint="default" w:ascii="Times New Roman" w:hAnsi="Times New Roman" w:eastAsia="仿宋" w:cs="Times New Roman"/>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非常不满意</w:t>
            </w:r>
            <w:r>
              <w:rPr>
                <w:rFonts w:hint="default" w:ascii="Times New Roman" w:hAnsi="Times New Roman" w:eastAsia="仿宋" w:cs="Times New Roman"/>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（全部回答个数</w:t>
            </w:r>
            <w:r>
              <w:rPr>
                <w:rFonts w:hint="default" w:ascii="Times New Roman" w:hAnsi="Times New Roman" w:eastAsia="仿宋" w:cs="Times New Roman"/>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w:t>
            </w:r>
            <w:r>
              <w:rPr>
                <w:rFonts w:hint="default" w:ascii="Times New Roman" w:hAnsi="Times New Roman" w:eastAsia="仿宋" w:cs="Times New Roman"/>
                <w:snapToGrid/>
                <w:color w:val="000000"/>
                <w:kern w:val="0"/>
                <w:sz w:val="24"/>
                <w:szCs w:val="24"/>
                <w:lang w:val="en-US" w:eastAsia="zh-CN" w:bidi="ar"/>
              </w:rPr>
              <w:t>*100%</w:t>
            </w:r>
            <w:r>
              <w:rPr>
                <w:rFonts w:hint="eastAsia" w:ascii="仿宋" w:hAnsi="仿宋" w:eastAsia="仿宋" w:cs="仿宋"/>
                <w:snapToGrid/>
                <w:color w:val="000000"/>
                <w:kern w:val="0"/>
                <w:sz w:val="24"/>
                <w:szCs w:val="24"/>
                <w:lang w:val="en-US" w:eastAsia="zh-CN" w:bidi="ar"/>
              </w:rPr>
              <w:t>。</w:t>
            </w:r>
          </w:p>
          <w:p w14:paraId="15A4BD3A">
            <w:pPr>
              <w:keepNext w:val="0"/>
              <w:keepLines w:val="0"/>
              <w:widowControl/>
              <w:suppressLineNumbers w:val="0"/>
              <w:autoSpaceDE w:val="0"/>
              <w:autoSpaceDN/>
              <w:adjustRightInd w:val="0"/>
              <w:snapToGrid w:val="0"/>
              <w:spacing w:before="0" w:beforeAutospacing="0" w:after="0" w:afterAutospacing="0"/>
              <w:ind w:left="0" w:right="0" w:firstLine="0" w:firstLineChars="0"/>
              <w:jc w:val="left"/>
              <w:textAlignment w:val="center"/>
              <w:rPr>
                <w:rFonts w:hint="default" w:ascii="Times New Roman" w:hAnsi="Times New Roman" w:eastAsia="仿宋" w:cs="Times New Roman"/>
                <w:color w:val="000000"/>
                <w:kern w:val="0"/>
                <w:sz w:val="24"/>
                <w:szCs w:val="24"/>
              </w:rPr>
            </w:pPr>
            <w:r>
              <w:rPr>
                <w:rFonts w:hint="eastAsia" w:ascii="仿宋" w:hAnsi="仿宋" w:eastAsia="仿宋" w:cs="仿宋"/>
                <w:snapToGrid/>
                <w:color w:val="000000"/>
                <w:kern w:val="0"/>
                <w:sz w:val="24"/>
                <w:szCs w:val="24"/>
                <w:lang w:val="en-US" w:eastAsia="zh-CN" w:bidi="ar"/>
              </w:rPr>
              <w:t>总体满意度</w:t>
            </w:r>
            <w:r>
              <w:rPr>
                <w:rFonts w:hint="default" w:ascii="Times New Roman" w:hAnsi="Times New Roman" w:eastAsia="仿宋" w:cs="Times New Roman"/>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各题满意度的算术（或加权）平均值。</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B687D73">
            <w:pPr>
              <w:keepNext w:val="0"/>
              <w:keepLines w:val="0"/>
              <w:widowControl/>
              <w:suppressLineNumbers w:val="0"/>
              <w:autoSpaceDE w:val="0"/>
              <w:autoSpaceDN/>
              <w:adjustRightInd w:val="0"/>
              <w:snapToGrid w:val="0"/>
              <w:spacing w:before="0" w:beforeAutospacing="0" w:after="0" w:afterAutospacing="0"/>
              <w:ind w:left="0" w:right="0" w:firstLine="0" w:firstLineChars="0"/>
              <w:jc w:val="both"/>
              <w:textAlignment w:val="center"/>
              <w:rPr>
                <w:rFonts w:hint="default" w:ascii="Times New Roman" w:hAnsi="Times New Roman" w:eastAsia="仿宋" w:cs="Times New Roman"/>
                <w:color w:val="000000"/>
                <w:kern w:val="2"/>
                <w:sz w:val="24"/>
                <w:szCs w:val="24"/>
              </w:rPr>
            </w:pPr>
            <w:r>
              <w:rPr>
                <w:rFonts w:hint="eastAsia" w:ascii="仿宋" w:hAnsi="仿宋" w:eastAsia="仿宋" w:cs="仿宋"/>
                <w:snapToGrid/>
                <w:color w:val="000000"/>
                <w:kern w:val="2"/>
                <w:sz w:val="24"/>
                <w:szCs w:val="24"/>
                <w:lang w:val="en-US" w:eastAsia="zh-CN" w:bidi="ar"/>
              </w:rPr>
              <w:t>满意度≥</w:t>
            </w:r>
            <w:r>
              <w:rPr>
                <w:rFonts w:hint="default" w:ascii="Times New Roman" w:hAnsi="Times New Roman" w:eastAsia="仿宋" w:cs="Times New Roman"/>
                <w:snapToGrid/>
                <w:color w:val="000000"/>
                <w:kern w:val="2"/>
                <w:sz w:val="24"/>
                <w:szCs w:val="24"/>
                <w:lang w:val="en-US" w:eastAsia="zh-CN" w:bidi="ar"/>
              </w:rPr>
              <w:t>90%</w:t>
            </w:r>
            <w:r>
              <w:rPr>
                <w:rFonts w:hint="eastAsia" w:ascii="仿宋" w:hAnsi="仿宋" w:eastAsia="仿宋" w:cs="仿宋"/>
                <w:snapToGrid/>
                <w:color w:val="000000"/>
                <w:kern w:val="2"/>
                <w:sz w:val="24"/>
                <w:szCs w:val="24"/>
                <w:lang w:val="en-US" w:eastAsia="zh-CN" w:bidi="ar"/>
              </w:rPr>
              <w:t>得满分，满意度＜</w:t>
            </w:r>
            <w:r>
              <w:rPr>
                <w:rFonts w:hint="default" w:ascii="Times New Roman" w:hAnsi="Times New Roman" w:eastAsia="仿宋" w:cs="Times New Roman"/>
                <w:snapToGrid/>
                <w:color w:val="000000"/>
                <w:kern w:val="2"/>
                <w:sz w:val="24"/>
                <w:szCs w:val="24"/>
                <w:lang w:val="en-US" w:eastAsia="zh-CN" w:bidi="ar"/>
              </w:rPr>
              <w:t>90%</w:t>
            </w:r>
            <w:r>
              <w:rPr>
                <w:rFonts w:hint="eastAsia" w:ascii="仿宋" w:hAnsi="仿宋" w:eastAsia="仿宋" w:cs="仿宋"/>
                <w:snapToGrid/>
                <w:color w:val="000000"/>
                <w:kern w:val="2"/>
                <w:sz w:val="24"/>
                <w:szCs w:val="24"/>
                <w:lang w:val="en-US" w:eastAsia="zh-CN" w:bidi="ar"/>
              </w:rPr>
              <w:t>，每下降</w:t>
            </w:r>
            <w:r>
              <w:rPr>
                <w:rFonts w:hint="default" w:ascii="Times New Roman" w:hAnsi="Times New Roman" w:eastAsia="仿宋" w:cs="Times New Roman"/>
                <w:snapToGrid/>
                <w:color w:val="000000"/>
                <w:kern w:val="2"/>
                <w:sz w:val="24"/>
                <w:szCs w:val="24"/>
                <w:lang w:val="en-US" w:eastAsia="zh-CN" w:bidi="ar"/>
              </w:rPr>
              <w:t>1%</w:t>
            </w:r>
            <w:r>
              <w:rPr>
                <w:rFonts w:hint="eastAsia" w:ascii="仿宋" w:hAnsi="仿宋" w:eastAsia="仿宋" w:cs="仿宋"/>
                <w:snapToGrid/>
                <w:color w:val="000000"/>
                <w:kern w:val="2"/>
                <w:sz w:val="24"/>
                <w:szCs w:val="24"/>
                <w:lang w:val="en-US" w:eastAsia="zh-CN" w:bidi="ar"/>
              </w:rPr>
              <w:t>，扣除</w:t>
            </w:r>
            <w:r>
              <w:rPr>
                <w:rFonts w:hint="default" w:ascii="Times New Roman" w:hAnsi="Times New Roman" w:eastAsia="仿宋" w:cs="Times New Roman"/>
                <w:snapToGrid/>
                <w:color w:val="000000"/>
                <w:kern w:val="2"/>
                <w:sz w:val="24"/>
                <w:szCs w:val="24"/>
                <w:lang w:val="en-US" w:eastAsia="zh-CN" w:bidi="ar"/>
              </w:rPr>
              <w:t>5%</w:t>
            </w:r>
            <w:r>
              <w:rPr>
                <w:rFonts w:hint="eastAsia" w:ascii="仿宋" w:hAnsi="仿宋" w:eastAsia="仿宋" w:cs="仿宋"/>
                <w:snapToGrid/>
                <w:color w:val="000000"/>
                <w:kern w:val="2"/>
                <w:sz w:val="24"/>
                <w:szCs w:val="24"/>
                <w:lang w:val="en-US" w:eastAsia="zh-CN" w:bidi="ar"/>
              </w:rPr>
              <w:t>权重分。</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ABD25B5">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snapToGrid/>
                <w:color w:val="000000"/>
                <w:kern w:val="0"/>
                <w:sz w:val="24"/>
                <w:szCs w:val="24"/>
                <w:lang w:val="en-US" w:eastAsia="zh-CN" w:bidi="ar"/>
              </w:rPr>
              <w:t>5</w:t>
            </w:r>
          </w:p>
        </w:tc>
        <w:tc>
          <w:tcPr>
            <w:tcW w:w="1683" w:type="dxa"/>
            <w:tcBorders>
              <w:top w:val="single" w:color="auto" w:sz="4" w:space="0"/>
              <w:left w:val="single" w:color="auto" w:sz="4" w:space="0"/>
              <w:bottom w:val="single" w:color="auto" w:sz="4" w:space="0"/>
            </w:tcBorders>
            <w:shd w:val="clear" w:color="auto" w:fill="auto"/>
            <w:vAlign w:val="center"/>
          </w:tcPr>
          <w:p w14:paraId="2EE95618">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r w14:paraId="08CF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852" w:type="dxa"/>
            <w:gridSpan w:val="6"/>
            <w:tcBorders>
              <w:top w:val="nil"/>
              <w:right w:val="single" w:color="auto" w:sz="4" w:space="0"/>
            </w:tcBorders>
            <w:shd w:val="clear" w:color="auto" w:fill="auto"/>
            <w:vAlign w:val="center"/>
          </w:tcPr>
          <w:p w14:paraId="077E8B4A">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仿宋" w:hAnsi="仿宋" w:eastAsia="仿宋" w:cs="仿宋"/>
                <w:b/>
                <w:bCs/>
                <w:snapToGrid/>
                <w:color w:val="000000"/>
                <w:kern w:val="2"/>
                <w:sz w:val="24"/>
                <w:szCs w:val="24"/>
                <w:lang w:val="en-US" w:eastAsia="zh-CN" w:bidi="ar"/>
              </w:rPr>
            </w:pPr>
            <w:r>
              <w:rPr>
                <w:rFonts w:hint="eastAsia" w:ascii="仿宋" w:hAnsi="仿宋" w:eastAsia="仿宋" w:cs="仿宋"/>
                <w:b/>
                <w:bCs/>
                <w:snapToGrid/>
                <w:color w:val="000000"/>
                <w:kern w:val="2"/>
                <w:sz w:val="24"/>
                <w:szCs w:val="24"/>
                <w:lang w:val="en-US" w:eastAsia="zh-CN" w:bidi="ar"/>
              </w:rPr>
              <w:t>合计</w:t>
            </w:r>
          </w:p>
        </w:tc>
        <w:tc>
          <w:tcPr>
            <w:tcW w:w="1050" w:type="dxa"/>
            <w:tcBorders>
              <w:top w:val="single" w:color="auto" w:sz="4" w:space="0"/>
              <w:left w:val="single" w:color="auto" w:sz="4" w:space="0"/>
              <w:right w:val="single" w:color="auto" w:sz="4" w:space="0"/>
            </w:tcBorders>
            <w:shd w:val="clear" w:color="auto" w:fill="auto"/>
            <w:vAlign w:val="center"/>
          </w:tcPr>
          <w:p w14:paraId="6DD31D13">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default" w:ascii="Times New Roman" w:hAnsi="Times New Roman" w:eastAsia="仿宋" w:cs="Times New Roman"/>
                <w:snapToGrid/>
                <w:color w:val="000000"/>
                <w:kern w:val="0"/>
                <w:sz w:val="24"/>
                <w:szCs w:val="24"/>
                <w:lang w:val="en-US" w:eastAsia="zh-CN" w:bidi="ar"/>
              </w:rPr>
            </w:pPr>
            <w:r>
              <w:rPr>
                <w:rFonts w:hint="eastAsia" w:ascii="Times New Roman" w:hAnsi="Times New Roman" w:eastAsia="仿宋" w:cs="Times New Roman"/>
                <w:b/>
                <w:bCs/>
                <w:snapToGrid/>
                <w:color w:val="000000"/>
                <w:kern w:val="0"/>
                <w:sz w:val="24"/>
                <w:szCs w:val="24"/>
                <w:lang w:val="en-US" w:eastAsia="zh-CN" w:bidi="ar"/>
              </w:rPr>
              <w:t>78.94</w:t>
            </w:r>
          </w:p>
        </w:tc>
        <w:tc>
          <w:tcPr>
            <w:tcW w:w="1683" w:type="dxa"/>
            <w:tcBorders>
              <w:top w:val="single" w:color="auto" w:sz="4" w:space="0"/>
              <w:left w:val="single" w:color="auto" w:sz="4" w:space="0"/>
            </w:tcBorders>
            <w:shd w:val="clear" w:color="auto" w:fill="auto"/>
            <w:vAlign w:val="center"/>
          </w:tcPr>
          <w:p w14:paraId="40C7007F">
            <w:pPr>
              <w:keepNext w:val="0"/>
              <w:keepLines w:val="0"/>
              <w:widowControl/>
              <w:suppressLineNumbers w:val="0"/>
              <w:autoSpaceDE w:val="0"/>
              <w:autoSpaceDN/>
              <w:adjustRightInd w:val="0"/>
              <w:snapToGrid w:val="0"/>
              <w:spacing w:before="0" w:beforeAutospacing="0" w:after="0" w:afterAutospacing="0"/>
              <w:ind w:left="0" w:right="0" w:firstLine="0" w:firstLineChars="0"/>
              <w:jc w:val="center"/>
              <w:textAlignment w:val="center"/>
              <w:rPr>
                <w:rFonts w:hint="eastAsia" w:ascii="Times New Roman" w:hAnsi="Times New Roman" w:eastAsia="仿宋" w:cs="Times New Roman"/>
                <w:snapToGrid/>
                <w:color w:val="000000"/>
                <w:kern w:val="0"/>
                <w:sz w:val="24"/>
                <w:szCs w:val="24"/>
                <w:lang w:val="en-US" w:eastAsia="zh-CN" w:bidi="ar"/>
              </w:rPr>
            </w:pPr>
          </w:p>
        </w:tc>
      </w:tr>
    </w:tbl>
    <w:p w14:paraId="7708850D">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default" w:ascii="Times New Roman" w:hAnsi="Times New Roman" w:eastAsia="仿宋_GB2312" w:cs="Times New Roman"/>
          <w:kern w:val="2"/>
          <w:sz w:val="32"/>
          <w:szCs w:val="32"/>
          <w:highlight w:val="none"/>
          <w:lang w:val="en-US" w:eastAsia="zh-CN" w:bidi="ar-SA"/>
        </w:rPr>
      </w:pPr>
    </w:p>
    <w:sectPr>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AA6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7F3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5318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E5318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E0C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CBB8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2BCBB8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42EC33F">
      <w:pPr>
        <w:pStyle w:val="12"/>
        <w:snapToGrid w:val="0"/>
      </w:pPr>
      <w:r>
        <w:rPr>
          <w:rStyle w:val="22"/>
        </w:rPr>
        <w:footnoteRef/>
      </w:r>
      <w:r>
        <w:t xml:space="preserve"> </w:t>
      </w:r>
      <w:r>
        <w:rPr>
          <w:rFonts w:hint="eastAsia"/>
          <w:lang w:val="en-US" w:eastAsia="zh-CN"/>
        </w:rPr>
        <w:t>该合计数与表格中各数值之和存在差异，原因为四舍五入。下同。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32C88"/>
    <w:multiLevelType w:val="singleLevel"/>
    <w:tmpl w:val="BA332C88"/>
    <w:lvl w:ilvl="0" w:tentative="0">
      <w:start w:val="1"/>
      <w:numFmt w:val="decimal"/>
      <w:lvlText w:val="%1"/>
      <w:lvlJc w:val="left"/>
      <w:pPr>
        <w:tabs>
          <w:tab w:val="left" w:pos="0"/>
        </w:tabs>
        <w:ind w:left="0" w:leftChars="0" w:firstLine="0" w:firstLineChars="0"/>
      </w:pPr>
      <w:rPr>
        <w:rFonts w:hint="default"/>
      </w:rPr>
    </w:lvl>
  </w:abstractNum>
  <w:abstractNum w:abstractNumId="1">
    <w:nsid w:val="49005D64"/>
    <w:multiLevelType w:val="singleLevel"/>
    <w:tmpl w:val="49005D64"/>
    <w:lvl w:ilvl="0" w:tentative="0">
      <w:start w:val="1"/>
      <w:numFmt w:val="decimal"/>
      <w:suff w:val="nothing"/>
      <w:lvlText w:val="%1"/>
      <w:lvlJc w:val="left"/>
      <w:pPr>
        <w:ind w:left="0" w:firstLine="0"/>
      </w:pPr>
      <w:rPr>
        <w:rFonts w:hint="default"/>
      </w:rPr>
    </w:lvl>
  </w:abstractNum>
  <w:abstractNum w:abstractNumId="2">
    <w:nsid w:val="543EBB13"/>
    <w:multiLevelType w:val="singleLevel"/>
    <w:tmpl w:val="543EBB13"/>
    <w:lvl w:ilvl="0" w:tentative="0">
      <w:start w:val="1"/>
      <w:numFmt w:val="decimal"/>
      <w:suff w:val="nothing"/>
      <w:lvlText w:val="%1"/>
      <w:lvlJc w:val="left"/>
      <w:pPr>
        <w:ind w:left="0" w:firstLine="403"/>
      </w:pPr>
      <w:rPr>
        <w:rFonts w:hint="default"/>
      </w:rPr>
    </w:lvl>
  </w:abstractNum>
  <w:abstractNum w:abstractNumId="3">
    <w:nsid w:val="5B6FB80A"/>
    <w:multiLevelType w:val="singleLevel"/>
    <w:tmpl w:val="5B6FB80A"/>
    <w:lvl w:ilvl="0" w:tentative="0">
      <w:start w:val="1"/>
      <w:numFmt w:val="decimal"/>
      <w:lvlText w:val="%1"/>
      <w:lvlJc w:val="left"/>
      <w:pPr>
        <w:tabs>
          <w:tab w:val="left" w:pos="0"/>
        </w:tabs>
        <w:ind w:left="0" w:leftChars="0" w:firstLine="0" w:firstLineChars="0"/>
      </w:pPr>
      <w:rPr>
        <w:rFonts w:hint="default"/>
      </w:rPr>
    </w:lvl>
  </w:abstractNum>
  <w:abstractNum w:abstractNumId="4">
    <w:nsid w:val="6990820B"/>
    <w:multiLevelType w:val="singleLevel"/>
    <w:tmpl w:val="6990820B"/>
    <w:lvl w:ilvl="0" w:tentative="0">
      <w:start w:val="1"/>
      <w:numFmt w:val="decimal"/>
      <w:suff w:val="nothing"/>
      <w:lvlText w:val="%1"/>
      <w:lvlJc w:val="center"/>
      <w:pPr>
        <w:ind w:left="0" w:firstLine="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Tg5ODI0OTVjNDAxNmYxZTczMjc3ZWRhN2ZhNjAifQ=="/>
    <w:docVar w:name="KSO_WPS_MARK_KEY" w:val="6661ea49-9d82-4f47-94bd-461461690940"/>
  </w:docVars>
  <w:rsids>
    <w:rsidRoot w:val="00172A27"/>
    <w:rsid w:val="00062DC1"/>
    <w:rsid w:val="0009075B"/>
    <w:rsid w:val="001A6AA9"/>
    <w:rsid w:val="00300B58"/>
    <w:rsid w:val="004B2897"/>
    <w:rsid w:val="00537C28"/>
    <w:rsid w:val="00553567"/>
    <w:rsid w:val="007C72F4"/>
    <w:rsid w:val="008D313A"/>
    <w:rsid w:val="00A40483"/>
    <w:rsid w:val="00B46191"/>
    <w:rsid w:val="00B65D92"/>
    <w:rsid w:val="00BC3A1F"/>
    <w:rsid w:val="00C50B26"/>
    <w:rsid w:val="00C8683C"/>
    <w:rsid w:val="00CB3C62"/>
    <w:rsid w:val="00CB5A10"/>
    <w:rsid w:val="00E371FE"/>
    <w:rsid w:val="00E84814"/>
    <w:rsid w:val="00EB1C0E"/>
    <w:rsid w:val="00EB60B2"/>
    <w:rsid w:val="00ED5986"/>
    <w:rsid w:val="010B0980"/>
    <w:rsid w:val="010D0987"/>
    <w:rsid w:val="01115B19"/>
    <w:rsid w:val="011F393D"/>
    <w:rsid w:val="012670EA"/>
    <w:rsid w:val="012B7B76"/>
    <w:rsid w:val="0141514D"/>
    <w:rsid w:val="01487061"/>
    <w:rsid w:val="017A53E0"/>
    <w:rsid w:val="01875DDB"/>
    <w:rsid w:val="01982829"/>
    <w:rsid w:val="019D115B"/>
    <w:rsid w:val="01A20482"/>
    <w:rsid w:val="01AE1649"/>
    <w:rsid w:val="01B956F4"/>
    <w:rsid w:val="01BB5A85"/>
    <w:rsid w:val="01BF3BCE"/>
    <w:rsid w:val="01C631E5"/>
    <w:rsid w:val="01CF32C1"/>
    <w:rsid w:val="01D25DD7"/>
    <w:rsid w:val="01D41DD4"/>
    <w:rsid w:val="01D86637"/>
    <w:rsid w:val="01DF5C17"/>
    <w:rsid w:val="02005B8D"/>
    <w:rsid w:val="020236B3"/>
    <w:rsid w:val="0205360A"/>
    <w:rsid w:val="02151639"/>
    <w:rsid w:val="0221659B"/>
    <w:rsid w:val="0227311A"/>
    <w:rsid w:val="022731C6"/>
    <w:rsid w:val="02322B5B"/>
    <w:rsid w:val="023613A4"/>
    <w:rsid w:val="02485823"/>
    <w:rsid w:val="025263E9"/>
    <w:rsid w:val="025715F8"/>
    <w:rsid w:val="02994FD2"/>
    <w:rsid w:val="02B20C36"/>
    <w:rsid w:val="02CC5067"/>
    <w:rsid w:val="02CE3596"/>
    <w:rsid w:val="02D74DF9"/>
    <w:rsid w:val="02E828A9"/>
    <w:rsid w:val="02EE3C38"/>
    <w:rsid w:val="02FC6355"/>
    <w:rsid w:val="031A67DB"/>
    <w:rsid w:val="03216C41"/>
    <w:rsid w:val="03265180"/>
    <w:rsid w:val="03394EB3"/>
    <w:rsid w:val="033A4159"/>
    <w:rsid w:val="033C6494"/>
    <w:rsid w:val="034B2A33"/>
    <w:rsid w:val="03547F3F"/>
    <w:rsid w:val="03645217"/>
    <w:rsid w:val="036C34DA"/>
    <w:rsid w:val="037B768C"/>
    <w:rsid w:val="037C276B"/>
    <w:rsid w:val="037F593C"/>
    <w:rsid w:val="03840696"/>
    <w:rsid w:val="03886477"/>
    <w:rsid w:val="03A922CF"/>
    <w:rsid w:val="03C42B10"/>
    <w:rsid w:val="03C9092D"/>
    <w:rsid w:val="03CC1E33"/>
    <w:rsid w:val="03D03378"/>
    <w:rsid w:val="03D35307"/>
    <w:rsid w:val="03FC0581"/>
    <w:rsid w:val="04086A8E"/>
    <w:rsid w:val="04261197"/>
    <w:rsid w:val="042A29C7"/>
    <w:rsid w:val="04355F83"/>
    <w:rsid w:val="043971E4"/>
    <w:rsid w:val="04514609"/>
    <w:rsid w:val="046B62E5"/>
    <w:rsid w:val="04703776"/>
    <w:rsid w:val="04840BF5"/>
    <w:rsid w:val="048760F2"/>
    <w:rsid w:val="04877EA0"/>
    <w:rsid w:val="048D7E76"/>
    <w:rsid w:val="0490351F"/>
    <w:rsid w:val="049A38AA"/>
    <w:rsid w:val="04C30016"/>
    <w:rsid w:val="04C35BB6"/>
    <w:rsid w:val="04D41B2B"/>
    <w:rsid w:val="04D578F7"/>
    <w:rsid w:val="04DA4474"/>
    <w:rsid w:val="04E43544"/>
    <w:rsid w:val="04E62E18"/>
    <w:rsid w:val="04E95E55"/>
    <w:rsid w:val="04EA66E0"/>
    <w:rsid w:val="0500188B"/>
    <w:rsid w:val="05032E3F"/>
    <w:rsid w:val="05203093"/>
    <w:rsid w:val="052B1173"/>
    <w:rsid w:val="052B7684"/>
    <w:rsid w:val="052E656D"/>
    <w:rsid w:val="05304CFD"/>
    <w:rsid w:val="05384090"/>
    <w:rsid w:val="054378B2"/>
    <w:rsid w:val="054B767F"/>
    <w:rsid w:val="055E6E53"/>
    <w:rsid w:val="05605C60"/>
    <w:rsid w:val="056346D9"/>
    <w:rsid w:val="05672CE5"/>
    <w:rsid w:val="056C2049"/>
    <w:rsid w:val="057C552B"/>
    <w:rsid w:val="057E20C9"/>
    <w:rsid w:val="05865937"/>
    <w:rsid w:val="058F1702"/>
    <w:rsid w:val="05997E8B"/>
    <w:rsid w:val="05B64EE1"/>
    <w:rsid w:val="05BA2708"/>
    <w:rsid w:val="05BC614B"/>
    <w:rsid w:val="05CE2E9C"/>
    <w:rsid w:val="05D13AC9"/>
    <w:rsid w:val="05D15877"/>
    <w:rsid w:val="05E11832"/>
    <w:rsid w:val="05F63DA2"/>
    <w:rsid w:val="060A79EB"/>
    <w:rsid w:val="060C6775"/>
    <w:rsid w:val="06113004"/>
    <w:rsid w:val="06383B48"/>
    <w:rsid w:val="06420522"/>
    <w:rsid w:val="06450013"/>
    <w:rsid w:val="064A387B"/>
    <w:rsid w:val="065155BF"/>
    <w:rsid w:val="067032E2"/>
    <w:rsid w:val="067F52D3"/>
    <w:rsid w:val="068C6F7E"/>
    <w:rsid w:val="069074E0"/>
    <w:rsid w:val="06915006"/>
    <w:rsid w:val="069C40D7"/>
    <w:rsid w:val="06B56F46"/>
    <w:rsid w:val="06CC689B"/>
    <w:rsid w:val="06D3561E"/>
    <w:rsid w:val="06DB44D3"/>
    <w:rsid w:val="06E2123D"/>
    <w:rsid w:val="06EE4206"/>
    <w:rsid w:val="06F272DF"/>
    <w:rsid w:val="06F848E4"/>
    <w:rsid w:val="06FC4B75"/>
    <w:rsid w:val="070345D9"/>
    <w:rsid w:val="0708176C"/>
    <w:rsid w:val="071579E5"/>
    <w:rsid w:val="071A4282"/>
    <w:rsid w:val="07227BF5"/>
    <w:rsid w:val="072919FB"/>
    <w:rsid w:val="072D11D3"/>
    <w:rsid w:val="072E38FD"/>
    <w:rsid w:val="074B4DF2"/>
    <w:rsid w:val="075E138C"/>
    <w:rsid w:val="07605B43"/>
    <w:rsid w:val="07611A86"/>
    <w:rsid w:val="0775005F"/>
    <w:rsid w:val="07750484"/>
    <w:rsid w:val="077A3CEC"/>
    <w:rsid w:val="0782744B"/>
    <w:rsid w:val="07854D3E"/>
    <w:rsid w:val="07B43885"/>
    <w:rsid w:val="07C531B9"/>
    <w:rsid w:val="07CB4548"/>
    <w:rsid w:val="07CF3482"/>
    <w:rsid w:val="07DA5D7D"/>
    <w:rsid w:val="07DB16FA"/>
    <w:rsid w:val="07E310F4"/>
    <w:rsid w:val="07E35D35"/>
    <w:rsid w:val="07EC2E3C"/>
    <w:rsid w:val="07FE2B6F"/>
    <w:rsid w:val="07FE3434"/>
    <w:rsid w:val="080708FA"/>
    <w:rsid w:val="08105126"/>
    <w:rsid w:val="08135F0E"/>
    <w:rsid w:val="08273E74"/>
    <w:rsid w:val="08382D71"/>
    <w:rsid w:val="0865777F"/>
    <w:rsid w:val="08674270"/>
    <w:rsid w:val="0869448C"/>
    <w:rsid w:val="087A397A"/>
    <w:rsid w:val="08843074"/>
    <w:rsid w:val="08860919"/>
    <w:rsid w:val="0888565B"/>
    <w:rsid w:val="08957639"/>
    <w:rsid w:val="08A13C26"/>
    <w:rsid w:val="08A246F4"/>
    <w:rsid w:val="08AE6343"/>
    <w:rsid w:val="08B80F70"/>
    <w:rsid w:val="08CD433B"/>
    <w:rsid w:val="08D20BF4"/>
    <w:rsid w:val="08EB30F3"/>
    <w:rsid w:val="08F301FA"/>
    <w:rsid w:val="08FA73D6"/>
    <w:rsid w:val="08FC55B9"/>
    <w:rsid w:val="08FC66CD"/>
    <w:rsid w:val="090356A3"/>
    <w:rsid w:val="090C4E18"/>
    <w:rsid w:val="09104908"/>
    <w:rsid w:val="091343F8"/>
    <w:rsid w:val="09137F54"/>
    <w:rsid w:val="09186702"/>
    <w:rsid w:val="092D1C06"/>
    <w:rsid w:val="093323A4"/>
    <w:rsid w:val="093A7BD7"/>
    <w:rsid w:val="093F343F"/>
    <w:rsid w:val="09412471"/>
    <w:rsid w:val="09413E70"/>
    <w:rsid w:val="09440B7A"/>
    <w:rsid w:val="094E71DE"/>
    <w:rsid w:val="09672A33"/>
    <w:rsid w:val="096801D8"/>
    <w:rsid w:val="096D2DCE"/>
    <w:rsid w:val="096E7880"/>
    <w:rsid w:val="09794E8E"/>
    <w:rsid w:val="097F7444"/>
    <w:rsid w:val="09A60E80"/>
    <w:rsid w:val="09AC3F88"/>
    <w:rsid w:val="09B34F12"/>
    <w:rsid w:val="09C00791"/>
    <w:rsid w:val="09C4678F"/>
    <w:rsid w:val="09C86F91"/>
    <w:rsid w:val="09E55125"/>
    <w:rsid w:val="09E9041A"/>
    <w:rsid w:val="09EF09C1"/>
    <w:rsid w:val="09FF3ADE"/>
    <w:rsid w:val="0A116943"/>
    <w:rsid w:val="0A20284C"/>
    <w:rsid w:val="0A207013"/>
    <w:rsid w:val="0A252635"/>
    <w:rsid w:val="0A3E36F7"/>
    <w:rsid w:val="0A4C1970"/>
    <w:rsid w:val="0A4D6419"/>
    <w:rsid w:val="0A590531"/>
    <w:rsid w:val="0A5922DF"/>
    <w:rsid w:val="0A880415"/>
    <w:rsid w:val="0A920751"/>
    <w:rsid w:val="0A981059"/>
    <w:rsid w:val="0AA229B6"/>
    <w:rsid w:val="0AB4225A"/>
    <w:rsid w:val="0AB80DB3"/>
    <w:rsid w:val="0ABA2D7D"/>
    <w:rsid w:val="0ACB37B2"/>
    <w:rsid w:val="0ACF434F"/>
    <w:rsid w:val="0AD36ED6"/>
    <w:rsid w:val="0AD724F2"/>
    <w:rsid w:val="0AE9460E"/>
    <w:rsid w:val="0AF47930"/>
    <w:rsid w:val="0AF85C1B"/>
    <w:rsid w:val="0AFF6E43"/>
    <w:rsid w:val="0B04224A"/>
    <w:rsid w:val="0B107332"/>
    <w:rsid w:val="0B145CA6"/>
    <w:rsid w:val="0B215421"/>
    <w:rsid w:val="0B29775F"/>
    <w:rsid w:val="0B351C85"/>
    <w:rsid w:val="0B6131F9"/>
    <w:rsid w:val="0B690F28"/>
    <w:rsid w:val="0B6C4A4A"/>
    <w:rsid w:val="0B745622"/>
    <w:rsid w:val="0B784A21"/>
    <w:rsid w:val="0B82351A"/>
    <w:rsid w:val="0B836EA2"/>
    <w:rsid w:val="0B951B22"/>
    <w:rsid w:val="0B9A4D3D"/>
    <w:rsid w:val="0BB2614A"/>
    <w:rsid w:val="0BB8334C"/>
    <w:rsid w:val="0BC96FF0"/>
    <w:rsid w:val="0BCD6AE0"/>
    <w:rsid w:val="0BDF0791"/>
    <w:rsid w:val="0BDF1202"/>
    <w:rsid w:val="0BF24799"/>
    <w:rsid w:val="0BF26547"/>
    <w:rsid w:val="0C023496"/>
    <w:rsid w:val="0C0956B4"/>
    <w:rsid w:val="0C2537E1"/>
    <w:rsid w:val="0C2D13E7"/>
    <w:rsid w:val="0C3F5B5C"/>
    <w:rsid w:val="0C436DA2"/>
    <w:rsid w:val="0C4402B3"/>
    <w:rsid w:val="0C4A6383"/>
    <w:rsid w:val="0C972E39"/>
    <w:rsid w:val="0C9D1427"/>
    <w:rsid w:val="0CA720B7"/>
    <w:rsid w:val="0CAD7BC4"/>
    <w:rsid w:val="0CB70557"/>
    <w:rsid w:val="0CB90E13"/>
    <w:rsid w:val="0CBE467B"/>
    <w:rsid w:val="0CC0773E"/>
    <w:rsid w:val="0CCE2B10"/>
    <w:rsid w:val="0CD06994"/>
    <w:rsid w:val="0CE63BE2"/>
    <w:rsid w:val="0CFB5B87"/>
    <w:rsid w:val="0CFE2CC9"/>
    <w:rsid w:val="0D0924C0"/>
    <w:rsid w:val="0D0A25EB"/>
    <w:rsid w:val="0D18022F"/>
    <w:rsid w:val="0D206ED8"/>
    <w:rsid w:val="0D2564A8"/>
    <w:rsid w:val="0D3F045D"/>
    <w:rsid w:val="0D441024"/>
    <w:rsid w:val="0D4C2BDE"/>
    <w:rsid w:val="0D4C342B"/>
    <w:rsid w:val="0D541896"/>
    <w:rsid w:val="0D545B60"/>
    <w:rsid w:val="0D555619"/>
    <w:rsid w:val="0D584C5E"/>
    <w:rsid w:val="0D5C45C0"/>
    <w:rsid w:val="0D69797E"/>
    <w:rsid w:val="0D6E7E4F"/>
    <w:rsid w:val="0D7116ED"/>
    <w:rsid w:val="0D7B050D"/>
    <w:rsid w:val="0D813C77"/>
    <w:rsid w:val="0D8238FA"/>
    <w:rsid w:val="0DAB2F23"/>
    <w:rsid w:val="0DAF0B93"/>
    <w:rsid w:val="0DBC6E0C"/>
    <w:rsid w:val="0DC304E9"/>
    <w:rsid w:val="0DDC125D"/>
    <w:rsid w:val="0DDD0653"/>
    <w:rsid w:val="0DFC774A"/>
    <w:rsid w:val="0E0034B1"/>
    <w:rsid w:val="0E042561"/>
    <w:rsid w:val="0E083828"/>
    <w:rsid w:val="0E1A3B33"/>
    <w:rsid w:val="0E1F39E3"/>
    <w:rsid w:val="0E205822"/>
    <w:rsid w:val="0E261665"/>
    <w:rsid w:val="0E2C21E4"/>
    <w:rsid w:val="0E2C735C"/>
    <w:rsid w:val="0E440BB0"/>
    <w:rsid w:val="0E451E4B"/>
    <w:rsid w:val="0E471F5C"/>
    <w:rsid w:val="0E472979"/>
    <w:rsid w:val="0E5D060E"/>
    <w:rsid w:val="0E683791"/>
    <w:rsid w:val="0E6A7FC2"/>
    <w:rsid w:val="0E7B0A75"/>
    <w:rsid w:val="0E806D54"/>
    <w:rsid w:val="0E8A7452"/>
    <w:rsid w:val="0EB914A6"/>
    <w:rsid w:val="0EBB6913"/>
    <w:rsid w:val="0EC3241C"/>
    <w:rsid w:val="0EC75A69"/>
    <w:rsid w:val="0ECB733C"/>
    <w:rsid w:val="0ECF2DB5"/>
    <w:rsid w:val="0ED63EFE"/>
    <w:rsid w:val="0EE24742"/>
    <w:rsid w:val="0EE859DF"/>
    <w:rsid w:val="0EF7640E"/>
    <w:rsid w:val="0F0B7098"/>
    <w:rsid w:val="0F16254C"/>
    <w:rsid w:val="0F234C69"/>
    <w:rsid w:val="0F2A73BD"/>
    <w:rsid w:val="0F3D07F3"/>
    <w:rsid w:val="0F5117D6"/>
    <w:rsid w:val="0F5304C9"/>
    <w:rsid w:val="0F5450AA"/>
    <w:rsid w:val="0F5D2ECD"/>
    <w:rsid w:val="0F5F4524"/>
    <w:rsid w:val="0F6E4136"/>
    <w:rsid w:val="0F6F114D"/>
    <w:rsid w:val="0F7E4F29"/>
    <w:rsid w:val="0F7E6B81"/>
    <w:rsid w:val="0F9E379D"/>
    <w:rsid w:val="0FB04FF9"/>
    <w:rsid w:val="0FB360BB"/>
    <w:rsid w:val="0FDD1D6F"/>
    <w:rsid w:val="0FDD55D6"/>
    <w:rsid w:val="0FEF076D"/>
    <w:rsid w:val="0FFB1B55"/>
    <w:rsid w:val="10064C74"/>
    <w:rsid w:val="100B1EAC"/>
    <w:rsid w:val="101F3682"/>
    <w:rsid w:val="10386296"/>
    <w:rsid w:val="10404C94"/>
    <w:rsid w:val="1043638A"/>
    <w:rsid w:val="10572D77"/>
    <w:rsid w:val="10633803"/>
    <w:rsid w:val="106A2B50"/>
    <w:rsid w:val="106C2D6C"/>
    <w:rsid w:val="10762190"/>
    <w:rsid w:val="10786A19"/>
    <w:rsid w:val="107B2FAF"/>
    <w:rsid w:val="107B4D5D"/>
    <w:rsid w:val="107D3EC8"/>
    <w:rsid w:val="10810F88"/>
    <w:rsid w:val="109C2F25"/>
    <w:rsid w:val="10A23B55"/>
    <w:rsid w:val="10AB19BA"/>
    <w:rsid w:val="10B85D98"/>
    <w:rsid w:val="10D4777F"/>
    <w:rsid w:val="10D77ADC"/>
    <w:rsid w:val="10E01064"/>
    <w:rsid w:val="10E70644"/>
    <w:rsid w:val="10ED6D79"/>
    <w:rsid w:val="10F419CD"/>
    <w:rsid w:val="10F44B0F"/>
    <w:rsid w:val="10FC5733"/>
    <w:rsid w:val="10FE58C3"/>
    <w:rsid w:val="10FF1B4C"/>
    <w:rsid w:val="110A5A47"/>
    <w:rsid w:val="111923AE"/>
    <w:rsid w:val="112A22DF"/>
    <w:rsid w:val="113413B0"/>
    <w:rsid w:val="1138621F"/>
    <w:rsid w:val="11410E28"/>
    <w:rsid w:val="1145536B"/>
    <w:rsid w:val="114A51ED"/>
    <w:rsid w:val="114C04A7"/>
    <w:rsid w:val="11661028"/>
    <w:rsid w:val="117874EE"/>
    <w:rsid w:val="11880720"/>
    <w:rsid w:val="118A20CB"/>
    <w:rsid w:val="118D2197"/>
    <w:rsid w:val="11924C7B"/>
    <w:rsid w:val="11974CD7"/>
    <w:rsid w:val="1197786C"/>
    <w:rsid w:val="11A76172"/>
    <w:rsid w:val="11B34C2F"/>
    <w:rsid w:val="11B85B3D"/>
    <w:rsid w:val="11C12DE4"/>
    <w:rsid w:val="12154D3D"/>
    <w:rsid w:val="12170AB5"/>
    <w:rsid w:val="12182682"/>
    <w:rsid w:val="121E0278"/>
    <w:rsid w:val="122854F4"/>
    <w:rsid w:val="122B630F"/>
    <w:rsid w:val="122C3E81"/>
    <w:rsid w:val="12311AAE"/>
    <w:rsid w:val="123B010F"/>
    <w:rsid w:val="123F000C"/>
    <w:rsid w:val="12432C2B"/>
    <w:rsid w:val="12515BD7"/>
    <w:rsid w:val="1259434C"/>
    <w:rsid w:val="125B5E01"/>
    <w:rsid w:val="12614426"/>
    <w:rsid w:val="126160BF"/>
    <w:rsid w:val="12B06812"/>
    <w:rsid w:val="12C26BC4"/>
    <w:rsid w:val="12D4306C"/>
    <w:rsid w:val="12D550B2"/>
    <w:rsid w:val="12E3308D"/>
    <w:rsid w:val="12F9465F"/>
    <w:rsid w:val="13166FBF"/>
    <w:rsid w:val="13173F01"/>
    <w:rsid w:val="131C20FB"/>
    <w:rsid w:val="13286CF2"/>
    <w:rsid w:val="132D4308"/>
    <w:rsid w:val="133A4D4A"/>
    <w:rsid w:val="133E2072"/>
    <w:rsid w:val="134F0723"/>
    <w:rsid w:val="136826AC"/>
    <w:rsid w:val="138642A1"/>
    <w:rsid w:val="138C6745"/>
    <w:rsid w:val="13906D71"/>
    <w:rsid w:val="13964637"/>
    <w:rsid w:val="13A86397"/>
    <w:rsid w:val="13AA5147"/>
    <w:rsid w:val="13CC1FD3"/>
    <w:rsid w:val="13CE1BAD"/>
    <w:rsid w:val="13D84274"/>
    <w:rsid w:val="13E42C19"/>
    <w:rsid w:val="13F15336"/>
    <w:rsid w:val="13F533DD"/>
    <w:rsid w:val="13F82B68"/>
    <w:rsid w:val="14076907"/>
    <w:rsid w:val="1411744B"/>
    <w:rsid w:val="141A2ADF"/>
    <w:rsid w:val="141D7314"/>
    <w:rsid w:val="14255513"/>
    <w:rsid w:val="142F3EDE"/>
    <w:rsid w:val="143225DA"/>
    <w:rsid w:val="143C2EAB"/>
    <w:rsid w:val="143C4D76"/>
    <w:rsid w:val="143D2EED"/>
    <w:rsid w:val="143D67CD"/>
    <w:rsid w:val="143F0797"/>
    <w:rsid w:val="144162BD"/>
    <w:rsid w:val="144954C5"/>
    <w:rsid w:val="144C72A7"/>
    <w:rsid w:val="144D6A10"/>
    <w:rsid w:val="14522278"/>
    <w:rsid w:val="145C7C9C"/>
    <w:rsid w:val="14706BA3"/>
    <w:rsid w:val="147247A8"/>
    <w:rsid w:val="1481490C"/>
    <w:rsid w:val="148420BE"/>
    <w:rsid w:val="148936CA"/>
    <w:rsid w:val="148A1EA6"/>
    <w:rsid w:val="148F5D32"/>
    <w:rsid w:val="149556F7"/>
    <w:rsid w:val="14997EA7"/>
    <w:rsid w:val="149D3D3A"/>
    <w:rsid w:val="14A32096"/>
    <w:rsid w:val="14A32C81"/>
    <w:rsid w:val="14A809B0"/>
    <w:rsid w:val="14B60A59"/>
    <w:rsid w:val="14BB0C44"/>
    <w:rsid w:val="14DA46F7"/>
    <w:rsid w:val="14EA022D"/>
    <w:rsid w:val="14EB1804"/>
    <w:rsid w:val="14EF1875"/>
    <w:rsid w:val="14F00943"/>
    <w:rsid w:val="14F61DFA"/>
    <w:rsid w:val="14F83400"/>
    <w:rsid w:val="151D49CD"/>
    <w:rsid w:val="152A473F"/>
    <w:rsid w:val="15463411"/>
    <w:rsid w:val="15520056"/>
    <w:rsid w:val="155A44F4"/>
    <w:rsid w:val="15601CC5"/>
    <w:rsid w:val="15671D54"/>
    <w:rsid w:val="157055E4"/>
    <w:rsid w:val="159266A5"/>
    <w:rsid w:val="159A114C"/>
    <w:rsid w:val="15A075B4"/>
    <w:rsid w:val="15A43CFB"/>
    <w:rsid w:val="15CE3B81"/>
    <w:rsid w:val="15EC4007"/>
    <w:rsid w:val="160E21CF"/>
    <w:rsid w:val="16113A6D"/>
    <w:rsid w:val="161823A3"/>
    <w:rsid w:val="16192809"/>
    <w:rsid w:val="16297009"/>
    <w:rsid w:val="162B4B2F"/>
    <w:rsid w:val="1632753F"/>
    <w:rsid w:val="163A1216"/>
    <w:rsid w:val="164350F8"/>
    <w:rsid w:val="16443E43"/>
    <w:rsid w:val="164B6F7F"/>
    <w:rsid w:val="164E081E"/>
    <w:rsid w:val="165C73DE"/>
    <w:rsid w:val="16620F2E"/>
    <w:rsid w:val="16775AC9"/>
    <w:rsid w:val="16777D74"/>
    <w:rsid w:val="167C35DD"/>
    <w:rsid w:val="167C538B"/>
    <w:rsid w:val="16846C85"/>
    <w:rsid w:val="16A91EF8"/>
    <w:rsid w:val="16A959B4"/>
    <w:rsid w:val="16B15CA2"/>
    <w:rsid w:val="16B26FFE"/>
    <w:rsid w:val="16D82CA8"/>
    <w:rsid w:val="17021223"/>
    <w:rsid w:val="170C1F1F"/>
    <w:rsid w:val="171F21BA"/>
    <w:rsid w:val="173B3750"/>
    <w:rsid w:val="17424A2E"/>
    <w:rsid w:val="17563E2E"/>
    <w:rsid w:val="175F5B5C"/>
    <w:rsid w:val="1768590F"/>
    <w:rsid w:val="17686555"/>
    <w:rsid w:val="1780406E"/>
    <w:rsid w:val="178B6985"/>
    <w:rsid w:val="178F0DD1"/>
    <w:rsid w:val="179130B8"/>
    <w:rsid w:val="179901BE"/>
    <w:rsid w:val="17996410"/>
    <w:rsid w:val="179B7DF4"/>
    <w:rsid w:val="179C50C0"/>
    <w:rsid w:val="17A70B2D"/>
    <w:rsid w:val="17AE128A"/>
    <w:rsid w:val="17C34D32"/>
    <w:rsid w:val="17E638F6"/>
    <w:rsid w:val="17FF44C5"/>
    <w:rsid w:val="1800023D"/>
    <w:rsid w:val="18124015"/>
    <w:rsid w:val="1821268E"/>
    <w:rsid w:val="18243F2C"/>
    <w:rsid w:val="182A7068"/>
    <w:rsid w:val="18336D39"/>
    <w:rsid w:val="18440DAD"/>
    <w:rsid w:val="185B4D41"/>
    <w:rsid w:val="185B581D"/>
    <w:rsid w:val="186407CC"/>
    <w:rsid w:val="186F0ACD"/>
    <w:rsid w:val="187B075B"/>
    <w:rsid w:val="187C474D"/>
    <w:rsid w:val="188206A5"/>
    <w:rsid w:val="188B4F18"/>
    <w:rsid w:val="188F6EFF"/>
    <w:rsid w:val="189E5EBE"/>
    <w:rsid w:val="18A1557C"/>
    <w:rsid w:val="18AB2B6B"/>
    <w:rsid w:val="18B10430"/>
    <w:rsid w:val="18B5641A"/>
    <w:rsid w:val="18BC68A8"/>
    <w:rsid w:val="18C22780"/>
    <w:rsid w:val="18CD45C3"/>
    <w:rsid w:val="18D333DA"/>
    <w:rsid w:val="18DA1A1A"/>
    <w:rsid w:val="18DA672E"/>
    <w:rsid w:val="18E35B95"/>
    <w:rsid w:val="18E91842"/>
    <w:rsid w:val="18EA6F23"/>
    <w:rsid w:val="18ED431E"/>
    <w:rsid w:val="18FE652B"/>
    <w:rsid w:val="191256FF"/>
    <w:rsid w:val="191F5D7A"/>
    <w:rsid w:val="192D5062"/>
    <w:rsid w:val="192E019B"/>
    <w:rsid w:val="193D3EBB"/>
    <w:rsid w:val="193E726F"/>
    <w:rsid w:val="194754CA"/>
    <w:rsid w:val="196315DB"/>
    <w:rsid w:val="1973118E"/>
    <w:rsid w:val="197B72D4"/>
    <w:rsid w:val="197C6E4A"/>
    <w:rsid w:val="197E141A"/>
    <w:rsid w:val="19862849"/>
    <w:rsid w:val="198F7ACB"/>
    <w:rsid w:val="199724DC"/>
    <w:rsid w:val="199931D7"/>
    <w:rsid w:val="199D21E8"/>
    <w:rsid w:val="19A277FE"/>
    <w:rsid w:val="19AC7DD1"/>
    <w:rsid w:val="19CA1792"/>
    <w:rsid w:val="19DE6813"/>
    <w:rsid w:val="19E420C7"/>
    <w:rsid w:val="19EC705F"/>
    <w:rsid w:val="19F94F44"/>
    <w:rsid w:val="19FD48D6"/>
    <w:rsid w:val="1A0423AD"/>
    <w:rsid w:val="1A253F8B"/>
    <w:rsid w:val="1A3043BE"/>
    <w:rsid w:val="1A3E2965"/>
    <w:rsid w:val="1A4563DB"/>
    <w:rsid w:val="1A460F50"/>
    <w:rsid w:val="1A4E703E"/>
    <w:rsid w:val="1A584361"/>
    <w:rsid w:val="1A6335BD"/>
    <w:rsid w:val="1A6939EE"/>
    <w:rsid w:val="1A693E78"/>
    <w:rsid w:val="1A757FD2"/>
    <w:rsid w:val="1A850BA8"/>
    <w:rsid w:val="1A8769F4"/>
    <w:rsid w:val="1A9F433E"/>
    <w:rsid w:val="1AA07269"/>
    <w:rsid w:val="1AC034D6"/>
    <w:rsid w:val="1ACE57E5"/>
    <w:rsid w:val="1AE9320B"/>
    <w:rsid w:val="1AEB1A49"/>
    <w:rsid w:val="1AF476AD"/>
    <w:rsid w:val="1AFD0A64"/>
    <w:rsid w:val="1B057F0E"/>
    <w:rsid w:val="1B157B5C"/>
    <w:rsid w:val="1B2D759B"/>
    <w:rsid w:val="1B3A3308"/>
    <w:rsid w:val="1B453105"/>
    <w:rsid w:val="1B561BC1"/>
    <w:rsid w:val="1B5F527B"/>
    <w:rsid w:val="1B60171F"/>
    <w:rsid w:val="1B7E7DF7"/>
    <w:rsid w:val="1B861AF6"/>
    <w:rsid w:val="1B8B6070"/>
    <w:rsid w:val="1B9A1EBC"/>
    <w:rsid w:val="1BAC1431"/>
    <w:rsid w:val="1BB217DB"/>
    <w:rsid w:val="1BB4275F"/>
    <w:rsid w:val="1BBC26CD"/>
    <w:rsid w:val="1BC53330"/>
    <w:rsid w:val="1BD34EB9"/>
    <w:rsid w:val="1BEA2D97"/>
    <w:rsid w:val="1BEA31C4"/>
    <w:rsid w:val="1BF754B3"/>
    <w:rsid w:val="1BFB7752"/>
    <w:rsid w:val="1C136791"/>
    <w:rsid w:val="1C145935"/>
    <w:rsid w:val="1C2C25D4"/>
    <w:rsid w:val="1C3205E6"/>
    <w:rsid w:val="1C3C16F0"/>
    <w:rsid w:val="1C3F20D9"/>
    <w:rsid w:val="1C47643B"/>
    <w:rsid w:val="1C533032"/>
    <w:rsid w:val="1C646FED"/>
    <w:rsid w:val="1C6B037B"/>
    <w:rsid w:val="1C80194D"/>
    <w:rsid w:val="1C8B33CB"/>
    <w:rsid w:val="1C93342E"/>
    <w:rsid w:val="1CAB5AF3"/>
    <w:rsid w:val="1CAC712E"/>
    <w:rsid w:val="1CB05D8E"/>
    <w:rsid w:val="1CB97C33"/>
    <w:rsid w:val="1CC60AE2"/>
    <w:rsid w:val="1CCF2661"/>
    <w:rsid w:val="1CD617C3"/>
    <w:rsid w:val="1CD71641"/>
    <w:rsid w:val="1CE41EDC"/>
    <w:rsid w:val="1CEB6DC6"/>
    <w:rsid w:val="1D00139A"/>
    <w:rsid w:val="1D0D0549"/>
    <w:rsid w:val="1D1125A5"/>
    <w:rsid w:val="1D133BD2"/>
    <w:rsid w:val="1D1F1166"/>
    <w:rsid w:val="1D204092"/>
    <w:rsid w:val="1D342403"/>
    <w:rsid w:val="1D3E0931"/>
    <w:rsid w:val="1D4604A0"/>
    <w:rsid w:val="1D473D20"/>
    <w:rsid w:val="1D4938BC"/>
    <w:rsid w:val="1D4A104F"/>
    <w:rsid w:val="1D5E0926"/>
    <w:rsid w:val="1D5F06AB"/>
    <w:rsid w:val="1D8164D4"/>
    <w:rsid w:val="1DAE009D"/>
    <w:rsid w:val="1DB7139E"/>
    <w:rsid w:val="1DB84B65"/>
    <w:rsid w:val="1DBC4C07"/>
    <w:rsid w:val="1DC51D0D"/>
    <w:rsid w:val="1DC87107"/>
    <w:rsid w:val="1E05035C"/>
    <w:rsid w:val="1E0D7210"/>
    <w:rsid w:val="1E0F387F"/>
    <w:rsid w:val="1E10755C"/>
    <w:rsid w:val="1E257757"/>
    <w:rsid w:val="1E3649B9"/>
    <w:rsid w:val="1E4C1208"/>
    <w:rsid w:val="1E5906A7"/>
    <w:rsid w:val="1E601CEE"/>
    <w:rsid w:val="1E73371D"/>
    <w:rsid w:val="1E7948A6"/>
    <w:rsid w:val="1E8706C4"/>
    <w:rsid w:val="1E871148"/>
    <w:rsid w:val="1E95623E"/>
    <w:rsid w:val="1E9A18CE"/>
    <w:rsid w:val="1EA27958"/>
    <w:rsid w:val="1EAF1364"/>
    <w:rsid w:val="1EB0048F"/>
    <w:rsid w:val="1EBC0899"/>
    <w:rsid w:val="1EBD40FC"/>
    <w:rsid w:val="1ED502FB"/>
    <w:rsid w:val="1ED6095A"/>
    <w:rsid w:val="1ED815CC"/>
    <w:rsid w:val="1EE75CB3"/>
    <w:rsid w:val="1EE91326"/>
    <w:rsid w:val="1EFD54D7"/>
    <w:rsid w:val="1F24418F"/>
    <w:rsid w:val="1F42113B"/>
    <w:rsid w:val="1F43738D"/>
    <w:rsid w:val="1F4F2855"/>
    <w:rsid w:val="1F56268F"/>
    <w:rsid w:val="1F5F56A2"/>
    <w:rsid w:val="1F62533A"/>
    <w:rsid w:val="1F645556"/>
    <w:rsid w:val="1F7F5EEC"/>
    <w:rsid w:val="1F831DAA"/>
    <w:rsid w:val="1FA06799"/>
    <w:rsid w:val="1FA876EF"/>
    <w:rsid w:val="1FA910B9"/>
    <w:rsid w:val="1FAB5B8F"/>
    <w:rsid w:val="1FB66AD8"/>
    <w:rsid w:val="1FBE4C66"/>
    <w:rsid w:val="1FC46B9E"/>
    <w:rsid w:val="1FC67B7A"/>
    <w:rsid w:val="1FCF0C21"/>
    <w:rsid w:val="1FE70A75"/>
    <w:rsid w:val="20142AD8"/>
    <w:rsid w:val="201C5BB5"/>
    <w:rsid w:val="2020322B"/>
    <w:rsid w:val="20357EAB"/>
    <w:rsid w:val="20392C78"/>
    <w:rsid w:val="203A0986"/>
    <w:rsid w:val="204431AA"/>
    <w:rsid w:val="205630F0"/>
    <w:rsid w:val="2060790C"/>
    <w:rsid w:val="206A6C9D"/>
    <w:rsid w:val="206C2914"/>
    <w:rsid w:val="206D21E8"/>
    <w:rsid w:val="20736223"/>
    <w:rsid w:val="207D68CF"/>
    <w:rsid w:val="208337BA"/>
    <w:rsid w:val="208919A3"/>
    <w:rsid w:val="20A756FA"/>
    <w:rsid w:val="20B25019"/>
    <w:rsid w:val="20D07379"/>
    <w:rsid w:val="210F0963"/>
    <w:rsid w:val="211441B8"/>
    <w:rsid w:val="21260D15"/>
    <w:rsid w:val="213827F6"/>
    <w:rsid w:val="214F3B30"/>
    <w:rsid w:val="216E25B2"/>
    <w:rsid w:val="21732611"/>
    <w:rsid w:val="217952E8"/>
    <w:rsid w:val="217D645B"/>
    <w:rsid w:val="218B6DCA"/>
    <w:rsid w:val="219359C1"/>
    <w:rsid w:val="219A525F"/>
    <w:rsid w:val="219A6B87"/>
    <w:rsid w:val="21A32365"/>
    <w:rsid w:val="21B52CFF"/>
    <w:rsid w:val="21C70E06"/>
    <w:rsid w:val="21C7555C"/>
    <w:rsid w:val="21CD1190"/>
    <w:rsid w:val="21D8332C"/>
    <w:rsid w:val="21D853BD"/>
    <w:rsid w:val="21E169EA"/>
    <w:rsid w:val="21EE17FD"/>
    <w:rsid w:val="21F71677"/>
    <w:rsid w:val="21FB34B0"/>
    <w:rsid w:val="21FB3F4F"/>
    <w:rsid w:val="22102AC8"/>
    <w:rsid w:val="22121299"/>
    <w:rsid w:val="22156A43"/>
    <w:rsid w:val="22161202"/>
    <w:rsid w:val="222A213F"/>
    <w:rsid w:val="22396826"/>
    <w:rsid w:val="22506D41"/>
    <w:rsid w:val="225811BE"/>
    <w:rsid w:val="22590112"/>
    <w:rsid w:val="22685920"/>
    <w:rsid w:val="227856BE"/>
    <w:rsid w:val="227C56E4"/>
    <w:rsid w:val="22816AED"/>
    <w:rsid w:val="2289765F"/>
    <w:rsid w:val="22A100CD"/>
    <w:rsid w:val="22A30143"/>
    <w:rsid w:val="22A51550"/>
    <w:rsid w:val="22AD2CB9"/>
    <w:rsid w:val="22C00CF5"/>
    <w:rsid w:val="22CC1448"/>
    <w:rsid w:val="22E42C35"/>
    <w:rsid w:val="22F252FA"/>
    <w:rsid w:val="22F7092B"/>
    <w:rsid w:val="22FB7F7F"/>
    <w:rsid w:val="2300637F"/>
    <w:rsid w:val="23225343"/>
    <w:rsid w:val="23276A96"/>
    <w:rsid w:val="232A0B17"/>
    <w:rsid w:val="232D1D56"/>
    <w:rsid w:val="2331574F"/>
    <w:rsid w:val="23361055"/>
    <w:rsid w:val="233B037C"/>
    <w:rsid w:val="235B68CC"/>
    <w:rsid w:val="2379688F"/>
    <w:rsid w:val="237C10C0"/>
    <w:rsid w:val="2389558B"/>
    <w:rsid w:val="238C76FC"/>
    <w:rsid w:val="23973FEE"/>
    <w:rsid w:val="23977CA8"/>
    <w:rsid w:val="2398757C"/>
    <w:rsid w:val="23A1571D"/>
    <w:rsid w:val="23A17CD6"/>
    <w:rsid w:val="23AA2628"/>
    <w:rsid w:val="23AB72AF"/>
    <w:rsid w:val="23B26890"/>
    <w:rsid w:val="23B85535"/>
    <w:rsid w:val="23BF004B"/>
    <w:rsid w:val="23BF0FAD"/>
    <w:rsid w:val="23C30A9D"/>
    <w:rsid w:val="23CB75C1"/>
    <w:rsid w:val="23DB393C"/>
    <w:rsid w:val="23DE1A2F"/>
    <w:rsid w:val="23E32EED"/>
    <w:rsid w:val="23E575D6"/>
    <w:rsid w:val="23F26A32"/>
    <w:rsid w:val="240370EB"/>
    <w:rsid w:val="2406098A"/>
    <w:rsid w:val="24174945"/>
    <w:rsid w:val="241C3417"/>
    <w:rsid w:val="24311EAA"/>
    <w:rsid w:val="2435126F"/>
    <w:rsid w:val="243A7A34"/>
    <w:rsid w:val="243B1E93"/>
    <w:rsid w:val="24613E12"/>
    <w:rsid w:val="246A2CFF"/>
    <w:rsid w:val="247B4ED4"/>
    <w:rsid w:val="24855746"/>
    <w:rsid w:val="249064A5"/>
    <w:rsid w:val="2492046F"/>
    <w:rsid w:val="249C155C"/>
    <w:rsid w:val="24A26904"/>
    <w:rsid w:val="24A47E99"/>
    <w:rsid w:val="24A939BC"/>
    <w:rsid w:val="24AA2172"/>
    <w:rsid w:val="24AC1230"/>
    <w:rsid w:val="24AD6BF5"/>
    <w:rsid w:val="24CF7171"/>
    <w:rsid w:val="24F1163A"/>
    <w:rsid w:val="24F86524"/>
    <w:rsid w:val="24FC40EF"/>
    <w:rsid w:val="251701C5"/>
    <w:rsid w:val="25187351"/>
    <w:rsid w:val="2539567B"/>
    <w:rsid w:val="254F2E38"/>
    <w:rsid w:val="255143DB"/>
    <w:rsid w:val="256E4D86"/>
    <w:rsid w:val="25783B09"/>
    <w:rsid w:val="25835DB6"/>
    <w:rsid w:val="258933F3"/>
    <w:rsid w:val="25941843"/>
    <w:rsid w:val="259966B8"/>
    <w:rsid w:val="25A00DB5"/>
    <w:rsid w:val="25AE5E26"/>
    <w:rsid w:val="25B91379"/>
    <w:rsid w:val="25BE51FF"/>
    <w:rsid w:val="25C24D84"/>
    <w:rsid w:val="25C96CBE"/>
    <w:rsid w:val="25CB5AB8"/>
    <w:rsid w:val="25DA3E7C"/>
    <w:rsid w:val="25F13B09"/>
    <w:rsid w:val="25F82554"/>
    <w:rsid w:val="25FE7B29"/>
    <w:rsid w:val="26064C71"/>
    <w:rsid w:val="260B672B"/>
    <w:rsid w:val="26117FE7"/>
    <w:rsid w:val="261600D9"/>
    <w:rsid w:val="2619229C"/>
    <w:rsid w:val="261E020C"/>
    <w:rsid w:val="261E645E"/>
    <w:rsid w:val="26233A75"/>
    <w:rsid w:val="264D3925"/>
    <w:rsid w:val="264F486A"/>
    <w:rsid w:val="265C1669"/>
    <w:rsid w:val="266A3452"/>
    <w:rsid w:val="26811838"/>
    <w:rsid w:val="269009DE"/>
    <w:rsid w:val="26914E82"/>
    <w:rsid w:val="26A12E8E"/>
    <w:rsid w:val="26A40309"/>
    <w:rsid w:val="26A47619"/>
    <w:rsid w:val="26A7430F"/>
    <w:rsid w:val="26B4388A"/>
    <w:rsid w:val="26C14524"/>
    <w:rsid w:val="26C16DEA"/>
    <w:rsid w:val="26CB1A16"/>
    <w:rsid w:val="26D703BB"/>
    <w:rsid w:val="26D7660D"/>
    <w:rsid w:val="26E1386E"/>
    <w:rsid w:val="26E256DE"/>
    <w:rsid w:val="26EA4592"/>
    <w:rsid w:val="26F645CA"/>
    <w:rsid w:val="26FB67A0"/>
    <w:rsid w:val="271E2BEC"/>
    <w:rsid w:val="272A5FB2"/>
    <w:rsid w:val="273839B0"/>
    <w:rsid w:val="27391076"/>
    <w:rsid w:val="274F34CB"/>
    <w:rsid w:val="275B5AD7"/>
    <w:rsid w:val="27694F1D"/>
    <w:rsid w:val="276E4A25"/>
    <w:rsid w:val="276F6846"/>
    <w:rsid w:val="27797227"/>
    <w:rsid w:val="277D6AEA"/>
    <w:rsid w:val="27846795"/>
    <w:rsid w:val="2789712D"/>
    <w:rsid w:val="278D3673"/>
    <w:rsid w:val="27912C60"/>
    <w:rsid w:val="27914A0E"/>
    <w:rsid w:val="27A209C9"/>
    <w:rsid w:val="27AD669E"/>
    <w:rsid w:val="27B67FC7"/>
    <w:rsid w:val="27C22E19"/>
    <w:rsid w:val="27D5583C"/>
    <w:rsid w:val="27D72F70"/>
    <w:rsid w:val="27DE7E31"/>
    <w:rsid w:val="27E9484A"/>
    <w:rsid w:val="27ED433A"/>
    <w:rsid w:val="27F703DA"/>
    <w:rsid w:val="27F7173D"/>
    <w:rsid w:val="27FC457D"/>
    <w:rsid w:val="27FF7BCA"/>
    <w:rsid w:val="281363E3"/>
    <w:rsid w:val="281573ED"/>
    <w:rsid w:val="28177B4E"/>
    <w:rsid w:val="28295C77"/>
    <w:rsid w:val="282E6701"/>
    <w:rsid w:val="282F4953"/>
    <w:rsid w:val="2839235F"/>
    <w:rsid w:val="283E4B96"/>
    <w:rsid w:val="28687E65"/>
    <w:rsid w:val="28766FD3"/>
    <w:rsid w:val="28904CC6"/>
    <w:rsid w:val="28A54C15"/>
    <w:rsid w:val="28A55630"/>
    <w:rsid w:val="28B7787D"/>
    <w:rsid w:val="28CD69F8"/>
    <w:rsid w:val="28CE644C"/>
    <w:rsid w:val="28D728F5"/>
    <w:rsid w:val="28E219C5"/>
    <w:rsid w:val="28EB63A0"/>
    <w:rsid w:val="28EC45F2"/>
    <w:rsid w:val="28EC7A64"/>
    <w:rsid w:val="28EE5571"/>
    <w:rsid w:val="28F90ABD"/>
    <w:rsid w:val="28FC1CB0"/>
    <w:rsid w:val="29001E4B"/>
    <w:rsid w:val="29003BF9"/>
    <w:rsid w:val="29084CD5"/>
    <w:rsid w:val="29253660"/>
    <w:rsid w:val="29301991"/>
    <w:rsid w:val="29347B42"/>
    <w:rsid w:val="293A22A2"/>
    <w:rsid w:val="2944442E"/>
    <w:rsid w:val="29450B13"/>
    <w:rsid w:val="29543F45"/>
    <w:rsid w:val="29766F52"/>
    <w:rsid w:val="2984482A"/>
    <w:rsid w:val="2987256D"/>
    <w:rsid w:val="298C72FF"/>
    <w:rsid w:val="299B1B74"/>
    <w:rsid w:val="299B2F17"/>
    <w:rsid w:val="299D769A"/>
    <w:rsid w:val="299D7932"/>
    <w:rsid w:val="29AF561F"/>
    <w:rsid w:val="29B80F3B"/>
    <w:rsid w:val="29BA649E"/>
    <w:rsid w:val="29C04EE3"/>
    <w:rsid w:val="29C64ABB"/>
    <w:rsid w:val="29C97CF4"/>
    <w:rsid w:val="29D357B2"/>
    <w:rsid w:val="29E51594"/>
    <w:rsid w:val="29EF4196"/>
    <w:rsid w:val="29F23E8A"/>
    <w:rsid w:val="29F40573"/>
    <w:rsid w:val="29F411BD"/>
    <w:rsid w:val="29F86FC6"/>
    <w:rsid w:val="29FD45DD"/>
    <w:rsid w:val="2A005D0B"/>
    <w:rsid w:val="2A0119E5"/>
    <w:rsid w:val="2A043BBD"/>
    <w:rsid w:val="2A083D1B"/>
    <w:rsid w:val="2A1C0F07"/>
    <w:rsid w:val="2A263B34"/>
    <w:rsid w:val="2A275413"/>
    <w:rsid w:val="2A506E02"/>
    <w:rsid w:val="2A5561C7"/>
    <w:rsid w:val="2A5B38EE"/>
    <w:rsid w:val="2A70409E"/>
    <w:rsid w:val="2A73489F"/>
    <w:rsid w:val="2A742AF1"/>
    <w:rsid w:val="2A790107"/>
    <w:rsid w:val="2AAD7DB1"/>
    <w:rsid w:val="2AB9225B"/>
    <w:rsid w:val="2AE00186"/>
    <w:rsid w:val="2AE70940"/>
    <w:rsid w:val="2AE80DE9"/>
    <w:rsid w:val="2AEA2DB3"/>
    <w:rsid w:val="2AEF232A"/>
    <w:rsid w:val="2AF6762C"/>
    <w:rsid w:val="2AFC4894"/>
    <w:rsid w:val="2AFD10AB"/>
    <w:rsid w:val="2B0B2D29"/>
    <w:rsid w:val="2B0C0A63"/>
    <w:rsid w:val="2B1B3C74"/>
    <w:rsid w:val="2B1D392B"/>
    <w:rsid w:val="2B2B32BF"/>
    <w:rsid w:val="2B337F25"/>
    <w:rsid w:val="2B361B54"/>
    <w:rsid w:val="2B457FE9"/>
    <w:rsid w:val="2B54022C"/>
    <w:rsid w:val="2B5437B2"/>
    <w:rsid w:val="2B612949"/>
    <w:rsid w:val="2B6850C2"/>
    <w:rsid w:val="2B6C5576"/>
    <w:rsid w:val="2B6F5066"/>
    <w:rsid w:val="2B7A6B92"/>
    <w:rsid w:val="2B7F5471"/>
    <w:rsid w:val="2B82123D"/>
    <w:rsid w:val="2B8A3D12"/>
    <w:rsid w:val="2B8F25C6"/>
    <w:rsid w:val="2BA074D5"/>
    <w:rsid w:val="2BA74800"/>
    <w:rsid w:val="2BAF75E0"/>
    <w:rsid w:val="2BBC3D81"/>
    <w:rsid w:val="2BD828F4"/>
    <w:rsid w:val="2BDA62EF"/>
    <w:rsid w:val="2BE27BD1"/>
    <w:rsid w:val="2BEC406C"/>
    <w:rsid w:val="2BF523E5"/>
    <w:rsid w:val="2BF70423"/>
    <w:rsid w:val="2BFA2E54"/>
    <w:rsid w:val="2C026F3D"/>
    <w:rsid w:val="2C080884"/>
    <w:rsid w:val="2C1007F2"/>
    <w:rsid w:val="2C1770C0"/>
    <w:rsid w:val="2C240B12"/>
    <w:rsid w:val="2C251BC9"/>
    <w:rsid w:val="2C323321"/>
    <w:rsid w:val="2C3D3DD0"/>
    <w:rsid w:val="2C475003"/>
    <w:rsid w:val="2C5C2979"/>
    <w:rsid w:val="2C5D1363"/>
    <w:rsid w:val="2C615316"/>
    <w:rsid w:val="2C646B95"/>
    <w:rsid w:val="2C775546"/>
    <w:rsid w:val="2C7768C8"/>
    <w:rsid w:val="2C7A3CC3"/>
    <w:rsid w:val="2C7C7A3B"/>
    <w:rsid w:val="2C8D32AA"/>
    <w:rsid w:val="2C92725E"/>
    <w:rsid w:val="2CBE1DCE"/>
    <w:rsid w:val="2CC73D6D"/>
    <w:rsid w:val="2CDA29B3"/>
    <w:rsid w:val="2CDB560A"/>
    <w:rsid w:val="2CE9543A"/>
    <w:rsid w:val="2CEA6752"/>
    <w:rsid w:val="2CEB696E"/>
    <w:rsid w:val="2CF00429"/>
    <w:rsid w:val="2CFB48C8"/>
    <w:rsid w:val="2CFE48F4"/>
    <w:rsid w:val="2D1C121E"/>
    <w:rsid w:val="2D1E755B"/>
    <w:rsid w:val="2D247954"/>
    <w:rsid w:val="2D305EF4"/>
    <w:rsid w:val="2D353068"/>
    <w:rsid w:val="2D365D74"/>
    <w:rsid w:val="2D4542D1"/>
    <w:rsid w:val="2D524C40"/>
    <w:rsid w:val="2D564730"/>
    <w:rsid w:val="2D631D39"/>
    <w:rsid w:val="2D744BB6"/>
    <w:rsid w:val="2D8172D3"/>
    <w:rsid w:val="2D8419ED"/>
    <w:rsid w:val="2D853E99"/>
    <w:rsid w:val="2D8A0F3E"/>
    <w:rsid w:val="2D945258"/>
    <w:rsid w:val="2D9E52B1"/>
    <w:rsid w:val="2DA0470E"/>
    <w:rsid w:val="2DA271EE"/>
    <w:rsid w:val="2DA83B4E"/>
    <w:rsid w:val="2DB02F73"/>
    <w:rsid w:val="2DC55411"/>
    <w:rsid w:val="2DD03541"/>
    <w:rsid w:val="2DD83397"/>
    <w:rsid w:val="2DD87407"/>
    <w:rsid w:val="2DE220A7"/>
    <w:rsid w:val="2DEA3405"/>
    <w:rsid w:val="2DF054F5"/>
    <w:rsid w:val="2DF403E0"/>
    <w:rsid w:val="2DF66C57"/>
    <w:rsid w:val="2DFB52D7"/>
    <w:rsid w:val="2E0D26FB"/>
    <w:rsid w:val="2E12010E"/>
    <w:rsid w:val="2E141EF5"/>
    <w:rsid w:val="2E183793"/>
    <w:rsid w:val="2E294A91"/>
    <w:rsid w:val="2E33377B"/>
    <w:rsid w:val="2E3C1B78"/>
    <w:rsid w:val="2E433877"/>
    <w:rsid w:val="2E653E25"/>
    <w:rsid w:val="2E69725D"/>
    <w:rsid w:val="2E701800"/>
    <w:rsid w:val="2E823302"/>
    <w:rsid w:val="2E861045"/>
    <w:rsid w:val="2EB536D8"/>
    <w:rsid w:val="2EB55486"/>
    <w:rsid w:val="2EC1207D"/>
    <w:rsid w:val="2EC13326"/>
    <w:rsid w:val="2EFA61C6"/>
    <w:rsid w:val="2EFD5A89"/>
    <w:rsid w:val="2EFF35B6"/>
    <w:rsid w:val="2F0026A8"/>
    <w:rsid w:val="2F0B1310"/>
    <w:rsid w:val="2F117E89"/>
    <w:rsid w:val="2F1877C3"/>
    <w:rsid w:val="2F2A5E74"/>
    <w:rsid w:val="2F2B2F8B"/>
    <w:rsid w:val="2F2D326E"/>
    <w:rsid w:val="2F2F0675"/>
    <w:rsid w:val="2F4B5DEA"/>
    <w:rsid w:val="2F7B7A69"/>
    <w:rsid w:val="2F8026E8"/>
    <w:rsid w:val="2F884949"/>
    <w:rsid w:val="2F9237DF"/>
    <w:rsid w:val="2F99072E"/>
    <w:rsid w:val="2FA06136"/>
    <w:rsid w:val="2FAD3314"/>
    <w:rsid w:val="2FB41BE1"/>
    <w:rsid w:val="2FB45AEF"/>
    <w:rsid w:val="2FC736C3"/>
    <w:rsid w:val="2FC75471"/>
    <w:rsid w:val="2FD37D53"/>
    <w:rsid w:val="2FE853E7"/>
    <w:rsid w:val="2FE94AE6"/>
    <w:rsid w:val="2FE977B3"/>
    <w:rsid w:val="2FEC3129"/>
    <w:rsid w:val="30117987"/>
    <w:rsid w:val="30134B5A"/>
    <w:rsid w:val="301A5005"/>
    <w:rsid w:val="30224D9D"/>
    <w:rsid w:val="302A215C"/>
    <w:rsid w:val="304D5838"/>
    <w:rsid w:val="30502ECC"/>
    <w:rsid w:val="305331A8"/>
    <w:rsid w:val="305D384D"/>
    <w:rsid w:val="3075140C"/>
    <w:rsid w:val="308570DA"/>
    <w:rsid w:val="30915E7E"/>
    <w:rsid w:val="30953DAF"/>
    <w:rsid w:val="309A15D6"/>
    <w:rsid w:val="309F1444"/>
    <w:rsid w:val="30AD0B0B"/>
    <w:rsid w:val="30B8300C"/>
    <w:rsid w:val="30BB1B36"/>
    <w:rsid w:val="30C32DF2"/>
    <w:rsid w:val="30C502D2"/>
    <w:rsid w:val="30C929B7"/>
    <w:rsid w:val="30CA7165"/>
    <w:rsid w:val="30E10A65"/>
    <w:rsid w:val="30F07BB9"/>
    <w:rsid w:val="30F438A8"/>
    <w:rsid w:val="30FC4BC4"/>
    <w:rsid w:val="310444A3"/>
    <w:rsid w:val="31215055"/>
    <w:rsid w:val="31361F69"/>
    <w:rsid w:val="313633EB"/>
    <w:rsid w:val="313805C4"/>
    <w:rsid w:val="31422C68"/>
    <w:rsid w:val="315076E8"/>
    <w:rsid w:val="3152520E"/>
    <w:rsid w:val="31771119"/>
    <w:rsid w:val="31796C3F"/>
    <w:rsid w:val="31905314"/>
    <w:rsid w:val="319600C8"/>
    <w:rsid w:val="31A43590"/>
    <w:rsid w:val="31A977AF"/>
    <w:rsid w:val="31AD57B3"/>
    <w:rsid w:val="31B93291"/>
    <w:rsid w:val="31C003CA"/>
    <w:rsid w:val="31D169EA"/>
    <w:rsid w:val="31DC015F"/>
    <w:rsid w:val="31DC529A"/>
    <w:rsid w:val="31DD17B1"/>
    <w:rsid w:val="31DD7894"/>
    <w:rsid w:val="31E35FE6"/>
    <w:rsid w:val="31E615BA"/>
    <w:rsid w:val="31EA18EB"/>
    <w:rsid w:val="31EC5F04"/>
    <w:rsid w:val="31F167D5"/>
    <w:rsid w:val="31F5751C"/>
    <w:rsid w:val="32004C6A"/>
    <w:rsid w:val="3206424D"/>
    <w:rsid w:val="32087FC3"/>
    <w:rsid w:val="320F4EAD"/>
    <w:rsid w:val="32180206"/>
    <w:rsid w:val="322E49F9"/>
    <w:rsid w:val="323F1C36"/>
    <w:rsid w:val="3247469D"/>
    <w:rsid w:val="326051A9"/>
    <w:rsid w:val="3261453D"/>
    <w:rsid w:val="32625925"/>
    <w:rsid w:val="326A2A2B"/>
    <w:rsid w:val="326E7E26"/>
    <w:rsid w:val="327318E0"/>
    <w:rsid w:val="327B64ED"/>
    <w:rsid w:val="32801FFE"/>
    <w:rsid w:val="32847649"/>
    <w:rsid w:val="328F5FEE"/>
    <w:rsid w:val="329B0047"/>
    <w:rsid w:val="32C20B17"/>
    <w:rsid w:val="32C75788"/>
    <w:rsid w:val="32EF66DA"/>
    <w:rsid w:val="32FA790B"/>
    <w:rsid w:val="33022C64"/>
    <w:rsid w:val="33087A5B"/>
    <w:rsid w:val="330A55F0"/>
    <w:rsid w:val="33162ED9"/>
    <w:rsid w:val="333A3EFC"/>
    <w:rsid w:val="33462B51"/>
    <w:rsid w:val="33482D6D"/>
    <w:rsid w:val="33745910"/>
    <w:rsid w:val="33794832"/>
    <w:rsid w:val="33951EF8"/>
    <w:rsid w:val="339B7340"/>
    <w:rsid w:val="33A1655E"/>
    <w:rsid w:val="33AE3DC1"/>
    <w:rsid w:val="33C00B55"/>
    <w:rsid w:val="33CF5E8E"/>
    <w:rsid w:val="33DE547F"/>
    <w:rsid w:val="33FA3E2F"/>
    <w:rsid w:val="34077751"/>
    <w:rsid w:val="341B2F1E"/>
    <w:rsid w:val="34214611"/>
    <w:rsid w:val="34362916"/>
    <w:rsid w:val="34383752"/>
    <w:rsid w:val="344821DF"/>
    <w:rsid w:val="344828F8"/>
    <w:rsid w:val="344D7F0F"/>
    <w:rsid w:val="344F282B"/>
    <w:rsid w:val="34680D50"/>
    <w:rsid w:val="346A244C"/>
    <w:rsid w:val="34727975"/>
    <w:rsid w:val="348A4CBF"/>
    <w:rsid w:val="349A727A"/>
    <w:rsid w:val="34BD32E6"/>
    <w:rsid w:val="34C4076E"/>
    <w:rsid w:val="34C63426"/>
    <w:rsid w:val="34CB5B35"/>
    <w:rsid w:val="34D01A8A"/>
    <w:rsid w:val="34D27970"/>
    <w:rsid w:val="34D66156"/>
    <w:rsid w:val="34E645EB"/>
    <w:rsid w:val="34F36D08"/>
    <w:rsid w:val="34FC183D"/>
    <w:rsid w:val="34FF56AD"/>
    <w:rsid w:val="35020CF9"/>
    <w:rsid w:val="35076310"/>
    <w:rsid w:val="350A0F1D"/>
    <w:rsid w:val="3511718E"/>
    <w:rsid w:val="35305E5C"/>
    <w:rsid w:val="353A0143"/>
    <w:rsid w:val="353E7E87"/>
    <w:rsid w:val="35521C81"/>
    <w:rsid w:val="355A6F55"/>
    <w:rsid w:val="35643762"/>
    <w:rsid w:val="356B2D42"/>
    <w:rsid w:val="357A2F85"/>
    <w:rsid w:val="358112A4"/>
    <w:rsid w:val="358B42EC"/>
    <w:rsid w:val="358F043D"/>
    <w:rsid w:val="3590495C"/>
    <w:rsid w:val="35944047"/>
    <w:rsid w:val="35A92E0D"/>
    <w:rsid w:val="35AE7CBF"/>
    <w:rsid w:val="35B40F8A"/>
    <w:rsid w:val="35BA7419"/>
    <w:rsid w:val="35BC70FA"/>
    <w:rsid w:val="35CA5862"/>
    <w:rsid w:val="35D95EFE"/>
    <w:rsid w:val="35F04ED9"/>
    <w:rsid w:val="35FF0B2E"/>
    <w:rsid w:val="3604193B"/>
    <w:rsid w:val="360D3DFA"/>
    <w:rsid w:val="361278A9"/>
    <w:rsid w:val="361A3AC3"/>
    <w:rsid w:val="361D75A7"/>
    <w:rsid w:val="361E7DB5"/>
    <w:rsid w:val="3632560E"/>
    <w:rsid w:val="36336595"/>
    <w:rsid w:val="36392E40"/>
    <w:rsid w:val="36401AD9"/>
    <w:rsid w:val="364F7F6E"/>
    <w:rsid w:val="36562ABC"/>
    <w:rsid w:val="36571574"/>
    <w:rsid w:val="36705694"/>
    <w:rsid w:val="3680281D"/>
    <w:rsid w:val="368E1A09"/>
    <w:rsid w:val="368E32AC"/>
    <w:rsid w:val="369E54D7"/>
    <w:rsid w:val="36A17D65"/>
    <w:rsid w:val="36AC53C0"/>
    <w:rsid w:val="36D36DF1"/>
    <w:rsid w:val="36ED42FE"/>
    <w:rsid w:val="36F123A7"/>
    <w:rsid w:val="36F80606"/>
    <w:rsid w:val="37083764"/>
    <w:rsid w:val="370F0BDD"/>
    <w:rsid w:val="37160A8C"/>
    <w:rsid w:val="372431A9"/>
    <w:rsid w:val="37261324"/>
    <w:rsid w:val="37290ED0"/>
    <w:rsid w:val="37353D38"/>
    <w:rsid w:val="373661C4"/>
    <w:rsid w:val="373830F8"/>
    <w:rsid w:val="373961A3"/>
    <w:rsid w:val="373A6E70"/>
    <w:rsid w:val="373B799F"/>
    <w:rsid w:val="37511204"/>
    <w:rsid w:val="375A4757"/>
    <w:rsid w:val="375C5A0B"/>
    <w:rsid w:val="375D4259"/>
    <w:rsid w:val="376257C3"/>
    <w:rsid w:val="37685806"/>
    <w:rsid w:val="37704640"/>
    <w:rsid w:val="37735EDE"/>
    <w:rsid w:val="37751C56"/>
    <w:rsid w:val="3777288C"/>
    <w:rsid w:val="3785754C"/>
    <w:rsid w:val="37865C12"/>
    <w:rsid w:val="3790083E"/>
    <w:rsid w:val="379055A3"/>
    <w:rsid w:val="37A621A3"/>
    <w:rsid w:val="37B25189"/>
    <w:rsid w:val="37B665C4"/>
    <w:rsid w:val="37BF7375"/>
    <w:rsid w:val="37C14E9C"/>
    <w:rsid w:val="37E1109A"/>
    <w:rsid w:val="37E949D8"/>
    <w:rsid w:val="380134EA"/>
    <w:rsid w:val="380D50F6"/>
    <w:rsid w:val="381B40E5"/>
    <w:rsid w:val="3833244F"/>
    <w:rsid w:val="384977AD"/>
    <w:rsid w:val="38514471"/>
    <w:rsid w:val="38570DD7"/>
    <w:rsid w:val="385C2E16"/>
    <w:rsid w:val="38691821"/>
    <w:rsid w:val="386C4598"/>
    <w:rsid w:val="386D5023"/>
    <w:rsid w:val="38A04AB1"/>
    <w:rsid w:val="38AB3248"/>
    <w:rsid w:val="38BB4203"/>
    <w:rsid w:val="38BF7DFA"/>
    <w:rsid w:val="38E8139B"/>
    <w:rsid w:val="38EE0972"/>
    <w:rsid w:val="38FB618B"/>
    <w:rsid w:val="39162FC5"/>
    <w:rsid w:val="39277222"/>
    <w:rsid w:val="39526FF8"/>
    <w:rsid w:val="39671A73"/>
    <w:rsid w:val="396B60F7"/>
    <w:rsid w:val="39777F08"/>
    <w:rsid w:val="397877DC"/>
    <w:rsid w:val="39B02BFA"/>
    <w:rsid w:val="39B62175"/>
    <w:rsid w:val="39C95C8A"/>
    <w:rsid w:val="39C96289"/>
    <w:rsid w:val="39CB0253"/>
    <w:rsid w:val="39E76389"/>
    <w:rsid w:val="39FC7D21"/>
    <w:rsid w:val="3A0379ED"/>
    <w:rsid w:val="3A047D34"/>
    <w:rsid w:val="3A344763"/>
    <w:rsid w:val="3A3E2D0D"/>
    <w:rsid w:val="3A3E4582"/>
    <w:rsid w:val="3A443B62"/>
    <w:rsid w:val="3A6012F3"/>
    <w:rsid w:val="3A68465E"/>
    <w:rsid w:val="3A6E0EF6"/>
    <w:rsid w:val="3A6F6E31"/>
    <w:rsid w:val="3A750ED5"/>
    <w:rsid w:val="3A75371B"/>
    <w:rsid w:val="3A777043"/>
    <w:rsid w:val="3A777906"/>
    <w:rsid w:val="3A833686"/>
    <w:rsid w:val="3A8730BD"/>
    <w:rsid w:val="3A940645"/>
    <w:rsid w:val="3AAD1707"/>
    <w:rsid w:val="3AB4033E"/>
    <w:rsid w:val="3AC0143A"/>
    <w:rsid w:val="3AC32E01"/>
    <w:rsid w:val="3ACE5550"/>
    <w:rsid w:val="3AD46F39"/>
    <w:rsid w:val="3ADB40F3"/>
    <w:rsid w:val="3ADC1CA5"/>
    <w:rsid w:val="3AF86E26"/>
    <w:rsid w:val="3AF92329"/>
    <w:rsid w:val="3AFD231A"/>
    <w:rsid w:val="3AFE01B5"/>
    <w:rsid w:val="3B183024"/>
    <w:rsid w:val="3B25556E"/>
    <w:rsid w:val="3B363437"/>
    <w:rsid w:val="3B3A186D"/>
    <w:rsid w:val="3B3B6D13"/>
    <w:rsid w:val="3B4F1833"/>
    <w:rsid w:val="3B5D4EDB"/>
    <w:rsid w:val="3B5F0C53"/>
    <w:rsid w:val="3B8B5737"/>
    <w:rsid w:val="3B9C2EA9"/>
    <w:rsid w:val="3B9F00B0"/>
    <w:rsid w:val="3BA20B14"/>
    <w:rsid w:val="3BAB07ED"/>
    <w:rsid w:val="3BB224BC"/>
    <w:rsid w:val="3BBA51BB"/>
    <w:rsid w:val="3BBF7944"/>
    <w:rsid w:val="3BC431AC"/>
    <w:rsid w:val="3BC91AD4"/>
    <w:rsid w:val="3BC9590E"/>
    <w:rsid w:val="3BCC3738"/>
    <w:rsid w:val="3BCC3E0F"/>
    <w:rsid w:val="3BCE402B"/>
    <w:rsid w:val="3BEC625F"/>
    <w:rsid w:val="3BF21AC7"/>
    <w:rsid w:val="3BF66484"/>
    <w:rsid w:val="3C015608"/>
    <w:rsid w:val="3C02602D"/>
    <w:rsid w:val="3C074E47"/>
    <w:rsid w:val="3C0A04E7"/>
    <w:rsid w:val="3C0C3921"/>
    <w:rsid w:val="3C13478C"/>
    <w:rsid w:val="3C1C1AA8"/>
    <w:rsid w:val="3C2B713B"/>
    <w:rsid w:val="3C32703D"/>
    <w:rsid w:val="3C395948"/>
    <w:rsid w:val="3C4B0B6B"/>
    <w:rsid w:val="3C4C37DF"/>
    <w:rsid w:val="3C4D13F4"/>
    <w:rsid w:val="3C57142A"/>
    <w:rsid w:val="3C62217E"/>
    <w:rsid w:val="3C834E15"/>
    <w:rsid w:val="3C8D5C7B"/>
    <w:rsid w:val="3CA4693B"/>
    <w:rsid w:val="3CAB372B"/>
    <w:rsid w:val="3CAC3AB0"/>
    <w:rsid w:val="3CB37049"/>
    <w:rsid w:val="3CB66F99"/>
    <w:rsid w:val="3CC80A7A"/>
    <w:rsid w:val="3CCA2A44"/>
    <w:rsid w:val="3CD236A7"/>
    <w:rsid w:val="3CDB638A"/>
    <w:rsid w:val="3CE4098F"/>
    <w:rsid w:val="3CEB3ACE"/>
    <w:rsid w:val="3CEE5AC9"/>
    <w:rsid w:val="3D18555E"/>
    <w:rsid w:val="3D2D091E"/>
    <w:rsid w:val="3D2F488F"/>
    <w:rsid w:val="3D411323"/>
    <w:rsid w:val="3D5B0D17"/>
    <w:rsid w:val="3D6407A3"/>
    <w:rsid w:val="3D7735AE"/>
    <w:rsid w:val="3D785FFC"/>
    <w:rsid w:val="3D9B796C"/>
    <w:rsid w:val="3DA77CAE"/>
    <w:rsid w:val="3DC456E6"/>
    <w:rsid w:val="3DCD331B"/>
    <w:rsid w:val="3DCF0668"/>
    <w:rsid w:val="3DD26AD3"/>
    <w:rsid w:val="3DD47A32"/>
    <w:rsid w:val="3DD76095"/>
    <w:rsid w:val="3DDF6F65"/>
    <w:rsid w:val="3DE76938"/>
    <w:rsid w:val="3DFF671E"/>
    <w:rsid w:val="3E036D99"/>
    <w:rsid w:val="3E083824"/>
    <w:rsid w:val="3E111FAD"/>
    <w:rsid w:val="3E3278F0"/>
    <w:rsid w:val="3E64627A"/>
    <w:rsid w:val="3E6F1691"/>
    <w:rsid w:val="3E6F38A3"/>
    <w:rsid w:val="3E7E2E49"/>
    <w:rsid w:val="3E8C40B7"/>
    <w:rsid w:val="3E8E24F6"/>
    <w:rsid w:val="3E8F0BBD"/>
    <w:rsid w:val="3E9C3B2A"/>
    <w:rsid w:val="3EBC460F"/>
    <w:rsid w:val="3EF146FC"/>
    <w:rsid w:val="3F270595"/>
    <w:rsid w:val="3F35003B"/>
    <w:rsid w:val="3F6031EC"/>
    <w:rsid w:val="3F650802"/>
    <w:rsid w:val="3F656A54"/>
    <w:rsid w:val="3F830C89"/>
    <w:rsid w:val="3F867A67"/>
    <w:rsid w:val="3F8B29F9"/>
    <w:rsid w:val="3F9905F8"/>
    <w:rsid w:val="3F9B5FD2"/>
    <w:rsid w:val="3FB55CFB"/>
    <w:rsid w:val="3FBB147D"/>
    <w:rsid w:val="3FBD063E"/>
    <w:rsid w:val="3FC54683"/>
    <w:rsid w:val="3FD26E5C"/>
    <w:rsid w:val="3FE0432D"/>
    <w:rsid w:val="3FE67B95"/>
    <w:rsid w:val="3FF31F30"/>
    <w:rsid w:val="400E0E9A"/>
    <w:rsid w:val="401F4ABA"/>
    <w:rsid w:val="404230B2"/>
    <w:rsid w:val="40460634"/>
    <w:rsid w:val="40511990"/>
    <w:rsid w:val="40572841"/>
    <w:rsid w:val="405A31C1"/>
    <w:rsid w:val="406250A4"/>
    <w:rsid w:val="40697DA7"/>
    <w:rsid w:val="406F6E48"/>
    <w:rsid w:val="40706F14"/>
    <w:rsid w:val="4081341A"/>
    <w:rsid w:val="40824EDC"/>
    <w:rsid w:val="408D6263"/>
    <w:rsid w:val="409C46F8"/>
    <w:rsid w:val="40AA200A"/>
    <w:rsid w:val="40B74AF9"/>
    <w:rsid w:val="40C770F8"/>
    <w:rsid w:val="40D00C85"/>
    <w:rsid w:val="40D069E3"/>
    <w:rsid w:val="40F02EDD"/>
    <w:rsid w:val="41051BC9"/>
    <w:rsid w:val="41065ABD"/>
    <w:rsid w:val="411221E1"/>
    <w:rsid w:val="411249BA"/>
    <w:rsid w:val="412070D7"/>
    <w:rsid w:val="41343777"/>
    <w:rsid w:val="41353C01"/>
    <w:rsid w:val="413A23ED"/>
    <w:rsid w:val="413B4C25"/>
    <w:rsid w:val="41525C93"/>
    <w:rsid w:val="41586871"/>
    <w:rsid w:val="415E610C"/>
    <w:rsid w:val="41636FC4"/>
    <w:rsid w:val="416865AE"/>
    <w:rsid w:val="416F7716"/>
    <w:rsid w:val="41735459"/>
    <w:rsid w:val="418066ED"/>
    <w:rsid w:val="4182569C"/>
    <w:rsid w:val="418A27A2"/>
    <w:rsid w:val="41A05B22"/>
    <w:rsid w:val="41C45CB4"/>
    <w:rsid w:val="41D7745E"/>
    <w:rsid w:val="41DE5C5D"/>
    <w:rsid w:val="41E96039"/>
    <w:rsid w:val="41E974C9"/>
    <w:rsid w:val="41FA16D6"/>
    <w:rsid w:val="41FD7E0B"/>
    <w:rsid w:val="42156510"/>
    <w:rsid w:val="421A3B26"/>
    <w:rsid w:val="421D53C4"/>
    <w:rsid w:val="421E5E12"/>
    <w:rsid w:val="422363B0"/>
    <w:rsid w:val="4230334A"/>
    <w:rsid w:val="42373D26"/>
    <w:rsid w:val="423B0B3A"/>
    <w:rsid w:val="424961B9"/>
    <w:rsid w:val="426E1419"/>
    <w:rsid w:val="42781446"/>
    <w:rsid w:val="428617AE"/>
    <w:rsid w:val="42B124E5"/>
    <w:rsid w:val="42C97DB0"/>
    <w:rsid w:val="42D801E1"/>
    <w:rsid w:val="42D9753D"/>
    <w:rsid w:val="42E453FF"/>
    <w:rsid w:val="42E85458"/>
    <w:rsid w:val="42F21A84"/>
    <w:rsid w:val="42F27D13"/>
    <w:rsid w:val="42F90015"/>
    <w:rsid w:val="43021FC3"/>
    <w:rsid w:val="430F11B1"/>
    <w:rsid w:val="431862DE"/>
    <w:rsid w:val="431A1904"/>
    <w:rsid w:val="43244531"/>
    <w:rsid w:val="43496D97"/>
    <w:rsid w:val="43547761"/>
    <w:rsid w:val="43655DF3"/>
    <w:rsid w:val="437041B5"/>
    <w:rsid w:val="43727992"/>
    <w:rsid w:val="43737646"/>
    <w:rsid w:val="43762FDE"/>
    <w:rsid w:val="43786151"/>
    <w:rsid w:val="437A45BD"/>
    <w:rsid w:val="438320F9"/>
    <w:rsid w:val="43883D46"/>
    <w:rsid w:val="438C2802"/>
    <w:rsid w:val="438D657A"/>
    <w:rsid w:val="4391606A"/>
    <w:rsid w:val="43993170"/>
    <w:rsid w:val="439F2103"/>
    <w:rsid w:val="43A63197"/>
    <w:rsid w:val="43A70133"/>
    <w:rsid w:val="43A833B4"/>
    <w:rsid w:val="43AE086E"/>
    <w:rsid w:val="43B27D8E"/>
    <w:rsid w:val="43B9111D"/>
    <w:rsid w:val="43BE7E30"/>
    <w:rsid w:val="43D52166"/>
    <w:rsid w:val="43E73F96"/>
    <w:rsid w:val="43EE526A"/>
    <w:rsid w:val="43F32881"/>
    <w:rsid w:val="43FB7987"/>
    <w:rsid w:val="44051440"/>
    <w:rsid w:val="440B474F"/>
    <w:rsid w:val="441E671D"/>
    <w:rsid w:val="44243496"/>
    <w:rsid w:val="442567B2"/>
    <w:rsid w:val="44446C38"/>
    <w:rsid w:val="44454AA8"/>
    <w:rsid w:val="444906F3"/>
    <w:rsid w:val="44510644"/>
    <w:rsid w:val="44517933"/>
    <w:rsid w:val="44577515"/>
    <w:rsid w:val="445E2206"/>
    <w:rsid w:val="44615A71"/>
    <w:rsid w:val="446C618F"/>
    <w:rsid w:val="44880FAF"/>
    <w:rsid w:val="4499173C"/>
    <w:rsid w:val="44A55AFD"/>
    <w:rsid w:val="44AD0C81"/>
    <w:rsid w:val="44BF2AED"/>
    <w:rsid w:val="44C304A5"/>
    <w:rsid w:val="44C77869"/>
    <w:rsid w:val="44CA6EA5"/>
    <w:rsid w:val="44CB6784"/>
    <w:rsid w:val="44D333BD"/>
    <w:rsid w:val="44D66A55"/>
    <w:rsid w:val="44F512DD"/>
    <w:rsid w:val="44F732DD"/>
    <w:rsid w:val="44FD328B"/>
    <w:rsid w:val="45062140"/>
    <w:rsid w:val="45065D76"/>
    <w:rsid w:val="45137ED3"/>
    <w:rsid w:val="4522084C"/>
    <w:rsid w:val="452B1BA6"/>
    <w:rsid w:val="453E7B2C"/>
    <w:rsid w:val="45401CB7"/>
    <w:rsid w:val="45506CCB"/>
    <w:rsid w:val="4556520D"/>
    <w:rsid w:val="455A248C"/>
    <w:rsid w:val="456A7033"/>
    <w:rsid w:val="456A7B57"/>
    <w:rsid w:val="457D7117"/>
    <w:rsid w:val="45865564"/>
    <w:rsid w:val="458A4B1F"/>
    <w:rsid w:val="458B0655"/>
    <w:rsid w:val="458B2BDA"/>
    <w:rsid w:val="458F737D"/>
    <w:rsid w:val="45905EAD"/>
    <w:rsid w:val="459260C9"/>
    <w:rsid w:val="45A007E6"/>
    <w:rsid w:val="45A100BA"/>
    <w:rsid w:val="45A32FF4"/>
    <w:rsid w:val="45A51959"/>
    <w:rsid w:val="45A860A2"/>
    <w:rsid w:val="45AB2CE7"/>
    <w:rsid w:val="45B46040"/>
    <w:rsid w:val="45B7081F"/>
    <w:rsid w:val="45BC301F"/>
    <w:rsid w:val="45C93C12"/>
    <w:rsid w:val="45FD79E7"/>
    <w:rsid w:val="460723CD"/>
    <w:rsid w:val="46115240"/>
    <w:rsid w:val="461B3EE9"/>
    <w:rsid w:val="463F1DAD"/>
    <w:rsid w:val="46433098"/>
    <w:rsid w:val="46472A10"/>
    <w:rsid w:val="465774C6"/>
    <w:rsid w:val="465810C1"/>
    <w:rsid w:val="468F3A50"/>
    <w:rsid w:val="46A476FC"/>
    <w:rsid w:val="46AE0CE1"/>
    <w:rsid w:val="46B8390E"/>
    <w:rsid w:val="46B95165"/>
    <w:rsid w:val="46B972B8"/>
    <w:rsid w:val="46C334C1"/>
    <w:rsid w:val="46D61063"/>
    <w:rsid w:val="46D85D5E"/>
    <w:rsid w:val="46ED6F47"/>
    <w:rsid w:val="46F012F9"/>
    <w:rsid w:val="470541A1"/>
    <w:rsid w:val="47122C92"/>
    <w:rsid w:val="47195E2A"/>
    <w:rsid w:val="472143EA"/>
    <w:rsid w:val="472C6247"/>
    <w:rsid w:val="472F5737"/>
    <w:rsid w:val="47393FAB"/>
    <w:rsid w:val="47396C14"/>
    <w:rsid w:val="473C62ED"/>
    <w:rsid w:val="474451A1"/>
    <w:rsid w:val="47461972"/>
    <w:rsid w:val="4752433C"/>
    <w:rsid w:val="47532E77"/>
    <w:rsid w:val="475644E9"/>
    <w:rsid w:val="476B6BD2"/>
    <w:rsid w:val="476D1A16"/>
    <w:rsid w:val="476F0470"/>
    <w:rsid w:val="479C6D8B"/>
    <w:rsid w:val="479F6ABC"/>
    <w:rsid w:val="47B215BD"/>
    <w:rsid w:val="47BB1907"/>
    <w:rsid w:val="47BC11DC"/>
    <w:rsid w:val="47C307BC"/>
    <w:rsid w:val="47D9142B"/>
    <w:rsid w:val="47E91E2E"/>
    <w:rsid w:val="47FD0A2B"/>
    <w:rsid w:val="48146B46"/>
    <w:rsid w:val="483C0E9D"/>
    <w:rsid w:val="483D1E1B"/>
    <w:rsid w:val="48492B70"/>
    <w:rsid w:val="4857586E"/>
    <w:rsid w:val="485C0F76"/>
    <w:rsid w:val="485D20A8"/>
    <w:rsid w:val="486378A9"/>
    <w:rsid w:val="486B61AC"/>
    <w:rsid w:val="48790E7B"/>
    <w:rsid w:val="48970BDD"/>
    <w:rsid w:val="489851F3"/>
    <w:rsid w:val="489E2BB7"/>
    <w:rsid w:val="48A405ED"/>
    <w:rsid w:val="48AB197C"/>
    <w:rsid w:val="48B94A09"/>
    <w:rsid w:val="48CC36A0"/>
    <w:rsid w:val="48CE566A"/>
    <w:rsid w:val="48DE5D10"/>
    <w:rsid w:val="48E24C72"/>
    <w:rsid w:val="48F854CA"/>
    <w:rsid w:val="48F8683C"/>
    <w:rsid w:val="49003E49"/>
    <w:rsid w:val="49042511"/>
    <w:rsid w:val="490746D8"/>
    <w:rsid w:val="49100119"/>
    <w:rsid w:val="49172B6D"/>
    <w:rsid w:val="492108AA"/>
    <w:rsid w:val="49262CC7"/>
    <w:rsid w:val="49282FFD"/>
    <w:rsid w:val="49284D7B"/>
    <w:rsid w:val="49294E43"/>
    <w:rsid w:val="492E7EB7"/>
    <w:rsid w:val="49344605"/>
    <w:rsid w:val="493B4E28"/>
    <w:rsid w:val="493D6C54"/>
    <w:rsid w:val="49404A8B"/>
    <w:rsid w:val="494D4DE1"/>
    <w:rsid w:val="496E5A82"/>
    <w:rsid w:val="497816DF"/>
    <w:rsid w:val="49786DDF"/>
    <w:rsid w:val="49787384"/>
    <w:rsid w:val="49926698"/>
    <w:rsid w:val="499B44D3"/>
    <w:rsid w:val="499B7313"/>
    <w:rsid w:val="499E65D6"/>
    <w:rsid w:val="49AE2D86"/>
    <w:rsid w:val="49BC5F01"/>
    <w:rsid w:val="49CF51F6"/>
    <w:rsid w:val="49D7251E"/>
    <w:rsid w:val="49DC7913"/>
    <w:rsid w:val="49DE04D6"/>
    <w:rsid w:val="49E01A24"/>
    <w:rsid w:val="49E27234"/>
    <w:rsid w:val="49E30CA1"/>
    <w:rsid w:val="49E54A1A"/>
    <w:rsid w:val="49F11610"/>
    <w:rsid w:val="49F53DAB"/>
    <w:rsid w:val="4A135A0E"/>
    <w:rsid w:val="4A2A0706"/>
    <w:rsid w:val="4A3634C7"/>
    <w:rsid w:val="4A3773EF"/>
    <w:rsid w:val="4A421E6C"/>
    <w:rsid w:val="4A464412"/>
    <w:rsid w:val="4A4E2D35"/>
    <w:rsid w:val="4A514218"/>
    <w:rsid w:val="4A672F24"/>
    <w:rsid w:val="4A6A4570"/>
    <w:rsid w:val="4A777A20"/>
    <w:rsid w:val="4A7B35D0"/>
    <w:rsid w:val="4A873D23"/>
    <w:rsid w:val="4A8A681B"/>
    <w:rsid w:val="4A8E20F7"/>
    <w:rsid w:val="4AA20B5D"/>
    <w:rsid w:val="4AAA4283"/>
    <w:rsid w:val="4ACC5BD9"/>
    <w:rsid w:val="4AD4683C"/>
    <w:rsid w:val="4ADB406F"/>
    <w:rsid w:val="4AE178D7"/>
    <w:rsid w:val="4AE23A36"/>
    <w:rsid w:val="4AE53274"/>
    <w:rsid w:val="4AEB7397"/>
    <w:rsid w:val="4AFA62A3"/>
    <w:rsid w:val="4AFF5B93"/>
    <w:rsid w:val="4B03749E"/>
    <w:rsid w:val="4B044911"/>
    <w:rsid w:val="4B071F49"/>
    <w:rsid w:val="4B117A90"/>
    <w:rsid w:val="4B35377F"/>
    <w:rsid w:val="4B384C82"/>
    <w:rsid w:val="4B3B68BB"/>
    <w:rsid w:val="4B3C2D5F"/>
    <w:rsid w:val="4B475260"/>
    <w:rsid w:val="4B501BB6"/>
    <w:rsid w:val="4B533760"/>
    <w:rsid w:val="4B594A9C"/>
    <w:rsid w:val="4B652C26"/>
    <w:rsid w:val="4B75586C"/>
    <w:rsid w:val="4B8464B4"/>
    <w:rsid w:val="4B914D5E"/>
    <w:rsid w:val="4B9B2B9B"/>
    <w:rsid w:val="4BB74194"/>
    <w:rsid w:val="4BB816B0"/>
    <w:rsid w:val="4BBB2C78"/>
    <w:rsid w:val="4BC13264"/>
    <w:rsid w:val="4BC863A1"/>
    <w:rsid w:val="4BDA60D4"/>
    <w:rsid w:val="4BDF4280"/>
    <w:rsid w:val="4BE55EEE"/>
    <w:rsid w:val="4BEF5BFB"/>
    <w:rsid w:val="4BF26626"/>
    <w:rsid w:val="4BFC429C"/>
    <w:rsid w:val="4C0767FA"/>
    <w:rsid w:val="4C0A4F0B"/>
    <w:rsid w:val="4C17726F"/>
    <w:rsid w:val="4C186BBF"/>
    <w:rsid w:val="4C1C049B"/>
    <w:rsid w:val="4C1E2465"/>
    <w:rsid w:val="4C2B6930"/>
    <w:rsid w:val="4C324162"/>
    <w:rsid w:val="4C462F90"/>
    <w:rsid w:val="4C51568F"/>
    <w:rsid w:val="4C5F643F"/>
    <w:rsid w:val="4C656C98"/>
    <w:rsid w:val="4C6B4F7E"/>
    <w:rsid w:val="4C744A33"/>
    <w:rsid w:val="4C81164C"/>
    <w:rsid w:val="4C8B4951"/>
    <w:rsid w:val="4C9A5577"/>
    <w:rsid w:val="4CA24E44"/>
    <w:rsid w:val="4CB93F3C"/>
    <w:rsid w:val="4CC12D2A"/>
    <w:rsid w:val="4CD11285"/>
    <w:rsid w:val="4CD620D2"/>
    <w:rsid w:val="4CD80866"/>
    <w:rsid w:val="4CD82E38"/>
    <w:rsid w:val="4CE30FB8"/>
    <w:rsid w:val="4CFE06AA"/>
    <w:rsid w:val="4D096C71"/>
    <w:rsid w:val="4D111FCA"/>
    <w:rsid w:val="4D292E6F"/>
    <w:rsid w:val="4D331F40"/>
    <w:rsid w:val="4D40640B"/>
    <w:rsid w:val="4D4759D9"/>
    <w:rsid w:val="4D4A73E7"/>
    <w:rsid w:val="4D5179EF"/>
    <w:rsid w:val="4D5C1497"/>
    <w:rsid w:val="4D5F324B"/>
    <w:rsid w:val="4D602609"/>
    <w:rsid w:val="4D662315"/>
    <w:rsid w:val="4D7020FE"/>
    <w:rsid w:val="4D834C75"/>
    <w:rsid w:val="4D8E361A"/>
    <w:rsid w:val="4D9D385D"/>
    <w:rsid w:val="4DAB5F7A"/>
    <w:rsid w:val="4DBA51C4"/>
    <w:rsid w:val="4DBA7418"/>
    <w:rsid w:val="4DC54B84"/>
    <w:rsid w:val="4DC60A27"/>
    <w:rsid w:val="4DCD4142"/>
    <w:rsid w:val="4DDE43B5"/>
    <w:rsid w:val="4DE91CF7"/>
    <w:rsid w:val="4DEB0AD8"/>
    <w:rsid w:val="4DF3347D"/>
    <w:rsid w:val="4DF92A0A"/>
    <w:rsid w:val="4E065E6C"/>
    <w:rsid w:val="4E164196"/>
    <w:rsid w:val="4E1975A3"/>
    <w:rsid w:val="4E1A13C2"/>
    <w:rsid w:val="4E1A4EAE"/>
    <w:rsid w:val="4E1B16C4"/>
    <w:rsid w:val="4E1F1D28"/>
    <w:rsid w:val="4E402E20"/>
    <w:rsid w:val="4E487C6D"/>
    <w:rsid w:val="4E537DB9"/>
    <w:rsid w:val="4E5B4F6F"/>
    <w:rsid w:val="4E744CC0"/>
    <w:rsid w:val="4E816EF8"/>
    <w:rsid w:val="4E850579"/>
    <w:rsid w:val="4E8B1925"/>
    <w:rsid w:val="4E902803"/>
    <w:rsid w:val="4EA736C8"/>
    <w:rsid w:val="4EDB463D"/>
    <w:rsid w:val="4EDD74E8"/>
    <w:rsid w:val="4EEF0EBA"/>
    <w:rsid w:val="4EFB737F"/>
    <w:rsid w:val="4F124A79"/>
    <w:rsid w:val="4F1E79EC"/>
    <w:rsid w:val="4F276821"/>
    <w:rsid w:val="4F334479"/>
    <w:rsid w:val="4F3B18F5"/>
    <w:rsid w:val="4F470239"/>
    <w:rsid w:val="4F50502B"/>
    <w:rsid w:val="4F5543EF"/>
    <w:rsid w:val="4F5F0DCA"/>
    <w:rsid w:val="4F6D27A2"/>
    <w:rsid w:val="4F6F0BB5"/>
    <w:rsid w:val="4F714FA1"/>
    <w:rsid w:val="4F7D3C20"/>
    <w:rsid w:val="4F846A83"/>
    <w:rsid w:val="4F894099"/>
    <w:rsid w:val="4F9036DC"/>
    <w:rsid w:val="4FA06B29"/>
    <w:rsid w:val="4FA40ED3"/>
    <w:rsid w:val="4FC41575"/>
    <w:rsid w:val="4FD25A40"/>
    <w:rsid w:val="4FD80B7D"/>
    <w:rsid w:val="4FE24FA4"/>
    <w:rsid w:val="4FE700AE"/>
    <w:rsid w:val="4FEE03A0"/>
    <w:rsid w:val="4FF0236A"/>
    <w:rsid w:val="4FFA4F97"/>
    <w:rsid w:val="501222E0"/>
    <w:rsid w:val="50131BB5"/>
    <w:rsid w:val="501E25BA"/>
    <w:rsid w:val="502778FA"/>
    <w:rsid w:val="505A5A36"/>
    <w:rsid w:val="506863A4"/>
    <w:rsid w:val="50695985"/>
    <w:rsid w:val="507671AB"/>
    <w:rsid w:val="507C1E50"/>
    <w:rsid w:val="507E1724"/>
    <w:rsid w:val="50814615"/>
    <w:rsid w:val="50834F8C"/>
    <w:rsid w:val="50942CF5"/>
    <w:rsid w:val="50964CC0"/>
    <w:rsid w:val="50A15412"/>
    <w:rsid w:val="50A169BE"/>
    <w:rsid w:val="50A32F39"/>
    <w:rsid w:val="50B81C47"/>
    <w:rsid w:val="50E01AF5"/>
    <w:rsid w:val="50E726BA"/>
    <w:rsid w:val="50EE4AFC"/>
    <w:rsid w:val="50F32112"/>
    <w:rsid w:val="51022355"/>
    <w:rsid w:val="510B47D4"/>
    <w:rsid w:val="51167BAE"/>
    <w:rsid w:val="512978E2"/>
    <w:rsid w:val="51330CDD"/>
    <w:rsid w:val="51330FBE"/>
    <w:rsid w:val="5139564B"/>
    <w:rsid w:val="513B5867"/>
    <w:rsid w:val="513C480D"/>
    <w:rsid w:val="513E2C61"/>
    <w:rsid w:val="514324CE"/>
    <w:rsid w:val="514B3CFC"/>
    <w:rsid w:val="515656BD"/>
    <w:rsid w:val="51581F75"/>
    <w:rsid w:val="515A5BB4"/>
    <w:rsid w:val="51687201"/>
    <w:rsid w:val="516A0C92"/>
    <w:rsid w:val="516A49CA"/>
    <w:rsid w:val="516F72BF"/>
    <w:rsid w:val="51844B18"/>
    <w:rsid w:val="51914528"/>
    <w:rsid w:val="51961BF6"/>
    <w:rsid w:val="51A67184"/>
    <w:rsid w:val="51AF1492"/>
    <w:rsid w:val="51B12A68"/>
    <w:rsid w:val="51B3364F"/>
    <w:rsid w:val="51B44F99"/>
    <w:rsid w:val="51B8650E"/>
    <w:rsid w:val="51C31E9D"/>
    <w:rsid w:val="51CE2725"/>
    <w:rsid w:val="51E27A91"/>
    <w:rsid w:val="51EE6435"/>
    <w:rsid w:val="51FD2B1C"/>
    <w:rsid w:val="51FD48CA"/>
    <w:rsid w:val="520610B7"/>
    <w:rsid w:val="52296D19"/>
    <w:rsid w:val="52306A4E"/>
    <w:rsid w:val="52337407"/>
    <w:rsid w:val="52393135"/>
    <w:rsid w:val="523A78CD"/>
    <w:rsid w:val="523E6809"/>
    <w:rsid w:val="526112FD"/>
    <w:rsid w:val="526861E8"/>
    <w:rsid w:val="527B23BF"/>
    <w:rsid w:val="528172AA"/>
    <w:rsid w:val="529B4A7B"/>
    <w:rsid w:val="52A35493"/>
    <w:rsid w:val="52AA2A47"/>
    <w:rsid w:val="52AA6800"/>
    <w:rsid w:val="52B02B6E"/>
    <w:rsid w:val="52B02F70"/>
    <w:rsid w:val="52B31603"/>
    <w:rsid w:val="52EB0BC7"/>
    <w:rsid w:val="52FA61D9"/>
    <w:rsid w:val="530D0B13"/>
    <w:rsid w:val="530E38AC"/>
    <w:rsid w:val="530E60FD"/>
    <w:rsid w:val="53185E60"/>
    <w:rsid w:val="532D11DF"/>
    <w:rsid w:val="532F272D"/>
    <w:rsid w:val="5335540B"/>
    <w:rsid w:val="533B7414"/>
    <w:rsid w:val="5345477B"/>
    <w:rsid w:val="534C0E5E"/>
    <w:rsid w:val="534C3D5B"/>
    <w:rsid w:val="534F55FA"/>
    <w:rsid w:val="535844AE"/>
    <w:rsid w:val="537C67E6"/>
    <w:rsid w:val="538434F5"/>
    <w:rsid w:val="53891A95"/>
    <w:rsid w:val="53894668"/>
    <w:rsid w:val="53923E52"/>
    <w:rsid w:val="53A572C2"/>
    <w:rsid w:val="53B10062"/>
    <w:rsid w:val="53B209D3"/>
    <w:rsid w:val="53BB1843"/>
    <w:rsid w:val="53BC2F4D"/>
    <w:rsid w:val="53D46EE2"/>
    <w:rsid w:val="53DA63CD"/>
    <w:rsid w:val="53DF072C"/>
    <w:rsid w:val="53E2646E"/>
    <w:rsid w:val="53EE28BC"/>
    <w:rsid w:val="53F71F19"/>
    <w:rsid w:val="541479EE"/>
    <w:rsid w:val="5415239F"/>
    <w:rsid w:val="541F6BE6"/>
    <w:rsid w:val="54232BB2"/>
    <w:rsid w:val="542801C6"/>
    <w:rsid w:val="54293691"/>
    <w:rsid w:val="542D3AB2"/>
    <w:rsid w:val="544046FA"/>
    <w:rsid w:val="54576514"/>
    <w:rsid w:val="546B0211"/>
    <w:rsid w:val="54803666"/>
    <w:rsid w:val="54816AF0"/>
    <w:rsid w:val="548553DB"/>
    <w:rsid w:val="54AB4AB2"/>
    <w:rsid w:val="54AC0290"/>
    <w:rsid w:val="54B82019"/>
    <w:rsid w:val="54C85664"/>
    <w:rsid w:val="54E63D3C"/>
    <w:rsid w:val="54EC1B4E"/>
    <w:rsid w:val="54ED1ABF"/>
    <w:rsid w:val="54F5359F"/>
    <w:rsid w:val="54F53A65"/>
    <w:rsid w:val="54F6739F"/>
    <w:rsid w:val="54FD4801"/>
    <w:rsid w:val="55032FC6"/>
    <w:rsid w:val="55142C79"/>
    <w:rsid w:val="55180399"/>
    <w:rsid w:val="5528557E"/>
    <w:rsid w:val="553874DE"/>
    <w:rsid w:val="5548351D"/>
    <w:rsid w:val="555272AB"/>
    <w:rsid w:val="555B0286"/>
    <w:rsid w:val="5560589C"/>
    <w:rsid w:val="556A2277"/>
    <w:rsid w:val="55776350"/>
    <w:rsid w:val="5583151A"/>
    <w:rsid w:val="559317CE"/>
    <w:rsid w:val="55961ABB"/>
    <w:rsid w:val="55974A50"/>
    <w:rsid w:val="55992D5A"/>
    <w:rsid w:val="55A263D5"/>
    <w:rsid w:val="55A84294"/>
    <w:rsid w:val="55C40EA9"/>
    <w:rsid w:val="55D10548"/>
    <w:rsid w:val="55D63DB0"/>
    <w:rsid w:val="55E464CD"/>
    <w:rsid w:val="55E840F8"/>
    <w:rsid w:val="55EA573B"/>
    <w:rsid w:val="55EC65BF"/>
    <w:rsid w:val="55F83D27"/>
    <w:rsid w:val="55FD758F"/>
    <w:rsid w:val="55FE03D8"/>
    <w:rsid w:val="562A2B47"/>
    <w:rsid w:val="56325CFA"/>
    <w:rsid w:val="565129F5"/>
    <w:rsid w:val="56521689"/>
    <w:rsid w:val="565371AF"/>
    <w:rsid w:val="565E6BF0"/>
    <w:rsid w:val="5663654C"/>
    <w:rsid w:val="56771E6C"/>
    <w:rsid w:val="568F0EF6"/>
    <w:rsid w:val="56951575"/>
    <w:rsid w:val="56A93273"/>
    <w:rsid w:val="56B76C85"/>
    <w:rsid w:val="56C1680E"/>
    <w:rsid w:val="56C42A5E"/>
    <w:rsid w:val="56C67888"/>
    <w:rsid w:val="56D54068"/>
    <w:rsid w:val="56D70470"/>
    <w:rsid w:val="56DA4B2C"/>
    <w:rsid w:val="56EB4D1A"/>
    <w:rsid w:val="56FA0870"/>
    <w:rsid w:val="56FC15F5"/>
    <w:rsid w:val="5705494D"/>
    <w:rsid w:val="571903F8"/>
    <w:rsid w:val="57295637"/>
    <w:rsid w:val="57332026"/>
    <w:rsid w:val="57390153"/>
    <w:rsid w:val="573B211D"/>
    <w:rsid w:val="573E39BB"/>
    <w:rsid w:val="574C56CB"/>
    <w:rsid w:val="574D00A2"/>
    <w:rsid w:val="5753390A"/>
    <w:rsid w:val="57561D16"/>
    <w:rsid w:val="575643C0"/>
    <w:rsid w:val="57596A47"/>
    <w:rsid w:val="57596B59"/>
    <w:rsid w:val="576A2A02"/>
    <w:rsid w:val="576C677A"/>
    <w:rsid w:val="57770C7B"/>
    <w:rsid w:val="57831D16"/>
    <w:rsid w:val="57882E88"/>
    <w:rsid w:val="579C6BCD"/>
    <w:rsid w:val="57A82511"/>
    <w:rsid w:val="57B251AA"/>
    <w:rsid w:val="57B31183"/>
    <w:rsid w:val="57B478F7"/>
    <w:rsid w:val="57B63614"/>
    <w:rsid w:val="57B9235D"/>
    <w:rsid w:val="57C93BCD"/>
    <w:rsid w:val="57CC0FC7"/>
    <w:rsid w:val="57DA7B88"/>
    <w:rsid w:val="57E44FF8"/>
    <w:rsid w:val="57FA793A"/>
    <w:rsid w:val="580170AE"/>
    <w:rsid w:val="580F7106"/>
    <w:rsid w:val="581426D7"/>
    <w:rsid w:val="581A4428"/>
    <w:rsid w:val="58254B7B"/>
    <w:rsid w:val="582E1C82"/>
    <w:rsid w:val="583628E4"/>
    <w:rsid w:val="583A08CE"/>
    <w:rsid w:val="58414F08"/>
    <w:rsid w:val="5853793A"/>
    <w:rsid w:val="58704048"/>
    <w:rsid w:val="588B22C9"/>
    <w:rsid w:val="589E6E07"/>
    <w:rsid w:val="589F0257"/>
    <w:rsid w:val="58A75C78"/>
    <w:rsid w:val="58DA1EAD"/>
    <w:rsid w:val="58E136C6"/>
    <w:rsid w:val="58E97957"/>
    <w:rsid w:val="59140E77"/>
    <w:rsid w:val="591470C9"/>
    <w:rsid w:val="59200F17"/>
    <w:rsid w:val="59266DFD"/>
    <w:rsid w:val="593257A1"/>
    <w:rsid w:val="59417700"/>
    <w:rsid w:val="595E5844"/>
    <w:rsid w:val="596A5526"/>
    <w:rsid w:val="5980104E"/>
    <w:rsid w:val="59875AED"/>
    <w:rsid w:val="59A950BC"/>
    <w:rsid w:val="59B37D06"/>
    <w:rsid w:val="59BE1BE5"/>
    <w:rsid w:val="59C109D7"/>
    <w:rsid w:val="59C208D3"/>
    <w:rsid w:val="59C419DE"/>
    <w:rsid w:val="59CB0374"/>
    <w:rsid w:val="59CF2C50"/>
    <w:rsid w:val="59E73458"/>
    <w:rsid w:val="59E75344"/>
    <w:rsid w:val="59E92C75"/>
    <w:rsid w:val="59EF5441"/>
    <w:rsid w:val="59F00FA4"/>
    <w:rsid w:val="59F64A21"/>
    <w:rsid w:val="59F75392"/>
    <w:rsid w:val="5A0E1857"/>
    <w:rsid w:val="5A113609"/>
    <w:rsid w:val="5A382944"/>
    <w:rsid w:val="5A3B2D7E"/>
    <w:rsid w:val="5A407A4A"/>
    <w:rsid w:val="5A55656C"/>
    <w:rsid w:val="5A5A6D5E"/>
    <w:rsid w:val="5A8262B5"/>
    <w:rsid w:val="5A897643"/>
    <w:rsid w:val="5A8B1247"/>
    <w:rsid w:val="5A9658BC"/>
    <w:rsid w:val="5A985AD8"/>
    <w:rsid w:val="5AA03BDF"/>
    <w:rsid w:val="5AA74954"/>
    <w:rsid w:val="5AAB1367"/>
    <w:rsid w:val="5AB126F6"/>
    <w:rsid w:val="5AB26B9A"/>
    <w:rsid w:val="5AB5009D"/>
    <w:rsid w:val="5AB81CD6"/>
    <w:rsid w:val="5ABA2A7F"/>
    <w:rsid w:val="5ABF62C1"/>
    <w:rsid w:val="5ACD5782"/>
    <w:rsid w:val="5AD14B37"/>
    <w:rsid w:val="5ADE43CF"/>
    <w:rsid w:val="5AE32B59"/>
    <w:rsid w:val="5AEF5457"/>
    <w:rsid w:val="5AF35A6E"/>
    <w:rsid w:val="5AF854CA"/>
    <w:rsid w:val="5B174C4F"/>
    <w:rsid w:val="5B21787C"/>
    <w:rsid w:val="5B247742"/>
    <w:rsid w:val="5B2F6DB0"/>
    <w:rsid w:val="5B4672E2"/>
    <w:rsid w:val="5B4F542F"/>
    <w:rsid w:val="5B5408C4"/>
    <w:rsid w:val="5B5A1298"/>
    <w:rsid w:val="5B5C08B4"/>
    <w:rsid w:val="5B653E6E"/>
    <w:rsid w:val="5B6B0AF2"/>
    <w:rsid w:val="5B791466"/>
    <w:rsid w:val="5B7F45A2"/>
    <w:rsid w:val="5BA04553"/>
    <w:rsid w:val="5BA109BC"/>
    <w:rsid w:val="5BA15B4C"/>
    <w:rsid w:val="5BAB4AC1"/>
    <w:rsid w:val="5BAC35E9"/>
    <w:rsid w:val="5BAD75D1"/>
    <w:rsid w:val="5BB81115"/>
    <w:rsid w:val="5BC16969"/>
    <w:rsid w:val="5BC36B85"/>
    <w:rsid w:val="5BDF3A6A"/>
    <w:rsid w:val="5BEB7DA0"/>
    <w:rsid w:val="5BF60D08"/>
    <w:rsid w:val="5BF705DC"/>
    <w:rsid w:val="5BFC12C4"/>
    <w:rsid w:val="5C0A1DD1"/>
    <w:rsid w:val="5C0A5A53"/>
    <w:rsid w:val="5C0C5453"/>
    <w:rsid w:val="5C166CB5"/>
    <w:rsid w:val="5C2340B8"/>
    <w:rsid w:val="5C24476D"/>
    <w:rsid w:val="5C2D5197"/>
    <w:rsid w:val="5C3000B8"/>
    <w:rsid w:val="5C381AA2"/>
    <w:rsid w:val="5C390BF5"/>
    <w:rsid w:val="5C427AAA"/>
    <w:rsid w:val="5C4344EA"/>
    <w:rsid w:val="5C471564"/>
    <w:rsid w:val="5C6538F3"/>
    <w:rsid w:val="5C6C4FF8"/>
    <w:rsid w:val="5C6D2433"/>
    <w:rsid w:val="5C794EB2"/>
    <w:rsid w:val="5C7B523F"/>
    <w:rsid w:val="5C86208C"/>
    <w:rsid w:val="5C871960"/>
    <w:rsid w:val="5C887EAA"/>
    <w:rsid w:val="5C8A2DBC"/>
    <w:rsid w:val="5C8D7611"/>
    <w:rsid w:val="5C9D484D"/>
    <w:rsid w:val="5C9F1788"/>
    <w:rsid w:val="5CAA564F"/>
    <w:rsid w:val="5CAC13C7"/>
    <w:rsid w:val="5CAD2030"/>
    <w:rsid w:val="5CB309A7"/>
    <w:rsid w:val="5CB747FF"/>
    <w:rsid w:val="5CBD22F4"/>
    <w:rsid w:val="5CBD3B7F"/>
    <w:rsid w:val="5CBE6B49"/>
    <w:rsid w:val="5CCB4A8E"/>
    <w:rsid w:val="5CE545E8"/>
    <w:rsid w:val="5CF6436E"/>
    <w:rsid w:val="5CF82622"/>
    <w:rsid w:val="5CFF3BED"/>
    <w:rsid w:val="5D0B2104"/>
    <w:rsid w:val="5D156F6C"/>
    <w:rsid w:val="5D156FD4"/>
    <w:rsid w:val="5D213B7C"/>
    <w:rsid w:val="5D404036"/>
    <w:rsid w:val="5D50242B"/>
    <w:rsid w:val="5D5201C0"/>
    <w:rsid w:val="5D544A86"/>
    <w:rsid w:val="5D56690D"/>
    <w:rsid w:val="5D577585"/>
    <w:rsid w:val="5D590AFD"/>
    <w:rsid w:val="5D6063D5"/>
    <w:rsid w:val="5D670CEE"/>
    <w:rsid w:val="5D6D0B56"/>
    <w:rsid w:val="5D731EE5"/>
    <w:rsid w:val="5D7719D5"/>
    <w:rsid w:val="5D8B5480"/>
    <w:rsid w:val="5D9413FD"/>
    <w:rsid w:val="5DA21FD8"/>
    <w:rsid w:val="5DA66945"/>
    <w:rsid w:val="5DAB5B22"/>
    <w:rsid w:val="5DAF0D3C"/>
    <w:rsid w:val="5DB276BD"/>
    <w:rsid w:val="5DB72F61"/>
    <w:rsid w:val="5DD5494D"/>
    <w:rsid w:val="5DE34808"/>
    <w:rsid w:val="5DE51034"/>
    <w:rsid w:val="5DEE0041"/>
    <w:rsid w:val="5DEE6303"/>
    <w:rsid w:val="5DF23751"/>
    <w:rsid w:val="5DF43AFD"/>
    <w:rsid w:val="5DFB45C9"/>
    <w:rsid w:val="5E005EA0"/>
    <w:rsid w:val="5E1B0CC6"/>
    <w:rsid w:val="5E2007B6"/>
    <w:rsid w:val="5E2230D9"/>
    <w:rsid w:val="5E2751A9"/>
    <w:rsid w:val="5E377A24"/>
    <w:rsid w:val="5E3B6EA6"/>
    <w:rsid w:val="5E3C5C66"/>
    <w:rsid w:val="5E405E29"/>
    <w:rsid w:val="5E421FE3"/>
    <w:rsid w:val="5E4411E9"/>
    <w:rsid w:val="5E56286B"/>
    <w:rsid w:val="5E5A37D0"/>
    <w:rsid w:val="5E5B4E53"/>
    <w:rsid w:val="5E691EF5"/>
    <w:rsid w:val="5E8819C0"/>
    <w:rsid w:val="5E884949"/>
    <w:rsid w:val="5EBB3B43"/>
    <w:rsid w:val="5EBC25D6"/>
    <w:rsid w:val="5EC96260"/>
    <w:rsid w:val="5ED401DE"/>
    <w:rsid w:val="5ED6097D"/>
    <w:rsid w:val="5ED942F1"/>
    <w:rsid w:val="5EDA66BF"/>
    <w:rsid w:val="5F0D1D83"/>
    <w:rsid w:val="5F0E6369"/>
    <w:rsid w:val="5F0F3949"/>
    <w:rsid w:val="5F116103"/>
    <w:rsid w:val="5F1478DE"/>
    <w:rsid w:val="5F1D7525"/>
    <w:rsid w:val="5F245B8C"/>
    <w:rsid w:val="5F2B0CC9"/>
    <w:rsid w:val="5F41673E"/>
    <w:rsid w:val="5F4773AC"/>
    <w:rsid w:val="5F633A13"/>
    <w:rsid w:val="5F6661A5"/>
    <w:rsid w:val="5F7A0CB4"/>
    <w:rsid w:val="5F7D2B56"/>
    <w:rsid w:val="5F8D54E0"/>
    <w:rsid w:val="5F926F9A"/>
    <w:rsid w:val="5F93061C"/>
    <w:rsid w:val="5F99100B"/>
    <w:rsid w:val="5F9F5213"/>
    <w:rsid w:val="5FA56CCD"/>
    <w:rsid w:val="5FB23198"/>
    <w:rsid w:val="5FB615CF"/>
    <w:rsid w:val="5FB95867"/>
    <w:rsid w:val="5FC0660C"/>
    <w:rsid w:val="5FDD6A9D"/>
    <w:rsid w:val="5FF217E7"/>
    <w:rsid w:val="5FF33E1D"/>
    <w:rsid w:val="6003443A"/>
    <w:rsid w:val="600A2FD4"/>
    <w:rsid w:val="6030598C"/>
    <w:rsid w:val="60324361"/>
    <w:rsid w:val="60336E2C"/>
    <w:rsid w:val="6039605D"/>
    <w:rsid w:val="604146E8"/>
    <w:rsid w:val="604372C4"/>
    <w:rsid w:val="60477613"/>
    <w:rsid w:val="604E3EA7"/>
    <w:rsid w:val="6062071A"/>
    <w:rsid w:val="60701BB8"/>
    <w:rsid w:val="60793CB6"/>
    <w:rsid w:val="608309E8"/>
    <w:rsid w:val="608608B7"/>
    <w:rsid w:val="609036E7"/>
    <w:rsid w:val="609644F7"/>
    <w:rsid w:val="60996CE8"/>
    <w:rsid w:val="60AB0AE3"/>
    <w:rsid w:val="60BE5A82"/>
    <w:rsid w:val="60C03693"/>
    <w:rsid w:val="60CA4511"/>
    <w:rsid w:val="60CC2038"/>
    <w:rsid w:val="60D354A5"/>
    <w:rsid w:val="60F677EF"/>
    <w:rsid w:val="60FA4DF7"/>
    <w:rsid w:val="610F71D1"/>
    <w:rsid w:val="611616B7"/>
    <w:rsid w:val="61181721"/>
    <w:rsid w:val="6122434D"/>
    <w:rsid w:val="612925D0"/>
    <w:rsid w:val="6129614D"/>
    <w:rsid w:val="612C4B73"/>
    <w:rsid w:val="614F3547"/>
    <w:rsid w:val="61503321"/>
    <w:rsid w:val="61656152"/>
    <w:rsid w:val="61695AD8"/>
    <w:rsid w:val="616E6854"/>
    <w:rsid w:val="617C3A5E"/>
    <w:rsid w:val="61891CD7"/>
    <w:rsid w:val="61AA0037"/>
    <w:rsid w:val="61AE034A"/>
    <w:rsid w:val="61BC02FE"/>
    <w:rsid w:val="61C0122B"/>
    <w:rsid w:val="61C118A6"/>
    <w:rsid w:val="61C350EF"/>
    <w:rsid w:val="61E57E37"/>
    <w:rsid w:val="61EA4E6B"/>
    <w:rsid w:val="61EF2861"/>
    <w:rsid w:val="61F15095"/>
    <w:rsid w:val="61F93300"/>
    <w:rsid w:val="61FC06FB"/>
    <w:rsid w:val="621023F8"/>
    <w:rsid w:val="62202A47"/>
    <w:rsid w:val="62374EE0"/>
    <w:rsid w:val="623D411A"/>
    <w:rsid w:val="6245683D"/>
    <w:rsid w:val="624A6826"/>
    <w:rsid w:val="626370D8"/>
    <w:rsid w:val="626764BC"/>
    <w:rsid w:val="626B09A7"/>
    <w:rsid w:val="626C7D38"/>
    <w:rsid w:val="62782477"/>
    <w:rsid w:val="627C7844"/>
    <w:rsid w:val="62883D54"/>
    <w:rsid w:val="629118D9"/>
    <w:rsid w:val="62913539"/>
    <w:rsid w:val="629F3D46"/>
    <w:rsid w:val="62A768B8"/>
    <w:rsid w:val="62AD6E5E"/>
    <w:rsid w:val="62CE0268"/>
    <w:rsid w:val="62DF0EE7"/>
    <w:rsid w:val="62F834D1"/>
    <w:rsid w:val="63026CEF"/>
    <w:rsid w:val="63035AB9"/>
    <w:rsid w:val="630A6009"/>
    <w:rsid w:val="63190B09"/>
    <w:rsid w:val="631B1F44"/>
    <w:rsid w:val="63283D33"/>
    <w:rsid w:val="63371CB4"/>
    <w:rsid w:val="633914DA"/>
    <w:rsid w:val="63454988"/>
    <w:rsid w:val="635069F5"/>
    <w:rsid w:val="636010D6"/>
    <w:rsid w:val="63605126"/>
    <w:rsid w:val="63650E7B"/>
    <w:rsid w:val="63730918"/>
    <w:rsid w:val="638D707F"/>
    <w:rsid w:val="638F04D9"/>
    <w:rsid w:val="63AE7035"/>
    <w:rsid w:val="63B649EA"/>
    <w:rsid w:val="63BF3B58"/>
    <w:rsid w:val="63C27722"/>
    <w:rsid w:val="63C45248"/>
    <w:rsid w:val="63C95FE5"/>
    <w:rsid w:val="63CF10CF"/>
    <w:rsid w:val="63DF6526"/>
    <w:rsid w:val="63E31B72"/>
    <w:rsid w:val="63F40ADA"/>
    <w:rsid w:val="641F5EA8"/>
    <w:rsid w:val="64207427"/>
    <w:rsid w:val="64263644"/>
    <w:rsid w:val="64264155"/>
    <w:rsid w:val="64281C7B"/>
    <w:rsid w:val="642D7291"/>
    <w:rsid w:val="642F305A"/>
    <w:rsid w:val="64356146"/>
    <w:rsid w:val="643E5D4D"/>
    <w:rsid w:val="644066D4"/>
    <w:rsid w:val="64504D2E"/>
    <w:rsid w:val="645C7B76"/>
    <w:rsid w:val="646627A3"/>
    <w:rsid w:val="646B1B68"/>
    <w:rsid w:val="64721CBF"/>
    <w:rsid w:val="64A21A2D"/>
    <w:rsid w:val="64AC28AC"/>
    <w:rsid w:val="64C352B2"/>
    <w:rsid w:val="64DC3505"/>
    <w:rsid w:val="64E233A1"/>
    <w:rsid w:val="64E431AC"/>
    <w:rsid w:val="64E536C8"/>
    <w:rsid w:val="64EC0EFA"/>
    <w:rsid w:val="65002861"/>
    <w:rsid w:val="650C6B80"/>
    <w:rsid w:val="65257F68"/>
    <w:rsid w:val="65271F32"/>
    <w:rsid w:val="65336B29"/>
    <w:rsid w:val="65363F24"/>
    <w:rsid w:val="653B778C"/>
    <w:rsid w:val="654C1999"/>
    <w:rsid w:val="654E5711"/>
    <w:rsid w:val="65507D20"/>
    <w:rsid w:val="655645C6"/>
    <w:rsid w:val="655A5E64"/>
    <w:rsid w:val="655C3287"/>
    <w:rsid w:val="655C6080"/>
    <w:rsid w:val="655D5954"/>
    <w:rsid w:val="655F3341"/>
    <w:rsid w:val="6562740E"/>
    <w:rsid w:val="65670581"/>
    <w:rsid w:val="65757142"/>
    <w:rsid w:val="65763CEB"/>
    <w:rsid w:val="657F771D"/>
    <w:rsid w:val="658253BB"/>
    <w:rsid w:val="65A47EDB"/>
    <w:rsid w:val="65B23EF2"/>
    <w:rsid w:val="65B40423"/>
    <w:rsid w:val="65CE4FEA"/>
    <w:rsid w:val="65D8322D"/>
    <w:rsid w:val="65E47E23"/>
    <w:rsid w:val="65E70748"/>
    <w:rsid w:val="65E7567D"/>
    <w:rsid w:val="65F00576"/>
    <w:rsid w:val="65F41BFA"/>
    <w:rsid w:val="661117D9"/>
    <w:rsid w:val="66186D7D"/>
    <w:rsid w:val="6625638B"/>
    <w:rsid w:val="662E1CC1"/>
    <w:rsid w:val="663B6A36"/>
    <w:rsid w:val="66502A62"/>
    <w:rsid w:val="665C5C0C"/>
    <w:rsid w:val="666E5D2B"/>
    <w:rsid w:val="667663A9"/>
    <w:rsid w:val="667A1027"/>
    <w:rsid w:val="6683763C"/>
    <w:rsid w:val="66884C53"/>
    <w:rsid w:val="669259E8"/>
    <w:rsid w:val="669A5E06"/>
    <w:rsid w:val="669C425A"/>
    <w:rsid w:val="669E6224"/>
    <w:rsid w:val="66A745DE"/>
    <w:rsid w:val="66C82385"/>
    <w:rsid w:val="66D05F0C"/>
    <w:rsid w:val="66D92191"/>
    <w:rsid w:val="66E40516"/>
    <w:rsid w:val="66E61827"/>
    <w:rsid w:val="66F97FE0"/>
    <w:rsid w:val="671B5D5A"/>
    <w:rsid w:val="671D602A"/>
    <w:rsid w:val="67202C41"/>
    <w:rsid w:val="673771C0"/>
    <w:rsid w:val="67395F4D"/>
    <w:rsid w:val="67397CFB"/>
    <w:rsid w:val="673E5311"/>
    <w:rsid w:val="67416E90"/>
    <w:rsid w:val="674C3ED2"/>
    <w:rsid w:val="67627252"/>
    <w:rsid w:val="67673482"/>
    <w:rsid w:val="67713939"/>
    <w:rsid w:val="677840D4"/>
    <w:rsid w:val="677D408C"/>
    <w:rsid w:val="678602C2"/>
    <w:rsid w:val="678673E4"/>
    <w:rsid w:val="67876CB8"/>
    <w:rsid w:val="67897A57"/>
    <w:rsid w:val="679825A6"/>
    <w:rsid w:val="679A69EC"/>
    <w:rsid w:val="67A14616"/>
    <w:rsid w:val="67A802C7"/>
    <w:rsid w:val="67B0620F"/>
    <w:rsid w:val="67B3187E"/>
    <w:rsid w:val="67B51A77"/>
    <w:rsid w:val="67B53825"/>
    <w:rsid w:val="67B850C4"/>
    <w:rsid w:val="67C1666E"/>
    <w:rsid w:val="67C63C85"/>
    <w:rsid w:val="67CC0761"/>
    <w:rsid w:val="67D2243E"/>
    <w:rsid w:val="67DF4D46"/>
    <w:rsid w:val="67E61C31"/>
    <w:rsid w:val="67F867D3"/>
    <w:rsid w:val="67F87BB6"/>
    <w:rsid w:val="68122447"/>
    <w:rsid w:val="6813679E"/>
    <w:rsid w:val="68156C73"/>
    <w:rsid w:val="681F6646"/>
    <w:rsid w:val="68251C32"/>
    <w:rsid w:val="682664D1"/>
    <w:rsid w:val="68273FF7"/>
    <w:rsid w:val="682B1D3A"/>
    <w:rsid w:val="682E35D8"/>
    <w:rsid w:val="68302B67"/>
    <w:rsid w:val="684C35C2"/>
    <w:rsid w:val="6867689A"/>
    <w:rsid w:val="6874509F"/>
    <w:rsid w:val="68747672"/>
    <w:rsid w:val="68776D2D"/>
    <w:rsid w:val="687F5BE1"/>
    <w:rsid w:val="68925915"/>
    <w:rsid w:val="689D036D"/>
    <w:rsid w:val="68A6395E"/>
    <w:rsid w:val="68B17053"/>
    <w:rsid w:val="68B41D2F"/>
    <w:rsid w:val="68B94891"/>
    <w:rsid w:val="68C87588"/>
    <w:rsid w:val="68CB433A"/>
    <w:rsid w:val="68D973F4"/>
    <w:rsid w:val="68DE0B5A"/>
    <w:rsid w:val="68E819F6"/>
    <w:rsid w:val="68EA39A3"/>
    <w:rsid w:val="68F14D31"/>
    <w:rsid w:val="68F40471"/>
    <w:rsid w:val="68FA3C61"/>
    <w:rsid w:val="690236FD"/>
    <w:rsid w:val="69054339"/>
    <w:rsid w:val="69086412"/>
    <w:rsid w:val="69196036"/>
    <w:rsid w:val="691C0971"/>
    <w:rsid w:val="69236F51"/>
    <w:rsid w:val="69392657"/>
    <w:rsid w:val="693E5E10"/>
    <w:rsid w:val="696A4AE4"/>
    <w:rsid w:val="696B2119"/>
    <w:rsid w:val="697B149D"/>
    <w:rsid w:val="697B16A4"/>
    <w:rsid w:val="699802BD"/>
    <w:rsid w:val="699E7743"/>
    <w:rsid w:val="69A03737"/>
    <w:rsid w:val="69B67D29"/>
    <w:rsid w:val="69BB0E9B"/>
    <w:rsid w:val="69C338DE"/>
    <w:rsid w:val="69D1246D"/>
    <w:rsid w:val="69D33A9D"/>
    <w:rsid w:val="69DB2812"/>
    <w:rsid w:val="69DF102E"/>
    <w:rsid w:val="69E3112A"/>
    <w:rsid w:val="69E623BC"/>
    <w:rsid w:val="6A002749"/>
    <w:rsid w:val="6A042842"/>
    <w:rsid w:val="6A130CD7"/>
    <w:rsid w:val="6A174A87"/>
    <w:rsid w:val="6A1D1B56"/>
    <w:rsid w:val="6A264D80"/>
    <w:rsid w:val="6A5F3F1C"/>
    <w:rsid w:val="6A654498"/>
    <w:rsid w:val="6A687275"/>
    <w:rsid w:val="6A720029"/>
    <w:rsid w:val="6A726D0A"/>
    <w:rsid w:val="6A764689"/>
    <w:rsid w:val="6A773E47"/>
    <w:rsid w:val="6A8455E4"/>
    <w:rsid w:val="6A8E30D6"/>
    <w:rsid w:val="6A8E6D98"/>
    <w:rsid w:val="6A977E39"/>
    <w:rsid w:val="6AAA3AEF"/>
    <w:rsid w:val="6AAD4C88"/>
    <w:rsid w:val="6AB44268"/>
    <w:rsid w:val="6ABF49BB"/>
    <w:rsid w:val="6ACB05BF"/>
    <w:rsid w:val="6AD20B92"/>
    <w:rsid w:val="6AD3601A"/>
    <w:rsid w:val="6AD4544D"/>
    <w:rsid w:val="6AEA5EDC"/>
    <w:rsid w:val="6AF30DBD"/>
    <w:rsid w:val="6AFF07FC"/>
    <w:rsid w:val="6B1A5C4E"/>
    <w:rsid w:val="6B1E5B86"/>
    <w:rsid w:val="6B273BEF"/>
    <w:rsid w:val="6B4878B1"/>
    <w:rsid w:val="6B5267E4"/>
    <w:rsid w:val="6B6446DD"/>
    <w:rsid w:val="6B797260"/>
    <w:rsid w:val="6B7F68D5"/>
    <w:rsid w:val="6B9D5C62"/>
    <w:rsid w:val="6BA0354B"/>
    <w:rsid w:val="6BAD788A"/>
    <w:rsid w:val="6BBC163F"/>
    <w:rsid w:val="6BC01029"/>
    <w:rsid w:val="6BC254F9"/>
    <w:rsid w:val="6BC77C5B"/>
    <w:rsid w:val="6BD1399D"/>
    <w:rsid w:val="6BE04012"/>
    <w:rsid w:val="6BE4292B"/>
    <w:rsid w:val="6BE73D9E"/>
    <w:rsid w:val="6BF0181F"/>
    <w:rsid w:val="6BF64E51"/>
    <w:rsid w:val="6BFB7C75"/>
    <w:rsid w:val="6C122F2C"/>
    <w:rsid w:val="6C256AA0"/>
    <w:rsid w:val="6C2F5912"/>
    <w:rsid w:val="6C333B5C"/>
    <w:rsid w:val="6C343484"/>
    <w:rsid w:val="6C3C31BB"/>
    <w:rsid w:val="6C4E4249"/>
    <w:rsid w:val="6C5C0714"/>
    <w:rsid w:val="6C627994"/>
    <w:rsid w:val="6C667A84"/>
    <w:rsid w:val="6C741F1B"/>
    <w:rsid w:val="6C8E6D3B"/>
    <w:rsid w:val="6C9030B6"/>
    <w:rsid w:val="6CA95923"/>
    <w:rsid w:val="6CB73B9C"/>
    <w:rsid w:val="6CC013F3"/>
    <w:rsid w:val="6CCB72DC"/>
    <w:rsid w:val="6CD17894"/>
    <w:rsid w:val="6CD40BF2"/>
    <w:rsid w:val="6CD638AB"/>
    <w:rsid w:val="6CDE55CC"/>
    <w:rsid w:val="6CEE4F58"/>
    <w:rsid w:val="6CF31661"/>
    <w:rsid w:val="6CF941FF"/>
    <w:rsid w:val="6CFF5473"/>
    <w:rsid w:val="6D064B23"/>
    <w:rsid w:val="6D170ADE"/>
    <w:rsid w:val="6D261A37"/>
    <w:rsid w:val="6D2B42DE"/>
    <w:rsid w:val="6D2D1A88"/>
    <w:rsid w:val="6D2D3798"/>
    <w:rsid w:val="6D3E606B"/>
    <w:rsid w:val="6D413DAD"/>
    <w:rsid w:val="6D44403A"/>
    <w:rsid w:val="6D6535F8"/>
    <w:rsid w:val="6D6F26C8"/>
    <w:rsid w:val="6D8561B3"/>
    <w:rsid w:val="6D9317B2"/>
    <w:rsid w:val="6D9F45BA"/>
    <w:rsid w:val="6DA07690"/>
    <w:rsid w:val="6DC63EEA"/>
    <w:rsid w:val="6DCE22BA"/>
    <w:rsid w:val="6DCE39A6"/>
    <w:rsid w:val="6DD356FC"/>
    <w:rsid w:val="6DDE3E42"/>
    <w:rsid w:val="6DE87042"/>
    <w:rsid w:val="6DF606F4"/>
    <w:rsid w:val="6DFE5D2E"/>
    <w:rsid w:val="6E0C009C"/>
    <w:rsid w:val="6E1F43A7"/>
    <w:rsid w:val="6E296D1B"/>
    <w:rsid w:val="6E364F94"/>
    <w:rsid w:val="6E3A01DD"/>
    <w:rsid w:val="6E3A312B"/>
    <w:rsid w:val="6E3D37E4"/>
    <w:rsid w:val="6E483775"/>
    <w:rsid w:val="6E493B4D"/>
    <w:rsid w:val="6E75014A"/>
    <w:rsid w:val="6E7C3174"/>
    <w:rsid w:val="6E880ED9"/>
    <w:rsid w:val="6EA14B04"/>
    <w:rsid w:val="6EB35CB1"/>
    <w:rsid w:val="6EBE3907"/>
    <w:rsid w:val="6EC478C9"/>
    <w:rsid w:val="6ECC46C1"/>
    <w:rsid w:val="6EE344EA"/>
    <w:rsid w:val="6EEE586F"/>
    <w:rsid w:val="6EF235B1"/>
    <w:rsid w:val="6EFA2466"/>
    <w:rsid w:val="6EFF182A"/>
    <w:rsid w:val="6F03131A"/>
    <w:rsid w:val="6F082DD5"/>
    <w:rsid w:val="6F1E43A6"/>
    <w:rsid w:val="6F3C53F2"/>
    <w:rsid w:val="6F4316AD"/>
    <w:rsid w:val="6F547DC8"/>
    <w:rsid w:val="6F614293"/>
    <w:rsid w:val="6F767D3E"/>
    <w:rsid w:val="6F8166E3"/>
    <w:rsid w:val="6F854280"/>
    <w:rsid w:val="6F885CC3"/>
    <w:rsid w:val="6F9D7C08"/>
    <w:rsid w:val="6FA0237A"/>
    <w:rsid w:val="6FA26D85"/>
    <w:rsid w:val="6FAB2FD8"/>
    <w:rsid w:val="6FCD1928"/>
    <w:rsid w:val="6FD66A2F"/>
    <w:rsid w:val="6FE70C3C"/>
    <w:rsid w:val="6FE73D02"/>
    <w:rsid w:val="6FF33FDE"/>
    <w:rsid w:val="7012558D"/>
    <w:rsid w:val="701E7AD4"/>
    <w:rsid w:val="7027728A"/>
    <w:rsid w:val="702C2AF3"/>
    <w:rsid w:val="703B2417"/>
    <w:rsid w:val="7040659E"/>
    <w:rsid w:val="70451A41"/>
    <w:rsid w:val="70494057"/>
    <w:rsid w:val="704D448F"/>
    <w:rsid w:val="70585696"/>
    <w:rsid w:val="706935C4"/>
    <w:rsid w:val="70696AA3"/>
    <w:rsid w:val="706F3486"/>
    <w:rsid w:val="70700C31"/>
    <w:rsid w:val="707B1E32"/>
    <w:rsid w:val="7095639D"/>
    <w:rsid w:val="709761E7"/>
    <w:rsid w:val="70A1528F"/>
    <w:rsid w:val="70C710EF"/>
    <w:rsid w:val="70CE23FF"/>
    <w:rsid w:val="70D23D39"/>
    <w:rsid w:val="70DA42FD"/>
    <w:rsid w:val="70E76A1A"/>
    <w:rsid w:val="70F058CE"/>
    <w:rsid w:val="70F1018C"/>
    <w:rsid w:val="70F73101"/>
    <w:rsid w:val="70F8181C"/>
    <w:rsid w:val="70FC02D9"/>
    <w:rsid w:val="71080E6A"/>
    <w:rsid w:val="710D46D2"/>
    <w:rsid w:val="711A0B9D"/>
    <w:rsid w:val="711C4106"/>
    <w:rsid w:val="711C4915"/>
    <w:rsid w:val="7121737D"/>
    <w:rsid w:val="71332122"/>
    <w:rsid w:val="71553D25"/>
    <w:rsid w:val="71681909"/>
    <w:rsid w:val="71765D7A"/>
    <w:rsid w:val="71771B57"/>
    <w:rsid w:val="7177615E"/>
    <w:rsid w:val="71794582"/>
    <w:rsid w:val="71805E14"/>
    <w:rsid w:val="71A87F57"/>
    <w:rsid w:val="71C07997"/>
    <w:rsid w:val="71C254BD"/>
    <w:rsid w:val="71DB4555"/>
    <w:rsid w:val="71DE7634"/>
    <w:rsid w:val="71E05015"/>
    <w:rsid w:val="71E13469"/>
    <w:rsid w:val="71F4319C"/>
    <w:rsid w:val="71F55B00"/>
    <w:rsid w:val="71FB09CF"/>
    <w:rsid w:val="72001B41"/>
    <w:rsid w:val="720553A9"/>
    <w:rsid w:val="72072C81"/>
    <w:rsid w:val="722C6DDA"/>
    <w:rsid w:val="722E0272"/>
    <w:rsid w:val="723E2669"/>
    <w:rsid w:val="724552BB"/>
    <w:rsid w:val="724B070A"/>
    <w:rsid w:val="72517DCA"/>
    <w:rsid w:val="72591B50"/>
    <w:rsid w:val="72655E48"/>
    <w:rsid w:val="72732F7E"/>
    <w:rsid w:val="72800ED4"/>
    <w:rsid w:val="7284135E"/>
    <w:rsid w:val="72946EF9"/>
    <w:rsid w:val="72966949"/>
    <w:rsid w:val="72A252EE"/>
    <w:rsid w:val="72AA7CFF"/>
    <w:rsid w:val="72AD6A2F"/>
    <w:rsid w:val="72C870ED"/>
    <w:rsid w:val="72DC25AE"/>
    <w:rsid w:val="72E476B5"/>
    <w:rsid w:val="72E75DB5"/>
    <w:rsid w:val="72F91650"/>
    <w:rsid w:val="73086A3F"/>
    <w:rsid w:val="73131D48"/>
    <w:rsid w:val="73165394"/>
    <w:rsid w:val="732B52E4"/>
    <w:rsid w:val="732C6966"/>
    <w:rsid w:val="733B2109"/>
    <w:rsid w:val="733C61FB"/>
    <w:rsid w:val="734819F2"/>
    <w:rsid w:val="734A07A1"/>
    <w:rsid w:val="734E4DF8"/>
    <w:rsid w:val="7353539B"/>
    <w:rsid w:val="737427E7"/>
    <w:rsid w:val="73770529"/>
    <w:rsid w:val="737770F1"/>
    <w:rsid w:val="737C02AE"/>
    <w:rsid w:val="73905147"/>
    <w:rsid w:val="739A7AD7"/>
    <w:rsid w:val="739D3AB6"/>
    <w:rsid w:val="73A34E7A"/>
    <w:rsid w:val="73A83008"/>
    <w:rsid w:val="73A90D28"/>
    <w:rsid w:val="73BA153E"/>
    <w:rsid w:val="73C031CB"/>
    <w:rsid w:val="73CD092A"/>
    <w:rsid w:val="73D9089C"/>
    <w:rsid w:val="73DE2356"/>
    <w:rsid w:val="73E01C2A"/>
    <w:rsid w:val="73E410B0"/>
    <w:rsid w:val="73EC62FC"/>
    <w:rsid w:val="73FE6554"/>
    <w:rsid w:val="74152B15"/>
    <w:rsid w:val="74186215"/>
    <w:rsid w:val="741915E0"/>
    <w:rsid w:val="74257F85"/>
    <w:rsid w:val="742D6E39"/>
    <w:rsid w:val="744C3764"/>
    <w:rsid w:val="74534AF2"/>
    <w:rsid w:val="74566390"/>
    <w:rsid w:val="74581F5E"/>
    <w:rsid w:val="745F16E0"/>
    <w:rsid w:val="74676E02"/>
    <w:rsid w:val="74822CE1"/>
    <w:rsid w:val="7491561A"/>
    <w:rsid w:val="749E6CAE"/>
    <w:rsid w:val="74A16A86"/>
    <w:rsid w:val="74BB30AF"/>
    <w:rsid w:val="74CE54BD"/>
    <w:rsid w:val="74D60BD0"/>
    <w:rsid w:val="74D66981"/>
    <w:rsid w:val="74DC2A68"/>
    <w:rsid w:val="74FA3225"/>
    <w:rsid w:val="750A2943"/>
    <w:rsid w:val="75137DDD"/>
    <w:rsid w:val="75151DA7"/>
    <w:rsid w:val="751A73BE"/>
    <w:rsid w:val="752257D1"/>
    <w:rsid w:val="752F4542"/>
    <w:rsid w:val="75377F70"/>
    <w:rsid w:val="75394239"/>
    <w:rsid w:val="753B2DEA"/>
    <w:rsid w:val="753B3F69"/>
    <w:rsid w:val="75416299"/>
    <w:rsid w:val="754A2FFF"/>
    <w:rsid w:val="754B3A1B"/>
    <w:rsid w:val="755313CB"/>
    <w:rsid w:val="755374DD"/>
    <w:rsid w:val="75555A8B"/>
    <w:rsid w:val="75587EE6"/>
    <w:rsid w:val="75730E38"/>
    <w:rsid w:val="759058D2"/>
    <w:rsid w:val="759C73E8"/>
    <w:rsid w:val="75A11976"/>
    <w:rsid w:val="75A6486C"/>
    <w:rsid w:val="75CA1915"/>
    <w:rsid w:val="75CD165D"/>
    <w:rsid w:val="75D60E9A"/>
    <w:rsid w:val="75E51F8A"/>
    <w:rsid w:val="75E672A0"/>
    <w:rsid w:val="75EA3234"/>
    <w:rsid w:val="75EF43A6"/>
    <w:rsid w:val="76030A6A"/>
    <w:rsid w:val="7605446D"/>
    <w:rsid w:val="76085A2F"/>
    <w:rsid w:val="760B43DC"/>
    <w:rsid w:val="76424E1E"/>
    <w:rsid w:val="76461E6A"/>
    <w:rsid w:val="764F2D68"/>
    <w:rsid w:val="76515061"/>
    <w:rsid w:val="765D085C"/>
    <w:rsid w:val="765E2749"/>
    <w:rsid w:val="766C5EFC"/>
    <w:rsid w:val="76795E35"/>
    <w:rsid w:val="767C35A3"/>
    <w:rsid w:val="767F410F"/>
    <w:rsid w:val="76884D7F"/>
    <w:rsid w:val="76AA4024"/>
    <w:rsid w:val="76AD4C64"/>
    <w:rsid w:val="76B13D52"/>
    <w:rsid w:val="76B33626"/>
    <w:rsid w:val="76BA5C73"/>
    <w:rsid w:val="76C03F95"/>
    <w:rsid w:val="76D24474"/>
    <w:rsid w:val="76D27D21"/>
    <w:rsid w:val="76D31F1A"/>
    <w:rsid w:val="76DA32A9"/>
    <w:rsid w:val="76DF3CD0"/>
    <w:rsid w:val="771210CA"/>
    <w:rsid w:val="772C5186"/>
    <w:rsid w:val="772E0EFE"/>
    <w:rsid w:val="77334767"/>
    <w:rsid w:val="773530B4"/>
    <w:rsid w:val="77356731"/>
    <w:rsid w:val="77364257"/>
    <w:rsid w:val="774C6AF0"/>
    <w:rsid w:val="77512C10"/>
    <w:rsid w:val="775F1D16"/>
    <w:rsid w:val="77770AF7"/>
    <w:rsid w:val="777D1E86"/>
    <w:rsid w:val="77862AE9"/>
    <w:rsid w:val="77935205"/>
    <w:rsid w:val="779D6084"/>
    <w:rsid w:val="77A86F03"/>
    <w:rsid w:val="77AC143B"/>
    <w:rsid w:val="77B238DE"/>
    <w:rsid w:val="77BA6C36"/>
    <w:rsid w:val="77D575CC"/>
    <w:rsid w:val="77DC6BAC"/>
    <w:rsid w:val="77E31BD5"/>
    <w:rsid w:val="780518E7"/>
    <w:rsid w:val="78072630"/>
    <w:rsid w:val="783A2F97"/>
    <w:rsid w:val="783B1D23"/>
    <w:rsid w:val="784A7FBA"/>
    <w:rsid w:val="7851759A"/>
    <w:rsid w:val="785C51E1"/>
    <w:rsid w:val="785E75C1"/>
    <w:rsid w:val="786372CE"/>
    <w:rsid w:val="786F4B2F"/>
    <w:rsid w:val="787943FB"/>
    <w:rsid w:val="787E5EB6"/>
    <w:rsid w:val="788A485A"/>
    <w:rsid w:val="78903700"/>
    <w:rsid w:val="78911745"/>
    <w:rsid w:val="78BF024C"/>
    <w:rsid w:val="78CA2EA9"/>
    <w:rsid w:val="78CB5C10"/>
    <w:rsid w:val="78CD26BE"/>
    <w:rsid w:val="78D1106D"/>
    <w:rsid w:val="78DB4035"/>
    <w:rsid w:val="78DB7E95"/>
    <w:rsid w:val="79022643"/>
    <w:rsid w:val="790C526F"/>
    <w:rsid w:val="79127B00"/>
    <w:rsid w:val="791A5BDE"/>
    <w:rsid w:val="791E406E"/>
    <w:rsid w:val="792C3923"/>
    <w:rsid w:val="79322574"/>
    <w:rsid w:val="793A002E"/>
    <w:rsid w:val="79412B6D"/>
    <w:rsid w:val="7947274B"/>
    <w:rsid w:val="795671AB"/>
    <w:rsid w:val="795922C4"/>
    <w:rsid w:val="795B1D53"/>
    <w:rsid w:val="796C5CB8"/>
    <w:rsid w:val="797F1EE5"/>
    <w:rsid w:val="79823784"/>
    <w:rsid w:val="79827F50"/>
    <w:rsid w:val="7984574E"/>
    <w:rsid w:val="799D05BD"/>
    <w:rsid w:val="79A149AA"/>
    <w:rsid w:val="79A5050E"/>
    <w:rsid w:val="79A96B72"/>
    <w:rsid w:val="79C74D1B"/>
    <w:rsid w:val="79CB17D1"/>
    <w:rsid w:val="79EA1A55"/>
    <w:rsid w:val="79EB1D20"/>
    <w:rsid w:val="79EF0A59"/>
    <w:rsid w:val="7A010B4C"/>
    <w:rsid w:val="7A0348C4"/>
    <w:rsid w:val="7A0917AF"/>
    <w:rsid w:val="7A0D74F1"/>
    <w:rsid w:val="7A176486"/>
    <w:rsid w:val="7A2B647C"/>
    <w:rsid w:val="7A39523D"/>
    <w:rsid w:val="7A500573"/>
    <w:rsid w:val="7A545120"/>
    <w:rsid w:val="7A5549F4"/>
    <w:rsid w:val="7A590988"/>
    <w:rsid w:val="7A8139E6"/>
    <w:rsid w:val="7A8157E9"/>
    <w:rsid w:val="7A9D1033"/>
    <w:rsid w:val="7AB12572"/>
    <w:rsid w:val="7AB14C48"/>
    <w:rsid w:val="7AC60733"/>
    <w:rsid w:val="7AD03651"/>
    <w:rsid w:val="7AD539A8"/>
    <w:rsid w:val="7ADE2C3C"/>
    <w:rsid w:val="7ADF01A8"/>
    <w:rsid w:val="7AEA3480"/>
    <w:rsid w:val="7B0408F4"/>
    <w:rsid w:val="7B046B46"/>
    <w:rsid w:val="7B454A17"/>
    <w:rsid w:val="7B4558E4"/>
    <w:rsid w:val="7B5E1E8E"/>
    <w:rsid w:val="7B6770D5"/>
    <w:rsid w:val="7B7B492E"/>
    <w:rsid w:val="7B8732D3"/>
    <w:rsid w:val="7BB73152"/>
    <w:rsid w:val="7BE40C71"/>
    <w:rsid w:val="7BF04FA5"/>
    <w:rsid w:val="7C061C94"/>
    <w:rsid w:val="7C0861C2"/>
    <w:rsid w:val="7C0A7ACD"/>
    <w:rsid w:val="7C2072C0"/>
    <w:rsid w:val="7C3074C7"/>
    <w:rsid w:val="7C376AA7"/>
    <w:rsid w:val="7C3B5358"/>
    <w:rsid w:val="7C3D3992"/>
    <w:rsid w:val="7C502D71"/>
    <w:rsid w:val="7C524D66"/>
    <w:rsid w:val="7C5326D9"/>
    <w:rsid w:val="7C570EF7"/>
    <w:rsid w:val="7C5A1CEB"/>
    <w:rsid w:val="7C745605"/>
    <w:rsid w:val="7C7648F7"/>
    <w:rsid w:val="7C88077B"/>
    <w:rsid w:val="7C8810B1"/>
    <w:rsid w:val="7C982AE5"/>
    <w:rsid w:val="7CA65E91"/>
    <w:rsid w:val="7CAF2AE1"/>
    <w:rsid w:val="7CB543A1"/>
    <w:rsid w:val="7CCA0082"/>
    <w:rsid w:val="7CCC2E06"/>
    <w:rsid w:val="7CCF6CE0"/>
    <w:rsid w:val="7CD2354F"/>
    <w:rsid w:val="7CF16C56"/>
    <w:rsid w:val="7CF17267"/>
    <w:rsid w:val="7CF20C20"/>
    <w:rsid w:val="7D05234C"/>
    <w:rsid w:val="7D0B0093"/>
    <w:rsid w:val="7D121F07"/>
    <w:rsid w:val="7D225061"/>
    <w:rsid w:val="7D2373CA"/>
    <w:rsid w:val="7D37652F"/>
    <w:rsid w:val="7D470F6C"/>
    <w:rsid w:val="7D4C6582"/>
    <w:rsid w:val="7D4E22FA"/>
    <w:rsid w:val="7D4F3BE4"/>
    <w:rsid w:val="7D5471E5"/>
    <w:rsid w:val="7D580E3B"/>
    <w:rsid w:val="7D627B54"/>
    <w:rsid w:val="7D694ABF"/>
    <w:rsid w:val="7D72647E"/>
    <w:rsid w:val="7D742F87"/>
    <w:rsid w:val="7D97319D"/>
    <w:rsid w:val="7DB06B11"/>
    <w:rsid w:val="7DBB54B6"/>
    <w:rsid w:val="7DCB56F9"/>
    <w:rsid w:val="7DCC1471"/>
    <w:rsid w:val="7DDA1DE0"/>
    <w:rsid w:val="7DE73072"/>
    <w:rsid w:val="7DF9501B"/>
    <w:rsid w:val="7DFB6972"/>
    <w:rsid w:val="7E092D9C"/>
    <w:rsid w:val="7E2B16FF"/>
    <w:rsid w:val="7E3A41B8"/>
    <w:rsid w:val="7E5000A8"/>
    <w:rsid w:val="7E555FC4"/>
    <w:rsid w:val="7E6612C6"/>
    <w:rsid w:val="7E682F48"/>
    <w:rsid w:val="7E6A3164"/>
    <w:rsid w:val="7E7F4735"/>
    <w:rsid w:val="7EA6257B"/>
    <w:rsid w:val="7EA82E02"/>
    <w:rsid w:val="7EAA3560"/>
    <w:rsid w:val="7ECF0DEE"/>
    <w:rsid w:val="7F054C3B"/>
    <w:rsid w:val="7F0F7C3B"/>
    <w:rsid w:val="7F105E86"/>
    <w:rsid w:val="7F147D9D"/>
    <w:rsid w:val="7F1603F3"/>
    <w:rsid w:val="7F17496E"/>
    <w:rsid w:val="7F1D01D6"/>
    <w:rsid w:val="7F3773E1"/>
    <w:rsid w:val="7F3948E4"/>
    <w:rsid w:val="7F4C0ABC"/>
    <w:rsid w:val="7F526827"/>
    <w:rsid w:val="7F695428"/>
    <w:rsid w:val="7F7A3A4D"/>
    <w:rsid w:val="7F855D7C"/>
    <w:rsid w:val="7F9D30C5"/>
    <w:rsid w:val="7FAB3A34"/>
    <w:rsid w:val="7FB2757B"/>
    <w:rsid w:val="7FB328E9"/>
    <w:rsid w:val="7FB977D3"/>
    <w:rsid w:val="7FC00B62"/>
    <w:rsid w:val="7FCF48BE"/>
    <w:rsid w:val="7FF07699"/>
    <w:rsid w:val="7FF64583"/>
    <w:rsid w:val="7FFD30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napToGrid w:val="0"/>
      <w:spacing w:before="0" w:beforeAutospacing="0" w:after="0" w:afterAutospacing="0" w:line="360" w:lineRule="auto"/>
      <w:ind w:left="0" w:leftChars="0" w:firstLine="0" w:firstLineChars="0"/>
      <w:jc w:val="left"/>
      <w:outlineLvl w:val="0"/>
    </w:pPr>
    <w:rPr>
      <w:rFonts w:hint="eastAsia" w:ascii="宋体" w:hAnsi="宋体" w:eastAsia="仿宋" w:cs="仿宋"/>
      <w:b/>
      <w:bCs/>
      <w:kern w:val="44"/>
      <w:sz w:val="36"/>
      <w:szCs w:val="48"/>
      <w:lang w:bidi="ar"/>
    </w:rPr>
  </w:style>
  <w:style w:type="paragraph" w:styleId="4">
    <w:name w:val="heading 2"/>
    <w:basedOn w:val="1"/>
    <w:next w:val="1"/>
    <w:unhideWhenUsed/>
    <w:qFormat/>
    <w:uiPriority w:val="0"/>
    <w:pPr>
      <w:keepNext/>
      <w:keepLines/>
      <w:adjustRightInd w:val="0"/>
      <w:snapToGrid w:val="0"/>
      <w:spacing w:beforeLines="0" w:beforeAutospacing="0" w:afterLines="0" w:afterAutospacing="0" w:line="360" w:lineRule="auto"/>
      <w:ind w:left="420" w:leftChars="200" w:firstLine="0" w:firstLineChars="0"/>
      <w:jc w:val="left"/>
      <w:outlineLvl w:val="1"/>
    </w:pPr>
    <w:rPr>
      <w:rFonts w:ascii="Arial" w:hAnsi="Arial" w:eastAsia="仿宋"/>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line="240" w:lineRule="auto"/>
      <w:ind w:leftChars="-133" w:firstLine="560" w:firstLineChars="200"/>
    </w:pPr>
    <w:rPr>
      <w:rFonts w:ascii="宋体" w:hAnsi="宋体"/>
      <w:szCs w:val="20"/>
    </w:rPr>
  </w:style>
  <w:style w:type="paragraph" w:styleId="8">
    <w:name w:val="Body Text Indent 2"/>
    <w:basedOn w:val="1"/>
    <w:next w:val="1"/>
    <w:qFormat/>
    <w:uiPriority w:val="0"/>
    <w:pPr>
      <w:spacing w:line="560" w:lineRule="exact"/>
      <w:ind w:firstLine="640" w:firstLineChars="200"/>
    </w:pPr>
    <w:rPr>
      <w:rFonts w:ascii="仿宋_GB2312"/>
      <w:szCs w:val="30"/>
    </w:rPr>
  </w:style>
  <w:style w:type="paragraph" w:styleId="9">
    <w:name w:val="footer"/>
    <w:basedOn w:val="1"/>
    <w:qFormat/>
    <w:uiPriority w:val="0"/>
    <w:pPr>
      <w:tabs>
        <w:tab w:val="center" w:pos="4153"/>
        <w:tab w:val="right" w:pos="8306"/>
      </w:tabs>
      <w:snapToGrid w:val="0"/>
      <w:spacing w:line="240" w:lineRule="auto"/>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line="360" w:lineRule="auto"/>
    </w:pPr>
    <w:rPr>
      <w:rFonts w:eastAsia="仿宋" w:asciiTheme="minorAscii" w:hAnsiTheme="minorAscii"/>
      <w:sz w:val="28"/>
    </w:rPr>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spacing w:line="360" w:lineRule="auto"/>
      <w:ind w:left="420" w:leftChars="200"/>
    </w:pPr>
    <w:rPr>
      <w:rFonts w:eastAsia="仿宋" w:asciiTheme="minorAscii" w:hAnsiTheme="minorAscii"/>
      <w:sz w:val="2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7"/>
    <w:unhideWhenUsed/>
    <w:qFormat/>
    <w:uiPriority w:val="99"/>
    <w:pPr>
      <w:ind w:firstLine="420" w:firstLineChars="200"/>
    </w:pPr>
    <w:rPr>
      <w:rFonts w:ascii="宋体" w:hAnsi="宋体"/>
      <w:sz w:val="30"/>
      <w:szCs w:val="3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paragraph" w:customStyle="1" w:styleId="23">
    <w:name w:val="正文（首行缩进）"/>
    <w:basedOn w:val="1"/>
    <w:qFormat/>
    <w:uiPriority w:val="0"/>
    <w:pPr>
      <w:adjustRightInd w:val="0"/>
      <w:snapToGrid w:val="0"/>
      <w:spacing w:line="240" w:lineRule="auto"/>
      <w:ind w:firstLine="361" w:firstLineChars="200"/>
    </w:pPr>
    <w:rPr>
      <w:rFonts w:ascii="Times New Roman" w:hAnsi="Times New Roman" w:eastAsia="仿宋_GB2312"/>
      <w:color w:val="000000"/>
      <w:sz w:val="30"/>
      <w:szCs w:val="23"/>
    </w:rPr>
  </w:style>
  <w:style w:type="character" w:customStyle="1" w:styleId="24">
    <w:name w:val="font01"/>
    <w:qFormat/>
    <w:uiPriority w:val="0"/>
    <w:rPr>
      <w:rFonts w:hint="eastAsia" w:ascii="宋体" w:hAnsi="宋体" w:eastAsia="宋体" w:cs="宋体"/>
      <w:color w:val="000000"/>
      <w:sz w:val="20"/>
      <w:szCs w:val="20"/>
      <w:u w:val="none"/>
    </w:rPr>
  </w:style>
  <w:style w:type="character" w:customStyle="1" w:styleId="25">
    <w:name w:val="font31"/>
    <w:qFormat/>
    <w:uiPriority w:val="0"/>
    <w:rPr>
      <w:rFonts w:hint="eastAsia" w:ascii="宋体" w:hAnsi="宋体" w:eastAsia="宋体" w:cs="宋体"/>
      <w:color w:val="FF0000"/>
      <w:sz w:val="20"/>
      <w:szCs w:val="20"/>
      <w:u w:val="none"/>
    </w:rPr>
  </w:style>
  <w:style w:type="character" w:customStyle="1" w:styleId="26">
    <w:name w:val="font41"/>
    <w:basedOn w:val="19"/>
    <w:qFormat/>
    <w:uiPriority w:val="0"/>
    <w:rPr>
      <w:rFonts w:hint="eastAsia" w:ascii="宋体" w:hAnsi="宋体" w:eastAsia="宋体" w:cs="宋体"/>
      <w:color w:val="000000"/>
      <w:sz w:val="20"/>
      <w:szCs w:val="20"/>
      <w:u w:val="none"/>
    </w:rPr>
  </w:style>
  <w:style w:type="paragraph" w:customStyle="1" w:styleId="27">
    <w:name w:val="表的内容"/>
    <w:basedOn w:val="1"/>
    <w:next w:val="1"/>
    <w:qFormat/>
    <w:uiPriority w:val="0"/>
    <w:pPr>
      <w:adjustRightInd w:val="0"/>
      <w:snapToGrid w:val="0"/>
      <w:jc w:val="center"/>
    </w:pPr>
    <w:rPr>
      <w:rFonts w:ascii="宋体" w:hAnsi="宋体" w:eastAsia="楷体"/>
      <w:sz w:val="24"/>
      <w:lang w:eastAsia="en-US"/>
    </w:rPr>
  </w:style>
  <w:style w:type="paragraph" w:customStyle="1" w:styleId="28">
    <w:name w:val="HtmlNormal"/>
    <w:qFormat/>
    <w:uiPriority w:val="0"/>
    <w:pPr>
      <w:pBdr>
        <w:top w:val="none" w:color="auto" w:sz="0" w:space="0"/>
        <w:left w:val="none" w:color="auto" w:sz="0" w:space="0"/>
        <w:bottom w:val="none" w:color="auto" w:sz="0" w:space="0"/>
        <w:right w:val="none" w:color="auto" w:sz="0" w:space="0"/>
        <w:between w:val="none" w:color="auto" w:sz="0" w:space="0"/>
      </w:pBdr>
      <w:spacing w:before="100" w:after="100"/>
    </w:pPr>
    <w:rPr>
      <w:rFonts w:ascii="宋体" w:hAnsi="宋体" w:eastAsia="宋体" w:cs="宋体"/>
      <w:color w:val="000000"/>
      <w:sz w:val="24"/>
      <w:szCs w:val="24"/>
      <w:u w:color="000000"/>
      <w:lang w:val="en-US" w:eastAsia="zh-CN" w:bidi="ar-SA"/>
    </w:rPr>
  </w:style>
  <w:style w:type="character" w:customStyle="1" w:styleId="29">
    <w:name w:val="font21"/>
    <w:basedOn w:val="19"/>
    <w:qFormat/>
    <w:uiPriority w:val="0"/>
    <w:rPr>
      <w:rFonts w:hint="default" w:ascii="等线" w:hAnsi="等线" w:eastAsia="等线" w:cs="等线"/>
      <w:color w:val="000000"/>
      <w:sz w:val="22"/>
      <w:szCs w:val="22"/>
      <w:u w:val="none"/>
    </w:rPr>
  </w:style>
  <w:style w:type="character" w:customStyle="1" w:styleId="30">
    <w:name w:val="font11"/>
    <w:basedOn w:val="19"/>
    <w:qFormat/>
    <w:uiPriority w:val="0"/>
    <w:rPr>
      <w:rFonts w:hint="default" w:ascii="等线" w:hAnsi="等线" w:eastAsia="等线" w:cs="等线"/>
      <w:color w:val="FF0000"/>
      <w:sz w:val="22"/>
      <w:szCs w:val="22"/>
      <w:u w:val="none"/>
    </w:rPr>
  </w:style>
  <w:style w:type="character" w:customStyle="1" w:styleId="31">
    <w:name w:val="font71"/>
    <w:basedOn w:val="19"/>
    <w:qFormat/>
    <w:uiPriority w:val="0"/>
    <w:rPr>
      <w:rFonts w:hint="eastAsia" w:ascii="宋体" w:hAnsi="宋体" w:eastAsia="宋体" w:cs="宋体"/>
      <w:color w:val="000000"/>
      <w:sz w:val="22"/>
      <w:szCs w:val="22"/>
      <w:u w:val="none"/>
    </w:rPr>
  </w:style>
  <w:style w:type="character" w:customStyle="1" w:styleId="32">
    <w:name w:val="font51"/>
    <w:basedOn w:val="19"/>
    <w:qFormat/>
    <w:uiPriority w:val="0"/>
    <w:rPr>
      <w:rFonts w:hint="eastAsia" w:ascii="宋体" w:hAnsi="宋体" w:eastAsia="宋体" w:cs="宋体"/>
      <w:color w:val="FF0000"/>
      <w:sz w:val="22"/>
      <w:szCs w:val="22"/>
      <w:u w:val="none"/>
    </w:rPr>
  </w:style>
  <w:style w:type="character" w:customStyle="1" w:styleId="33">
    <w:name w:val="font61"/>
    <w:basedOn w:val="19"/>
    <w:qFormat/>
    <w:uiPriority w:val="0"/>
    <w:rPr>
      <w:rFonts w:ascii="等线" w:hAnsi="等线" w:eastAsia="等线" w:cs="等线"/>
      <w:color w:val="FF0000"/>
      <w:sz w:val="22"/>
      <w:szCs w:val="22"/>
      <w:u w:val="none"/>
    </w:rPr>
  </w:style>
  <w:style w:type="character" w:customStyle="1" w:styleId="34">
    <w:name w:val="font91"/>
    <w:basedOn w:val="19"/>
    <w:qFormat/>
    <w:uiPriority w:val="0"/>
    <w:rPr>
      <w:rFonts w:ascii="Arial" w:hAnsi="Arial" w:cs="Arial"/>
      <w:color w:val="000000"/>
      <w:sz w:val="22"/>
      <w:szCs w:val="22"/>
      <w:u w:val="none"/>
    </w:rPr>
  </w:style>
  <w:style w:type="character" w:customStyle="1" w:styleId="35">
    <w:name w:val="font101"/>
    <w:basedOn w:val="19"/>
    <w:qFormat/>
    <w:uiPriority w:val="0"/>
    <w:rPr>
      <w:rFonts w:hint="default" w:ascii="Arial" w:hAnsi="Arial" w:cs="Arial"/>
      <w:color w:val="FF0000"/>
      <w:sz w:val="22"/>
      <w:szCs w:val="22"/>
      <w:u w:val="none"/>
    </w:rPr>
  </w:style>
  <w:style w:type="character" w:customStyle="1" w:styleId="36">
    <w:name w:val="font81"/>
    <w:basedOn w:val="19"/>
    <w:qFormat/>
    <w:uiPriority w:val="0"/>
    <w:rPr>
      <w:rFonts w:hint="default" w:ascii="Times New Roman" w:hAnsi="Times New Roman" w:cs="Times New Roman"/>
      <w:color w:val="000000"/>
      <w:sz w:val="22"/>
      <w:szCs w:val="22"/>
      <w:u w:val="none"/>
    </w:rPr>
  </w:style>
  <w:style w:type="paragraph" w:customStyle="1" w:styleId="37">
    <w:name w:val="闻政正文"/>
    <w:qFormat/>
    <w:uiPriority w:val="99"/>
    <w:pPr>
      <w:widowControl w:val="0"/>
      <w:spacing w:line="500" w:lineRule="exact"/>
      <w:ind w:firstLine="560" w:firstLineChars="200"/>
      <w:jc w:val="both"/>
    </w:pPr>
    <w:rPr>
      <w:rFonts w:ascii="Times New Roman" w:hAnsi="Times New Roman" w:eastAsia="仿宋_GB2312" w:cs="Times New Roman"/>
      <w:sz w:val="28"/>
      <w:szCs w:val="28"/>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autoRedefine/>
    <w:qFormat/>
    <w:uiPriority w:val="0"/>
    <w:pPr>
      <w:ind w:leftChars="200"/>
    </w:pPr>
    <w:rPr>
      <w:rFonts w:ascii="Times New Roman" w:hAnsi="Times New Roman" w:eastAsia="宋体" w:cs="Times New Roman"/>
      <w:sz w:val="20"/>
      <w:szCs w:val="20"/>
    </w:rPr>
  </w:style>
  <w:style w:type="character" w:customStyle="1" w:styleId="40">
    <w:name w:val="10"/>
    <w:basedOn w:val="19"/>
    <w:qFormat/>
    <w:uiPriority w:val="0"/>
    <w:rPr>
      <w:rFonts w:hint="default" w:ascii="Times New Roman" w:hAnsi="Times New Roman" w:cs="Times New Roman"/>
    </w:rPr>
  </w:style>
  <w:style w:type="character" w:customStyle="1" w:styleId="41">
    <w:name w:val="15"/>
    <w:basedOn w:val="19"/>
    <w:qFormat/>
    <w:uiPriority w:val="0"/>
    <w:rPr>
      <w:rFonts w:hint="eastAsia"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7813</Words>
  <Characters>8698</Characters>
  <Lines>1</Lines>
  <Paragraphs>1</Paragraphs>
  <TotalTime>66</TotalTime>
  <ScaleCrop>false</ScaleCrop>
  <LinksUpToDate>false</LinksUpToDate>
  <CharactersWithSpaces>8813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孙贺</cp:lastModifiedBy>
  <cp:lastPrinted>2025-06-13T01:57:00Z</cp:lastPrinted>
  <dcterms:modified xsi:type="dcterms:W3CDTF">2025-06-25T01:58:47Z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145125F6A88847909A58979C832EA09F_13</vt:lpwstr>
  </property>
  <property fmtid="{D5CDD505-2E9C-101B-9397-08002B2CF9AE}" pid="4" name="KSOTemplateDocerSaveRecord">
    <vt:lpwstr>eyJoZGlkIjoiN2FjMDUzZTE4N2QyYTdkYWIyZTFiY2FkM2FjODdhMjEiLCJ1c2VySWQiOiIzMzg2MTIyMzUifQ==</vt:lpwstr>
  </property>
</Properties>
</file>