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574F">
      <w:pPr>
        <w:spacing w:line="250" w:lineRule="auto"/>
        <w:jc w:val="both"/>
      </w:pPr>
    </w:p>
    <w:p w14:paraId="784DB754">
      <w:pPr>
        <w:spacing w:line="250" w:lineRule="auto"/>
        <w:jc w:val="both"/>
      </w:pPr>
    </w:p>
    <w:p w14:paraId="09A60664">
      <w:pPr>
        <w:spacing w:line="250" w:lineRule="auto"/>
        <w:jc w:val="both"/>
      </w:pPr>
    </w:p>
    <w:p w14:paraId="6CA1F420">
      <w:pPr>
        <w:spacing w:line="250" w:lineRule="auto"/>
        <w:jc w:val="both"/>
      </w:pPr>
    </w:p>
    <w:p w14:paraId="75FCB29A">
      <w:pPr>
        <w:spacing w:line="250" w:lineRule="auto"/>
        <w:jc w:val="both"/>
      </w:pPr>
    </w:p>
    <w:p w14:paraId="2549B9F8">
      <w:pPr>
        <w:spacing w:line="250" w:lineRule="auto"/>
        <w:jc w:val="both"/>
      </w:pPr>
    </w:p>
    <w:p w14:paraId="26496EB2">
      <w:pPr>
        <w:spacing w:line="250" w:lineRule="auto"/>
        <w:jc w:val="both"/>
      </w:pPr>
    </w:p>
    <w:p w14:paraId="4497097E">
      <w:pPr>
        <w:spacing w:line="250" w:lineRule="auto"/>
        <w:jc w:val="both"/>
      </w:pPr>
    </w:p>
    <w:p w14:paraId="4BE82928">
      <w:pPr>
        <w:spacing w:line="251" w:lineRule="auto"/>
        <w:jc w:val="both"/>
      </w:pPr>
    </w:p>
    <w:p w14:paraId="669F9D34">
      <w:pPr>
        <w:spacing w:before="140" w:line="352" w:lineRule="auto"/>
        <w:ind w:left="880" w:leftChars="200" w:right="575" w:hanging="460" w:hangingChars="100"/>
        <w:jc w:val="both"/>
        <w:rPr>
          <w:rFonts w:hint="eastAsia" w:ascii="宋体" w:hAnsi="宋体" w:eastAsia="宋体" w:cs="宋体"/>
          <w:spacing w:val="9"/>
          <w:sz w:val="44"/>
          <w:szCs w:val="44"/>
          <w14:textOutline w14:w="7975" w14:cap="sq" w14:cmpd="sng" w14:algn="ctr">
            <w14:solidFill>
              <w14:srgbClr w14:val="000000"/>
            </w14:solidFill>
            <w14:prstDash w14:val="solid"/>
            <w14:bevel/>
          </w14:textOutline>
        </w:rPr>
      </w:pPr>
      <w:r>
        <w:rPr>
          <w:rFonts w:hint="eastAsia" w:ascii="宋体" w:hAnsi="宋体" w:eastAsia="宋体" w:cs="宋体"/>
          <w:spacing w:val="10"/>
          <w:sz w:val="44"/>
          <w:szCs w:val="44"/>
          <w14:textOutline w14:w="7975" w14:cap="sq" w14:cmpd="sng" w14:algn="ctr">
            <w14:solidFill>
              <w14:srgbClr w14:val="000000"/>
            </w14:solidFill>
            <w14:prstDash w14:val="solid"/>
            <w14:bevel/>
          </w14:textOutline>
        </w:rPr>
        <w:t>2024年度中韩（长春）国际合作示范区智能装备孵化基地专项债项目</w:t>
      </w:r>
    </w:p>
    <w:p w14:paraId="6A24674C">
      <w:pPr>
        <w:spacing w:before="140" w:line="352" w:lineRule="auto"/>
        <w:ind w:right="575" w:firstLine="2748" w:firstLineChars="600"/>
        <w:jc w:val="both"/>
        <w:rPr>
          <w:rFonts w:hint="eastAsia" w:ascii="宋体" w:hAnsi="宋体" w:eastAsia="宋体" w:cs="宋体"/>
          <w:sz w:val="44"/>
          <w:szCs w:val="44"/>
        </w:rPr>
      </w:pPr>
      <w:r>
        <w:rPr>
          <w:rFonts w:ascii="宋体" w:hAnsi="宋体" w:eastAsia="宋体" w:cs="宋体"/>
          <w:spacing w:val="9"/>
          <w:sz w:val="44"/>
          <w:szCs w:val="44"/>
          <w14:textOutline w14:w="7975" w14:cap="sq" w14:cmpd="sng" w14:algn="ctr">
            <w14:solidFill>
              <w14:srgbClr w14:val="000000"/>
            </w14:solidFill>
            <w14:prstDash w14:val="solid"/>
            <w14:bevel/>
          </w14:textOutline>
        </w:rPr>
        <w:t>绩效评价报告</w:t>
      </w:r>
    </w:p>
    <w:p w14:paraId="42ECDE8A">
      <w:pPr>
        <w:spacing w:line="269" w:lineRule="auto"/>
        <w:jc w:val="both"/>
      </w:pPr>
    </w:p>
    <w:p w14:paraId="22FC8465">
      <w:pPr>
        <w:spacing w:before="94" w:line="226" w:lineRule="auto"/>
        <w:ind w:firstLine="1974" w:firstLineChars="700"/>
        <w:jc w:val="both"/>
        <w:rPr>
          <w:rFonts w:hint="eastAsia" w:ascii="宋体" w:hAnsi="宋体" w:eastAsia="宋体" w:cs="宋体"/>
          <w:sz w:val="28"/>
          <w:szCs w:val="28"/>
        </w:rPr>
      </w:pPr>
      <w:r>
        <w:rPr>
          <w:rFonts w:hint="eastAsia" w:ascii="宋体" w:hAnsi="宋体" w:eastAsia="宋体" w:cs="宋体"/>
          <w:spacing w:val="1"/>
          <w:sz w:val="28"/>
          <w:szCs w:val="28"/>
          <w:highlight w:val="yellow"/>
          <w14:textOutline w14:w="5448" w14:cap="sq" w14:cmpd="sng" w14:algn="ctr">
            <w14:solidFill>
              <w14:srgbClr w14:val="000000"/>
            </w14:solidFill>
            <w14:prstDash w14:val="solid"/>
            <w14:bevel/>
          </w14:textOutline>
        </w:rPr>
        <w:t>吉民鑫</w:t>
      </w:r>
      <w:r>
        <w:rPr>
          <w:rFonts w:ascii="宋体" w:hAnsi="宋体" w:eastAsia="宋体" w:cs="宋体"/>
          <w:sz w:val="28"/>
          <w:szCs w:val="28"/>
          <w:highlight w:val="yellow"/>
          <w14:textOutline w14:w="5448" w14:cap="sq" w14:cmpd="sng" w14:algn="ctr">
            <w14:solidFill>
              <w14:srgbClr w14:val="000000"/>
            </w14:solidFill>
            <w14:prstDash w14:val="solid"/>
            <w14:bevel/>
          </w14:textOutline>
        </w:rPr>
        <w:t>绩效字</w:t>
      </w:r>
      <w:r>
        <w:rPr>
          <w:rFonts w:ascii="宋体" w:hAnsi="宋体" w:eastAsia="宋体" w:cs="宋体"/>
          <w:sz w:val="28"/>
          <w:szCs w:val="28"/>
          <w:highlight w:val="yellow"/>
        </w:rPr>
        <w:t xml:space="preserve"> </w:t>
      </w:r>
      <w:r>
        <w:rPr>
          <w:rFonts w:ascii="宋体" w:hAnsi="宋体" w:eastAsia="宋体" w:cs="宋体"/>
          <w:sz w:val="28"/>
          <w:szCs w:val="28"/>
          <w:highlight w:val="yellow"/>
          <w14:textOutline w14:w="5448" w14:cap="sq" w14:cmpd="sng" w14:algn="ctr">
            <w14:solidFill>
              <w14:srgbClr w14:val="000000"/>
            </w14:solidFill>
            <w14:prstDash w14:val="solid"/>
            <w14:bevel/>
          </w14:textOutline>
        </w:rPr>
        <w:t>(202</w:t>
      </w:r>
      <w:r>
        <w:rPr>
          <w:rFonts w:hint="eastAsia" w:ascii="宋体" w:hAnsi="宋体" w:eastAsia="宋体" w:cs="宋体"/>
          <w:sz w:val="28"/>
          <w:szCs w:val="28"/>
          <w:highlight w:val="yellow"/>
          <w:lang w:val="en-US" w:eastAsia="zh-CN"/>
          <w14:textOutline w14:w="5448" w14:cap="sq" w14:cmpd="sng" w14:algn="ctr">
            <w14:solidFill>
              <w14:srgbClr w14:val="000000"/>
            </w14:solidFill>
            <w14:prstDash w14:val="solid"/>
            <w14:bevel/>
          </w14:textOutline>
        </w:rPr>
        <w:t>5</w:t>
      </w:r>
      <w:r>
        <w:rPr>
          <w:rFonts w:ascii="宋体" w:hAnsi="宋体" w:eastAsia="宋体" w:cs="宋体"/>
          <w:sz w:val="28"/>
          <w:szCs w:val="28"/>
          <w:highlight w:val="yellow"/>
          <w14:textOutline w14:w="5448" w14:cap="sq" w14:cmpd="sng" w14:algn="ctr">
            <w14:solidFill>
              <w14:srgbClr w14:val="000000"/>
            </w14:solidFill>
            <w14:prstDash w14:val="solid"/>
            <w14:bevel/>
          </w14:textOutline>
        </w:rPr>
        <w:t>)</w:t>
      </w:r>
      <w:r>
        <w:rPr>
          <w:rFonts w:ascii="宋体" w:hAnsi="宋体" w:eastAsia="宋体" w:cs="宋体"/>
          <w:sz w:val="28"/>
          <w:szCs w:val="28"/>
          <w:highlight w:val="yellow"/>
        </w:rPr>
        <w:t xml:space="preserve"> </w:t>
      </w:r>
      <w:r>
        <w:rPr>
          <w:rFonts w:ascii="宋体" w:hAnsi="宋体" w:eastAsia="宋体" w:cs="宋体"/>
          <w:sz w:val="28"/>
          <w:szCs w:val="28"/>
          <w:highlight w:val="yellow"/>
          <w14:textOutline w14:w="5448" w14:cap="sq" w14:cmpd="sng" w14:algn="ctr">
            <w14:solidFill>
              <w14:srgbClr w14:val="000000"/>
            </w14:solidFill>
            <w14:prstDash w14:val="solid"/>
            <w14:bevel/>
          </w14:textOutline>
        </w:rPr>
        <w:t>第</w:t>
      </w:r>
      <w:r>
        <w:rPr>
          <w:rFonts w:hint="eastAsia" w:ascii="宋体" w:hAnsi="宋体" w:eastAsia="宋体" w:cs="宋体"/>
          <w:sz w:val="28"/>
          <w:szCs w:val="28"/>
          <w:highlight w:val="yellow"/>
          <w14:textOutline w14:w="5448" w14:cap="sq" w14:cmpd="sng" w14:algn="ctr">
            <w14:solidFill>
              <w14:srgbClr w14:val="000000"/>
            </w14:solidFill>
            <w14:prstDash w14:val="solid"/>
            <w14:bevel/>
          </w14:textOutline>
        </w:rPr>
        <w:t>013</w:t>
      </w:r>
      <w:r>
        <w:rPr>
          <w:rFonts w:ascii="宋体" w:hAnsi="宋体" w:eastAsia="宋体" w:cs="宋体"/>
          <w:sz w:val="28"/>
          <w:szCs w:val="28"/>
          <w:highlight w:val="yellow"/>
          <w14:textOutline w14:w="5448" w14:cap="sq" w14:cmpd="sng" w14:algn="ctr">
            <w14:solidFill>
              <w14:srgbClr w14:val="000000"/>
            </w14:solidFill>
            <w14:prstDash w14:val="solid"/>
            <w14:bevel/>
          </w14:textOutline>
        </w:rPr>
        <w:t>号</w:t>
      </w:r>
    </w:p>
    <w:p w14:paraId="7C11C84E">
      <w:pPr>
        <w:jc w:val="both"/>
      </w:pPr>
    </w:p>
    <w:p w14:paraId="077832B9">
      <w:pPr>
        <w:jc w:val="both"/>
      </w:pPr>
    </w:p>
    <w:p w14:paraId="2B428205">
      <w:pPr>
        <w:jc w:val="both"/>
      </w:pPr>
    </w:p>
    <w:p w14:paraId="0B03E7D3">
      <w:pPr>
        <w:jc w:val="both"/>
      </w:pPr>
    </w:p>
    <w:p w14:paraId="48EAAD1B">
      <w:pPr>
        <w:jc w:val="both"/>
      </w:pPr>
    </w:p>
    <w:p w14:paraId="68E51441">
      <w:pPr>
        <w:jc w:val="both"/>
      </w:pPr>
    </w:p>
    <w:p w14:paraId="38C13AD9">
      <w:pPr>
        <w:jc w:val="both"/>
      </w:pPr>
    </w:p>
    <w:p w14:paraId="0C73EF62">
      <w:pPr>
        <w:jc w:val="both"/>
      </w:pPr>
    </w:p>
    <w:p w14:paraId="08F0EC3F">
      <w:pPr>
        <w:jc w:val="both"/>
      </w:pPr>
    </w:p>
    <w:p w14:paraId="5E5904C7">
      <w:pPr>
        <w:jc w:val="both"/>
      </w:pPr>
    </w:p>
    <w:p w14:paraId="6721216C">
      <w:pPr>
        <w:jc w:val="both"/>
      </w:pPr>
    </w:p>
    <w:p w14:paraId="215A6198">
      <w:pPr>
        <w:spacing w:line="241" w:lineRule="auto"/>
        <w:jc w:val="both"/>
      </w:pPr>
    </w:p>
    <w:p w14:paraId="57F7F90B">
      <w:pPr>
        <w:spacing w:line="241" w:lineRule="auto"/>
        <w:jc w:val="both"/>
      </w:pPr>
    </w:p>
    <w:p w14:paraId="0CCE468A">
      <w:pPr>
        <w:spacing w:line="241" w:lineRule="auto"/>
        <w:jc w:val="both"/>
      </w:pPr>
    </w:p>
    <w:p w14:paraId="76DAADF5">
      <w:pPr>
        <w:spacing w:before="91" w:line="221" w:lineRule="auto"/>
        <w:jc w:val="both"/>
        <w:rPr>
          <w:rFonts w:hint="eastAsia" w:ascii="宋体" w:hAnsi="宋体" w:eastAsia="宋体" w:cs="宋体"/>
          <w:sz w:val="28"/>
          <w:szCs w:val="28"/>
        </w:rPr>
      </w:pPr>
      <w:r>
        <w:rPr>
          <w:rFonts w:ascii="宋体" w:hAnsi="宋体" w:eastAsia="宋体" w:cs="宋体"/>
          <w:spacing w:val="-1"/>
          <w:sz w:val="28"/>
          <w:szCs w:val="28"/>
        </w:rPr>
        <w:t>项目名称：</w:t>
      </w:r>
      <w:r>
        <w:rPr>
          <w:rFonts w:hint="eastAsia" w:ascii="宋体" w:hAnsi="宋体" w:eastAsia="宋体" w:cs="宋体"/>
          <w:spacing w:val="-1"/>
          <w:sz w:val="28"/>
          <w:szCs w:val="28"/>
        </w:rPr>
        <w:t>中韩（长春）国际合作示范区智能装备孵化基地项目</w:t>
      </w:r>
    </w:p>
    <w:p w14:paraId="08BED3C7">
      <w:pPr>
        <w:spacing w:before="288" w:line="221" w:lineRule="auto"/>
        <w:jc w:val="both"/>
        <w:rPr>
          <w:rFonts w:hint="eastAsia" w:ascii="宋体" w:hAnsi="宋体" w:eastAsia="宋体" w:cs="宋体"/>
          <w:sz w:val="28"/>
          <w:szCs w:val="28"/>
        </w:rPr>
      </w:pPr>
      <w:r>
        <w:rPr>
          <w:rFonts w:hint="eastAsia" w:ascii="宋体" w:hAnsi="宋体" w:eastAsia="宋体" w:cs="宋体"/>
          <w:spacing w:val="-2"/>
          <w:sz w:val="28"/>
          <w:szCs w:val="28"/>
        </w:rPr>
        <w:t>委托单位</w:t>
      </w:r>
      <w:r>
        <w:rPr>
          <w:rFonts w:ascii="宋体" w:hAnsi="宋体" w:eastAsia="宋体" w:cs="宋体"/>
          <w:spacing w:val="-1"/>
          <w:sz w:val="28"/>
          <w:szCs w:val="28"/>
        </w:rPr>
        <w:t>：</w:t>
      </w:r>
      <w:r>
        <w:rPr>
          <w:rFonts w:hint="eastAsia" w:ascii="宋体" w:hAnsi="宋体" w:eastAsia="宋体" w:cs="宋体"/>
          <w:spacing w:val="-1"/>
          <w:sz w:val="28"/>
          <w:szCs w:val="28"/>
        </w:rPr>
        <w:t>中韩（长春）国际合作示范区管理委员会</w:t>
      </w:r>
    </w:p>
    <w:p w14:paraId="269C78ED">
      <w:pPr>
        <w:spacing w:before="289" w:line="219" w:lineRule="auto"/>
        <w:jc w:val="both"/>
        <w:rPr>
          <w:rFonts w:hint="eastAsia" w:ascii="宋体" w:hAnsi="宋体" w:eastAsia="宋体" w:cs="宋体"/>
          <w:sz w:val="28"/>
          <w:szCs w:val="28"/>
        </w:rPr>
      </w:pPr>
      <w:r>
        <w:rPr>
          <w:rFonts w:ascii="宋体" w:hAnsi="宋体" w:eastAsia="宋体" w:cs="宋体"/>
          <w:spacing w:val="-1"/>
          <w:sz w:val="28"/>
          <w:szCs w:val="28"/>
        </w:rPr>
        <w:t>评价机构：</w:t>
      </w:r>
      <w:r>
        <w:rPr>
          <w:rFonts w:hint="eastAsia" w:ascii="宋体" w:hAnsi="宋体" w:eastAsia="宋体" w:cs="宋体"/>
          <w:spacing w:val="-1"/>
          <w:sz w:val="28"/>
          <w:szCs w:val="28"/>
        </w:rPr>
        <w:t>吉林民鑫绩效评价有限公司</w:t>
      </w:r>
    </w:p>
    <w:p w14:paraId="1B4D6465">
      <w:pPr>
        <w:jc w:val="both"/>
      </w:pPr>
    </w:p>
    <w:p w14:paraId="13E4C9D9">
      <w:pPr>
        <w:jc w:val="both"/>
      </w:pPr>
    </w:p>
    <w:p w14:paraId="2407A50F">
      <w:pPr>
        <w:jc w:val="both"/>
      </w:pPr>
    </w:p>
    <w:p w14:paraId="50DC88BE">
      <w:pPr>
        <w:jc w:val="both"/>
      </w:pPr>
    </w:p>
    <w:p w14:paraId="7FE447E2">
      <w:pPr>
        <w:jc w:val="both"/>
      </w:pPr>
    </w:p>
    <w:p w14:paraId="61EEC0D9">
      <w:pPr>
        <w:jc w:val="both"/>
      </w:pPr>
    </w:p>
    <w:p w14:paraId="75F93B39">
      <w:pPr>
        <w:spacing w:before="91" w:line="220" w:lineRule="auto"/>
        <w:ind w:firstLine="2780" w:firstLineChars="1000"/>
        <w:jc w:val="both"/>
        <w:rPr>
          <w:rFonts w:hint="eastAsia" w:ascii="宋体" w:hAnsi="宋体" w:eastAsia="宋体" w:cs="宋体"/>
          <w:sz w:val="28"/>
          <w:szCs w:val="28"/>
        </w:rPr>
      </w:pPr>
      <w:r>
        <w:rPr>
          <w:rFonts w:ascii="宋体" w:hAnsi="宋体" w:eastAsia="宋体" w:cs="宋体"/>
          <w:spacing w:val="-1"/>
          <w:sz w:val="28"/>
          <w:szCs w:val="28"/>
          <w:highlight w:val="yellow"/>
          <w14:textOutline w14:w="5105" w14:cap="sq" w14:cmpd="sng" w14:algn="ctr">
            <w14:solidFill>
              <w14:srgbClr w14:val="000000"/>
            </w14:solidFill>
            <w14:prstDash w14:val="solid"/>
            <w14:bevel/>
          </w14:textOutline>
        </w:rPr>
        <w:t>二〇</w:t>
      </w:r>
      <w:r>
        <w:rPr>
          <w:rFonts w:hint="eastAsia" w:ascii="宋体" w:hAnsi="宋体" w:eastAsia="宋体" w:cs="宋体"/>
          <w:spacing w:val="-1"/>
          <w:sz w:val="28"/>
          <w:szCs w:val="28"/>
          <w:highlight w:val="yellow"/>
          <w14:textOutline w14:w="5105" w14:cap="sq" w14:cmpd="sng" w14:algn="ctr">
            <w14:solidFill>
              <w14:srgbClr w14:val="000000"/>
            </w14:solidFill>
            <w14:prstDash w14:val="solid"/>
            <w14:bevel/>
          </w14:textOutline>
        </w:rPr>
        <w:t>二五</w:t>
      </w:r>
      <w:r>
        <w:rPr>
          <w:rFonts w:ascii="宋体" w:hAnsi="宋体" w:eastAsia="宋体" w:cs="宋体"/>
          <w:spacing w:val="-1"/>
          <w:sz w:val="28"/>
          <w:szCs w:val="28"/>
          <w:highlight w:val="yellow"/>
          <w14:textOutline w14:w="5105" w14:cap="sq" w14:cmpd="sng" w14:algn="ctr">
            <w14:solidFill>
              <w14:srgbClr w14:val="000000"/>
            </w14:solidFill>
            <w14:prstDash w14:val="solid"/>
            <w14:bevel/>
          </w14:textOutline>
        </w:rPr>
        <w:t>年</w:t>
      </w:r>
      <w:r>
        <w:rPr>
          <w:rFonts w:hint="eastAsia" w:ascii="宋体" w:hAnsi="宋体" w:eastAsia="宋体" w:cs="宋体"/>
          <w:spacing w:val="-1"/>
          <w:sz w:val="28"/>
          <w:szCs w:val="28"/>
          <w:highlight w:val="yellow"/>
          <w14:textOutline w14:w="5105" w14:cap="sq" w14:cmpd="sng" w14:algn="ctr">
            <w14:solidFill>
              <w14:srgbClr w14:val="000000"/>
            </w14:solidFill>
            <w14:prstDash w14:val="solid"/>
            <w14:bevel/>
          </w14:textOutline>
        </w:rPr>
        <w:t>六</w:t>
      </w:r>
      <w:r>
        <w:rPr>
          <w:rFonts w:ascii="宋体" w:hAnsi="宋体" w:eastAsia="宋体" w:cs="宋体"/>
          <w:sz w:val="28"/>
          <w:szCs w:val="28"/>
          <w:highlight w:val="yellow"/>
          <w14:textOutline w14:w="5105" w14:cap="sq" w14:cmpd="sng" w14:algn="ctr">
            <w14:solidFill>
              <w14:srgbClr w14:val="000000"/>
            </w14:solidFill>
            <w14:prstDash w14:val="solid"/>
            <w14:bevel/>
          </w14:textOutline>
        </w:rPr>
        <w:t>月十</w:t>
      </w:r>
      <w:r>
        <w:rPr>
          <w:rFonts w:hint="eastAsia" w:ascii="宋体" w:hAnsi="宋体" w:eastAsia="宋体" w:cs="宋体"/>
          <w:sz w:val="28"/>
          <w:szCs w:val="28"/>
          <w:highlight w:val="yellow"/>
          <w14:textOutline w14:w="5105" w14:cap="sq" w14:cmpd="sng" w14:algn="ctr">
            <w14:solidFill>
              <w14:srgbClr w14:val="000000"/>
            </w14:solidFill>
            <w14:prstDash w14:val="solid"/>
            <w14:bevel/>
          </w14:textOutline>
        </w:rPr>
        <w:t>四</w:t>
      </w:r>
      <w:r>
        <w:rPr>
          <w:rFonts w:ascii="宋体" w:hAnsi="宋体" w:eastAsia="宋体" w:cs="宋体"/>
          <w:sz w:val="28"/>
          <w:szCs w:val="28"/>
          <w:highlight w:val="yellow"/>
          <w14:textOutline w14:w="5105" w14:cap="sq" w14:cmpd="sng" w14:algn="ctr">
            <w14:solidFill>
              <w14:srgbClr w14:val="000000"/>
            </w14:solidFill>
            <w14:prstDash w14:val="solid"/>
            <w14:bevel/>
          </w14:textOutline>
        </w:rPr>
        <w:t>日</w:t>
      </w:r>
    </w:p>
    <w:p w14:paraId="32698138">
      <w:pPr>
        <w:jc w:val="both"/>
        <w:sectPr>
          <w:footerReference r:id="rId3" w:type="default"/>
          <w:pgSz w:w="11906" w:h="16839"/>
          <w:pgMar w:top="1440" w:right="1800" w:bottom="1440" w:left="1800" w:header="0" w:footer="794" w:gutter="0"/>
          <w:pgNumType w:start="1"/>
          <w:cols w:space="720" w:num="1"/>
          <w:docGrid w:linePitch="286" w:charSpace="0"/>
        </w:sectPr>
      </w:pPr>
    </w:p>
    <w:p w14:paraId="0CE8CF88">
      <w:pPr>
        <w:spacing w:line="261" w:lineRule="auto"/>
        <w:jc w:val="both"/>
      </w:pPr>
    </w:p>
    <w:p w14:paraId="395E0813">
      <w:pPr>
        <w:spacing w:line="261" w:lineRule="auto"/>
        <w:jc w:val="both"/>
      </w:pPr>
    </w:p>
    <w:p w14:paraId="68586AD2">
      <w:pPr>
        <w:spacing w:line="262" w:lineRule="auto"/>
        <w:jc w:val="both"/>
      </w:pPr>
    </w:p>
    <w:p w14:paraId="3D9F72FF">
      <w:pPr>
        <w:spacing w:line="480" w:lineRule="auto"/>
        <w:jc w:val="center"/>
        <w:rPr>
          <w:rFonts w:hint="eastAsia" w:ascii="宋体" w:hAnsi="宋体" w:eastAsia="宋体" w:cs="宋体"/>
          <w:spacing w:val="10"/>
          <w:sz w:val="28"/>
          <w:szCs w:val="28"/>
        </w:rPr>
      </w:pPr>
      <w:r>
        <w:rPr>
          <w:rFonts w:hint="eastAsia" w:ascii="宋体" w:hAnsi="宋体" w:eastAsia="宋体" w:cs="宋体"/>
          <w:spacing w:val="10"/>
          <w:sz w:val="28"/>
          <w:szCs w:val="28"/>
        </w:rPr>
        <w:t>前   言</w:t>
      </w:r>
    </w:p>
    <w:p w14:paraId="3CEF1589">
      <w:pPr>
        <w:spacing w:line="480" w:lineRule="auto"/>
        <w:ind w:firstLine="500" w:firstLineChars="200"/>
        <w:jc w:val="both"/>
        <w:rPr>
          <w:rFonts w:hint="eastAsia" w:ascii="宋体" w:hAnsi="宋体" w:eastAsia="宋体" w:cs="宋体"/>
          <w:spacing w:val="10"/>
          <w:sz w:val="23"/>
          <w:szCs w:val="23"/>
        </w:rPr>
      </w:pPr>
    </w:p>
    <w:p w14:paraId="084EB693">
      <w:pPr>
        <w:spacing w:line="480" w:lineRule="auto"/>
        <w:ind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根据《</w:t>
      </w:r>
      <w:r>
        <w:rPr>
          <w:rFonts w:hint="eastAsia" w:ascii="宋体" w:hAnsi="宋体" w:eastAsia="宋体" w:cs="宋体"/>
          <w:spacing w:val="10"/>
          <w:sz w:val="24"/>
          <w:szCs w:val="24"/>
          <w:lang w:eastAsia="zh-CN"/>
        </w:rPr>
        <w:t>中共中央、国务院</w:t>
      </w:r>
      <w:r>
        <w:rPr>
          <w:rFonts w:hint="eastAsia" w:ascii="宋体" w:hAnsi="宋体" w:eastAsia="宋体" w:cs="宋体"/>
          <w:spacing w:val="10"/>
          <w:sz w:val="24"/>
          <w:szCs w:val="24"/>
        </w:rPr>
        <w:t>关于全面实施预算绩效管理的意见》（中发〔2018〕34号）、《关于贯彻落实</w:t>
      </w:r>
      <w:r>
        <w:rPr>
          <w:rFonts w:hint="eastAsia" w:ascii="宋体" w:hAnsi="宋体" w:eastAsia="宋体" w:cs="宋体"/>
          <w:spacing w:val="10"/>
          <w:sz w:val="24"/>
          <w:szCs w:val="24"/>
          <w:lang w:eastAsia="zh-CN"/>
        </w:rPr>
        <w:t>中共中央、国务院</w:t>
      </w:r>
      <w:r>
        <w:rPr>
          <w:rFonts w:hint="eastAsia" w:ascii="宋体" w:hAnsi="宋体" w:eastAsia="宋体" w:cs="宋体"/>
          <w:spacing w:val="10"/>
          <w:sz w:val="24"/>
          <w:szCs w:val="24"/>
        </w:rPr>
        <w:t>关于全面实施预算绩效管理的意见的通知》（财预〔2018〕167号）、《国务院关于加强地方政府性债务管理的意见》《</w:t>
      </w:r>
      <w:r>
        <w:rPr>
          <w:rFonts w:hint="eastAsia" w:ascii="宋体" w:hAnsi="宋体" w:eastAsia="宋体" w:cs="宋体"/>
          <w:spacing w:val="10"/>
          <w:sz w:val="24"/>
          <w:szCs w:val="24"/>
          <w:lang w:eastAsia="zh-CN"/>
        </w:rPr>
        <w:t>中共中央办公厅、国务院办公厅</w:t>
      </w:r>
      <w:r>
        <w:rPr>
          <w:rFonts w:hint="eastAsia" w:ascii="宋体" w:hAnsi="宋体" w:eastAsia="宋体" w:cs="宋体"/>
          <w:spacing w:val="10"/>
          <w:sz w:val="24"/>
          <w:szCs w:val="24"/>
        </w:rPr>
        <w:t>印发〈关于做好地方政府债券发行及项目配套融资工作的通知〉》《吉林省项目支出绩效评价管理暂行办法》的通知（吉财绩</w:t>
      </w:r>
      <w:r>
        <w:rPr>
          <w:rFonts w:hint="eastAsia" w:ascii="宋体" w:hAnsi="宋体" w:eastAsia="宋体" w:cs="宋体"/>
          <w:spacing w:val="10"/>
          <w:sz w:val="24"/>
          <w:szCs w:val="24"/>
          <w:lang w:eastAsia="zh-CN"/>
        </w:rPr>
        <w:t>〔2020〕711号</w:t>
      </w:r>
      <w:r>
        <w:rPr>
          <w:rFonts w:hint="eastAsia" w:ascii="宋体" w:hAnsi="宋体" w:eastAsia="宋体" w:cs="宋体"/>
          <w:spacing w:val="10"/>
          <w:sz w:val="24"/>
          <w:szCs w:val="24"/>
        </w:rPr>
        <w:t>）、《吉</w:t>
      </w:r>
      <w:r>
        <w:rPr>
          <w:rFonts w:hint="eastAsia" w:ascii="宋体" w:hAnsi="宋体" w:eastAsia="宋体" w:cs="宋体"/>
          <w:spacing w:val="10"/>
          <w:sz w:val="24"/>
          <w:szCs w:val="24"/>
          <w:lang w:eastAsia="zh-CN"/>
        </w:rPr>
        <w:t>林省</w:t>
      </w:r>
      <w:r>
        <w:rPr>
          <w:rFonts w:hint="eastAsia" w:ascii="宋体" w:hAnsi="宋体" w:eastAsia="宋体" w:cs="宋体"/>
          <w:spacing w:val="10"/>
          <w:sz w:val="24"/>
          <w:szCs w:val="24"/>
        </w:rPr>
        <w:t>财政厅预算绩效管理工作规程（试行）》的通知（吉财绩</w:t>
      </w:r>
      <w:r>
        <w:rPr>
          <w:rFonts w:hint="eastAsia" w:ascii="宋体" w:hAnsi="宋体" w:eastAsia="宋体" w:cs="宋体"/>
          <w:spacing w:val="10"/>
          <w:sz w:val="24"/>
          <w:szCs w:val="24"/>
          <w:lang w:eastAsia="zh-CN"/>
        </w:rPr>
        <w:t>〔2020〕811号</w:t>
      </w:r>
      <w:r>
        <w:rPr>
          <w:rFonts w:hint="eastAsia" w:ascii="宋体" w:hAnsi="宋体" w:eastAsia="宋体" w:cs="宋体"/>
          <w:spacing w:val="10"/>
          <w:sz w:val="24"/>
          <w:szCs w:val="24"/>
        </w:rPr>
        <w:t>）、《吉林省地方政府专项债券项目绩效管理办法（试行）》的通知（吉财债</w:t>
      </w:r>
      <w:r>
        <w:rPr>
          <w:rFonts w:hint="eastAsia" w:ascii="宋体" w:hAnsi="宋体" w:eastAsia="宋体" w:cs="宋体"/>
          <w:spacing w:val="10"/>
          <w:sz w:val="24"/>
          <w:szCs w:val="24"/>
          <w:lang w:eastAsia="zh-CN"/>
        </w:rPr>
        <w:t>〔2020〕1055号</w:t>
      </w:r>
      <w:r>
        <w:rPr>
          <w:rFonts w:hint="eastAsia" w:ascii="宋体" w:hAnsi="宋体" w:eastAsia="宋体" w:cs="宋体"/>
          <w:spacing w:val="10"/>
          <w:sz w:val="24"/>
          <w:szCs w:val="24"/>
        </w:rPr>
        <w:t>），通过指标评价、数据采集、历史数据及行业数据利用对项目立项情况，绩效指标设定情况、项目投入情况、财务管理情况、实施管理情况、项目绩效目标的实现程度，包括是否达到预定产出和效果等内容进行评价，并形成本报告。</w:t>
      </w:r>
    </w:p>
    <w:p w14:paraId="5558434A">
      <w:pPr>
        <w:spacing w:line="480" w:lineRule="auto"/>
        <w:ind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为加强财政专项债项目支出管理，提高财政资金使用效益，充分发挥财政资金的支持作用，受中韩（长春）国际示范区管理委员会委托，吉林民鑫绩效评价有限公司对专项债券项目暨2024年度中韩（长春）国际合作示范区智能装备孵化基地专项债券项目开展绩效评价。</w:t>
      </w:r>
    </w:p>
    <w:p w14:paraId="767B4D6B">
      <w:pPr>
        <w:spacing w:line="480" w:lineRule="auto"/>
        <w:ind w:firstLine="420" w:firstLineChars="200"/>
        <w:jc w:val="both"/>
        <w:sectPr>
          <w:headerReference r:id="rId4" w:type="default"/>
          <w:footerReference r:id="rId5" w:type="default"/>
          <w:pgSz w:w="11906" w:h="16839"/>
          <w:pgMar w:top="1061" w:right="1243" w:bottom="0" w:left="1785" w:header="878" w:footer="1134" w:gutter="0"/>
          <w:pgNumType w:start="2"/>
          <w:cols w:space="720" w:num="1"/>
          <w:docGrid w:linePitch="286" w:charSpace="0"/>
        </w:sectPr>
      </w:pPr>
    </w:p>
    <w:p w14:paraId="4EA15927">
      <w:pPr>
        <w:spacing w:line="254" w:lineRule="auto"/>
        <w:jc w:val="both"/>
      </w:pPr>
    </w:p>
    <w:p w14:paraId="4617948E">
      <w:pPr>
        <w:spacing w:line="254" w:lineRule="auto"/>
        <w:jc w:val="center"/>
        <w:rPr>
          <w:b/>
          <w:bCs/>
          <w:sz w:val="28"/>
          <w:szCs w:val="28"/>
        </w:rPr>
      </w:pPr>
      <w:r>
        <w:rPr>
          <w:rFonts w:hint="eastAsia"/>
          <w:b/>
          <w:bCs/>
          <w:sz w:val="28"/>
          <w:szCs w:val="28"/>
        </w:rPr>
        <w:t>目  录</w:t>
      </w:r>
    </w:p>
    <w:p w14:paraId="77080478">
      <w:pPr>
        <w:spacing w:line="255" w:lineRule="auto"/>
        <w:jc w:val="both"/>
      </w:pPr>
    </w:p>
    <w:p w14:paraId="05B9A8A7">
      <w:pPr>
        <w:pStyle w:val="12"/>
        <w:tabs>
          <w:tab w:val="right" w:leader="dot" w:pos="9157"/>
        </w:tabs>
      </w:pPr>
    </w:p>
    <w:p w14:paraId="2786BEAB">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TOC \o "1-2" \h \u </w:instrText>
      </w:r>
      <w:r>
        <w:fldChar w:fldCharType="separate"/>
      </w:r>
      <w:r>
        <w:fldChar w:fldCharType="begin"/>
      </w:r>
      <w:r>
        <w:instrText xml:space="preserve"> HYPERLINK \l "_Toc201739178" </w:instrText>
      </w:r>
      <w:r>
        <w:fldChar w:fldCharType="separate"/>
      </w:r>
      <w:r>
        <w:rPr>
          <w:rStyle w:val="20"/>
          <w:rFonts w:hint="eastAsia" w:ascii="宋体" w:hAnsi="宋体" w:eastAsia="宋体" w:cs="宋体"/>
          <w:b/>
          <w:bCs/>
          <w:spacing w:val="2"/>
        </w:rPr>
        <w:t>摘    要</w:t>
      </w:r>
      <w:r>
        <w:rPr>
          <w:rFonts w:hint="eastAsia"/>
        </w:rPr>
        <w:tab/>
      </w:r>
      <w:r>
        <w:rPr>
          <w:rFonts w:hint="eastAsia"/>
        </w:rPr>
        <w:fldChar w:fldCharType="begin"/>
      </w:r>
      <w:r>
        <w:rPr>
          <w:rFonts w:hint="eastAsia"/>
        </w:rPr>
        <w:instrText xml:space="preserve"> </w:instrText>
      </w:r>
      <w:r>
        <w:instrText xml:space="preserve">PAGEREF _Toc201739178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74D75EB">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"_Toc201739179" </w:instrText>
      </w:r>
      <w:r>
        <w:fldChar w:fldCharType="separate"/>
      </w:r>
      <w:r>
        <w:rPr>
          <w:rStyle w:val="20"/>
          <w:rFonts w:hint="eastAsia" w:ascii="宋体" w:hAnsi="宋体" w:eastAsia="宋体" w:cs="宋体"/>
          <w:spacing w:val="8"/>
          <w14:textOutline w14:w="6540" w14:cap="sq" w14:cmpd="sng" w14:algn="ctr">
            <w14:solidFill>
              <w14:srgbClr w14:val="000000"/>
            </w14:solidFill>
            <w14:prstDash w14:val="solid"/>
            <w14:bevel/>
          </w14:textOutline>
        </w:rPr>
        <w:t>绩效评价报</w:t>
      </w:r>
      <w:r>
        <w:rPr>
          <w:rStyle w:val="20"/>
          <w:rFonts w:hint="eastAsia" w:ascii="宋体" w:hAnsi="宋体" w:eastAsia="宋体" w:cs="宋体"/>
          <w:spacing w:val="7"/>
          <w14:textOutline w14:w="6540" w14:cap="sq" w14:cmpd="sng" w14:algn="ctr">
            <w14:solidFill>
              <w14:srgbClr w14:val="000000"/>
            </w14:solidFill>
            <w14:prstDash w14:val="solid"/>
            <w14:bevel/>
          </w14:textOutline>
        </w:rPr>
        <w:t>告</w:t>
      </w:r>
      <w:r>
        <w:rPr>
          <w:rFonts w:hint="eastAsia"/>
        </w:rPr>
        <w:tab/>
      </w:r>
      <w:r>
        <w:rPr>
          <w:rFonts w:hint="eastAsia"/>
        </w:rPr>
        <w:fldChar w:fldCharType="begin"/>
      </w:r>
      <w:r>
        <w:rPr>
          <w:rFonts w:hint="eastAsia"/>
        </w:rPr>
        <w:instrText xml:space="preserve"> </w:instrText>
      </w:r>
      <w:r>
        <w:instrText xml:space="preserve">PAGEREF _Toc201739179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1B1A35E">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"_Toc201739180" </w:instrText>
      </w:r>
      <w:r>
        <w:fldChar w:fldCharType="separate"/>
      </w:r>
      <w:r>
        <w:rPr>
          <w:rStyle w:val="20"/>
          <w:rFonts w:hint="eastAsia"/>
        </w:rPr>
        <w:t>一、 项目基本情况</w:t>
      </w:r>
      <w:r>
        <w:rPr>
          <w:rFonts w:hint="eastAsia"/>
        </w:rPr>
        <w:tab/>
      </w:r>
      <w:r>
        <w:rPr>
          <w:rFonts w:hint="eastAsia"/>
        </w:rPr>
        <w:fldChar w:fldCharType="begin"/>
      </w:r>
      <w:r>
        <w:rPr>
          <w:rFonts w:hint="eastAsia"/>
        </w:rPr>
        <w:instrText xml:space="preserve"> </w:instrText>
      </w:r>
      <w:r>
        <w:instrText xml:space="preserve">PAGEREF _Toc201739180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6D535AC">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"_Toc201739181" </w:instrText>
      </w:r>
      <w:r>
        <w:fldChar w:fldCharType="separate"/>
      </w:r>
      <w:r>
        <w:rPr>
          <w:rStyle w:val="20"/>
          <w:rFonts w:hint="eastAsia"/>
        </w:rPr>
        <w:t>（一） 项目背景</w:t>
      </w:r>
      <w:r>
        <w:rPr>
          <w:rFonts w:hint="eastAsia"/>
        </w:rPr>
        <w:tab/>
      </w:r>
      <w:r>
        <w:rPr>
          <w:rFonts w:hint="eastAsia"/>
        </w:rPr>
        <w:fldChar w:fldCharType="begin"/>
      </w:r>
      <w:r>
        <w:rPr>
          <w:rFonts w:hint="eastAsia"/>
        </w:rPr>
        <w:instrText xml:space="preserve"> </w:instrText>
      </w:r>
      <w:r>
        <w:instrText xml:space="preserve">PAGEREF _Toc201739181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C78F04E">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"_Toc201739182" </w:instrText>
      </w:r>
      <w:r>
        <w:fldChar w:fldCharType="separate"/>
      </w:r>
      <w:r>
        <w:rPr>
          <w:rStyle w:val="20"/>
          <w:rFonts w:hint="eastAsia"/>
        </w:rPr>
        <w:t>（二） 项目主要内容</w:t>
      </w:r>
      <w:r>
        <w:rPr>
          <w:rFonts w:hint="eastAsia"/>
        </w:rPr>
        <w:tab/>
      </w:r>
      <w:r>
        <w:rPr>
          <w:rFonts w:hint="eastAsia"/>
        </w:rPr>
        <w:fldChar w:fldCharType="begin"/>
      </w:r>
      <w:r>
        <w:rPr>
          <w:rFonts w:hint="eastAsia"/>
        </w:rPr>
        <w:instrText xml:space="preserve"> </w:instrText>
      </w:r>
      <w:r>
        <w:instrText xml:space="preserve">PAGEREF _Toc201739182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6A7E4F5">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"_Toc201739183" </w:instrText>
      </w:r>
      <w:r>
        <w:fldChar w:fldCharType="separate"/>
      </w:r>
      <w:r>
        <w:rPr>
          <w:rStyle w:val="20"/>
          <w:rFonts w:hint="eastAsia"/>
        </w:rPr>
        <w:t>（三） 项目组织管理</w:t>
      </w:r>
      <w:r>
        <w:rPr>
          <w:rFonts w:hint="eastAsia"/>
        </w:rPr>
        <w:tab/>
      </w:r>
      <w:r>
        <w:rPr>
          <w:rFonts w:hint="eastAsia"/>
        </w:rPr>
        <w:fldChar w:fldCharType="begin"/>
      </w:r>
      <w:r>
        <w:rPr>
          <w:rFonts w:hint="eastAsia"/>
        </w:rPr>
        <w:instrText xml:space="preserve"> </w:instrText>
      </w:r>
      <w:r>
        <w:instrText xml:space="preserve">PAGEREF _Toc201739183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2077853">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"_Toc201739184" </w:instrText>
      </w:r>
      <w:r>
        <w:fldChar w:fldCharType="separate"/>
      </w:r>
      <w:r>
        <w:rPr>
          <w:rStyle w:val="20"/>
          <w:rFonts w:hint="eastAsia"/>
        </w:rPr>
        <w:t>（四） 项目实施情况</w:t>
      </w:r>
      <w:r>
        <w:rPr>
          <w:rFonts w:hint="eastAsia"/>
        </w:rPr>
        <w:tab/>
      </w:r>
      <w:r>
        <w:rPr>
          <w:rFonts w:hint="eastAsia"/>
        </w:rPr>
        <w:fldChar w:fldCharType="begin"/>
      </w:r>
      <w:r>
        <w:rPr>
          <w:rFonts w:hint="eastAsia"/>
        </w:rPr>
        <w:instrText xml:space="preserve"> </w:instrText>
      </w:r>
      <w:r>
        <w:instrText xml:space="preserve">PAGEREF _Toc201739184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39FE284">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"_Toc201739185" </w:instrText>
      </w:r>
      <w:r>
        <w:fldChar w:fldCharType="separate"/>
      </w:r>
      <w:r>
        <w:rPr>
          <w:rStyle w:val="20"/>
          <w:rFonts w:hint="eastAsia"/>
        </w:rPr>
        <w:t>（五） 资金投入及使用情况</w:t>
      </w:r>
      <w:r>
        <w:rPr>
          <w:rFonts w:hint="eastAsia"/>
        </w:rPr>
        <w:tab/>
      </w:r>
      <w:r>
        <w:rPr>
          <w:rFonts w:hint="eastAsia"/>
        </w:rPr>
        <w:fldChar w:fldCharType="begin"/>
      </w:r>
      <w:r>
        <w:rPr>
          <w:rFonts w:hint="eastAsia"/>
        </w:rPr>
        <w:instrText xml:space="preserve"> </w:instrText>
      </w:r>
      <w:r>
        <w:instrText xml:space="preserve">PAGEREF _Toc201739185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7C1BE0B">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"_Toc201739186" </w:instrText>
      </w:r>
      <w:r>
        <w:fldChar w:fldCharType="separate"/>
      </w:r>
      <w:r>
        <w:rPr>
          <w:rStyle w:val="20"/>
          <w:rFonts w:hint="eastAsia"/>
        </w:rPr>
        <w:t>（六） 利益相关方</w:t>
      </w:r>
      <w:r>
        <w:rPr>
          <w:rFonts w:hint="eastAsia"/>
        </w:rPr>
        <w:tab/>
      </w:r>
      <w:r>
        <w:rPr>
          <w:rFonts w:hint="eastAsia"/>
        </w:rPr>
        <w:fldChar w:fldCharType="begin"/>
      </w:r>
      <w:r>
        <w:rPr>
          <w:rFonts w:hint="eastAsia"/>
        </w:rPr>
        <w:instrText xml:space="preserve"> </w:instrText>
      </w:r>
      <w:r>
        <w:instrText xml:space="preserve">PAGEREF _Toc201739186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EA4688A">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"_Toc201739187" </w:instrText>
      </w:r>
      <w:r>
        <w:fldChar w:fldCharType="separate"/>
      </w:r>
      <w:r>
        <w:rPr>
          <w:rStyle w:val="20"/>
          <w:rFonts w:hint="eastAsia"/>
        </w:rPr>
        <w:t>（七） 绩效目标</w:t>
      </w:r>
      <w:r>
        <w:rPr>
          <w:rFonts w:hint="eastAsia"/>
        </w:rPr>
        <w:tab/>
      </w:r>
      <w:r>
        <w:rPr>
          <w:rFonts w:hint="eastAsia"/>
        </w:rPr>
        <w:fldChar w:fldCharType="begin"/>
      </w:r>
      <w:r>
        <w:rPr>
          <w:rFonts w:hint="eastAsia"/>
        </w:rPr>
        <w:instrText xml:space="preserve"> </w:instrText>
      </w:r>
      <w:r>
        <w:instrText xml:space="preserve">PAGEREF _Toc201739187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44B46FA">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"_Toc201739188" </w:instrText>
      </w:r>
      <w:r>
        <w:fldChar w:fldCharType="separate"/>
      </w:r>
      <w:r>
        <w:rPr>
          <w:rStyle w:val="20"/>
          <w:rFonts w:hint="eastAsia"/>
        </w:rPr>
        <w:t>二、 绩效评价工作开展情况</w:t>
      </w:r>
      <w:r>
        <w:rPr>
          <w:rFonts w:hint="eastAsia"/>
        </w:rPr>
        <w:tab/>
      </w:r>
      <w:r>
        <w:rPr>
          <w:rFonts w:hint="eastAsia"/>
        </w:rPr>
        <w:fldChar w:fldCharType="begin"/>
      </w:r>
      <w:r>
        <w:rPr>
          <w:rFonts w:hint="eastAsia"/>
        </w:rPr>
        <w:instrText xml:space="preserve"> </w:instrText>
      </w:r>
      <w:r>
        <w:instrText xml:space="preserve">PAGEREF _Toc201739188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6EEE4A7">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"_Toc201739189" </w:instrText>
      </w:r>
      <w:r>
        <w:fldChar w:fldCharType="separate"/>
      </w:r>
      <w:r>
        <w:rPr>
          <w:rStyle w:val="20"/>
          <w:rFonts w:hint="eastAsia"/>
        </w:rPr>
        <w:t>（一） 绩效评价目的</w:t>
      </w:r>
      <w:r>
        <w:rPr>
          <w:rFonts w:hint="eastAsia"/>
        </w:rPr>
        <w:tab/>
      </w:r>
      <w:r>
        <w:rPr>
          <w:rFonts w:hint="eastAsia"/>
        </w:rPr>
        <w:fldChar w:fldCharType="begin"/>
      </w:r>
      <w:r>
        <w:rPr>
          <w:rFonts w:hint="eastAsia"/>
        </w:rPr>
        <w:instrText xml:space="preserve"> </w:instrText>
      </w:r>
      <w:r>
        <w:instrText xml:space="preserve">PAGEREF _Toc201739189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5C689A7">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"_Toc201739190" </w:instrText>
      </w:r>
      <w:r>
        <w:fldChar w:fldCharType="separate"/>
      </w:r>
      <w:r>
        <w:rPr>
          <w:rStyle w:val="20"/>
          <w:rFonts w:hint="eastAsia"/>
        </w:rPr>
        <w:t>（三） 绩效评价原则</w:t>
      </w:r>
      <w:r>
        <w:rPr>
          <w:rFonts w:hint="eastAsia"/>
        </w:rPr>
        <w:tab/>
      </w:r>
      <w:r>
        <w:rPr>
          <w:rFonts w:hint="eastAsia"/>
        </w:rPr>
        <w:fldChar w:fldCharType="begin"/>
      </w:r>
      <w:r>
        <w:rPr>
          <w:rFonts w:hint="eastAsia"/>
        </w:rPr>
        <w:instrText xml:space="preserve"> </w:instrText>
      </w:r>
      <w:r>
        <w:instrText xml:space="preserve">PAGEREF _Toc201739190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C9B7ADF">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"_Toc201739191" </w:instrText>
      </w:r>
      <w:r>
        <w:fldChar w:fldCharType="separate"/>
      </w:r>
      <w:r>
        <w:rPr>
          <w:rStyle w:val="20"/>
          <w:rFonts w:hint="eastAsia"/>
        </w:rPr>
        <w:t>（四） 评价依据</w:t>
      </w:r>
      <w:r>
        <w:rPr>
          <w:rFonts w:hint="eastAsia"/>
        </w:rPr>
        <w:tab/>
      </w:r>
      <w:r>
        <w:rPr>
          <w:rFonts w:hint="eastAsia"/>
        </w:rPr>
        <w:fldChar w:fldCharType="begin"/>
      </w:r>
      <w:r>
        <w:rPr>
          <w:rFonts w:hint="eastAsia"/>
        </w:rPr>
        <w:instrText xml:space="preserve"> </w:instrText>
      </w:r>
      <w:r>
        <w:instrText xml:space="preserve">PAGEREF _Toc201739191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3C5A77B">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"_Toc201739192" </w:instrText>
      </w:r>
      <w:r>
        <w:fldChar w:fldCharType="separate"/>
      </w:r>
      <w:r>
        <w:rPr>
          <w:rStyle w:val="20"/>
          <w:rFonts w:hint="eastAsia"/>
        </w:rPr>
        <w:t>（五） 绩效评价方法</w:t>
      </w:r>
      <w:r>
        <w:rPr>
          <w:rFonts w:hint="eastAsia"/>
        </w:rPr>
        <w:tab/>
      </w:r>
      <w:r>
        <w:rPr>
          <w:rFonts w:hint="eastAsia"/>
        </w:rPr>
        <w:fldChar w:fldCharType="begin"/>
      </w:r>
      <w:r>
        <w:rPr>
          <w:rFonts w:hint="eastAsia"/>
        </w:rPr>
        <w:instrText xml:space="preserve"> </w:instrText>
      </w:r>
      <w:r>
        <w:instrText xml:space="preserve">PAGEREF _Toc201739192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0B71E3C">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"_Toc201739193" </w:instrText>
      </w:r>
      <w:r>
        <w:fldChar w:fldCharType="separate"/>
      </w:r>
      <w:r>
        <w:rPr>
          <w:rStyle w:val="20"/>
          <w:rFonts w:hint="eastAsia" w:ascii="宋体" w:hAnsi="宋体" w:eastAsia="宋体" w:cs="宋体"/>
        </w:rPr>
        <w:t>（六）</w:t>
      </w:r>
      <w:r>
        <w:rPr>
          <w:rStyle w:val="20"/>
          <w:rFonts w:hint="eastAsia" w:ascii="宋体" w:hAnsi="宋体" w:eastAsia="宋体" w:cs="宋体"/>
          <w:spacing w:val="2"/>
        </w:rPr>
        <w:t xml:space="preserve"> 绩效评价指标体系和评价等级标准</w:t>
      </w:r>
      <w:r>
        <w:rPr>
          <w:rFonts w:hint="eastAsia"/>
        </w:rPr>
        <w:tab/>
      </w:r>
      <w:r>
        <w:rPr>
          <w:rFonts w:hint="eastAsia"/>
        </w:rPr>
        <w:fldChar w:fldCharType="begin"/>
      </w:r>
      <w:r>
        <w:rPr>
          <w:rFonts w:hint="eastAsia"/>
        </w:rPr>
        <w:instrText xml:space="preserve"> </w:instrText>
      </w:r>
      <w:r>
        <w:instrText xml:space="preserve">PAGEREF _Toc201739193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C0FA3B7">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"_Toc201739194" </w:instrText>
      </w:r>
      <w:r>
        <w:fldChar w:fldCharType="separate"/>
      </w:r>
      <w:r>
        <w:rPr>
          <w:rStyle w:val="20"/>
          <w:rFonts w:hint="eastAsia"/>
        </w:rPr>
        <w:t>（七） 绩效评价实施过程</w:t>
      </w:r>
      <w:r>
        <w:rPr>
          <w:rFonts w:hint="eastAsia"/>
        </w:rPr>
        <w:tab/>
      </w:r>
      <w:r>
        <w:rPr>
          <w:rFonts w:hint="eastAsia"/>
        </w:rPr>
        <w:fldChar w:fldCharType="begin"/>
      </w:r>
      <w:r>
        <w:rPr>
          <w:rFonts w:hint="eastAsia"/>
        </w:rPr>
        <w:instrText xml:space="preserve"> </w:instrText>
      </w:r>
      <w:r>
        <w:instrText xml:space="preserve">PAGEREF _Toc201739194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F0854A2">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"_Toc201739195" </w:instrText>
      </w:r>
      <w:r>
        <w:fldChar w:fldCharType="separate"/>
      </w:r>
      <w:r>
        <w:rPr>
          <w:rStyle w:val="20"/>
          <w:rFonts w:hint="eastAsia"/>
        </w:rPr>
        <w:t>三、 评价结论及指标分析</w:t>
      </w:r>
      <w:r>
        <w:rPr>
          <w:rFonts w:hint="eastAsia"/>
        </w:rPr>
        <w:tab/>
      </w:r>
      <w:r>
        <w:rPr>
          <w:rFonts w:hint="eastAsia"/>
        </w:rPr>
        <w:fldChar w:fldCharType="begin"/>
      </w:r>
      <w:r>
        <w:rPr>
          <w:rFonts w:hint="eastAsia"/>
        </w:rPr>
        <w:instrText xml:space="preserve"> </w:instrText>
      </w:r>
      <w:r>
        <w:instrText xml:space="preserve">PAGEREF _Toc201739195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0DA3B631">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"_Toc201739196" </w:instrText>
      </w:r>
      <w:r>
        <w:fldChar w:fldCharType="separate"/>
      </w:r>
      <w:r>
        <w:rPr>
          <w:rStyle w:val="20"/>
          <w:rFonts w:hint="eastAsia"/>
        </w:rPr>
        <w:t>（一） 评价结论</w:t>
      </w:r>
      <w:r>
        <w:rPr>
          <w:rFonts w:hint="eastAsia"/>
        </w:rPr>
        <w:tab/>
      </w:r>
      <w:r>
        <w:rPr>
          <w:rFonts w:hint="eastAsia"/>
        </w:rPr>
        <w:fldChar w:fldCharType="begin"/>
      </w:r>
      <w:r>
        <w:rPr>
          <w:rFonts w:hint="eastAsia"/>
        </w:rPr>
        <w:instrText xml:space="preserve"> </w:instrText>
      </w:r>
      <w:r>
        <w:instrText xml:space="preserve">PAGEREF _Toc201739196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5C911DD0">
      <w:pPr>
        <w:pStyle w:val="15"/>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"_Toc201739197" </w:instrText>
      </w:r>
      <w:r>
        <w:fldChar w:fldCharType="separate"/>
      </w:r>
      <w:r>
        <w:rPr>
          <w:rStyle w:val="20"/>
          <w:rFonts w:hint="eastAsia"/>
        </w:rPr>
        <w:t>（二） 具体指标分析</w:t>
      </w:r>
      <w:r>
        <w:rPr>
          <w:rFonts w:hint="eastAsia"/>
        </w:rPr>
        <w:tab/>
      </w:r>
      <w:r>
        <w:rPr>
          <w:rFonts w:hint="eastAsia"/>
        </w:rPr>
        <w:fldChar w:fldCharType="begin"/>
      </w:r>
      <w:r>
        <w:rPr>
          <w:rFonts w:hint="eastAsia"/>
        </w:rPr>
        <w:instrText xml:space="preserve"> </w:instrText>
      </w:r>
      <w:r>
        <w:instrText xml:space="preserve">PAGEREF _Toc201739197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6318E40">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"_Toc201739198" </w:instrText>
      </w:r>
      <w:r>
        <w:fldChar w:fldCharType="separate"/>
      </w:r>
      <w:r>
        <w:rPr>
          <w:rStyle w:val="20"/>
          <w:rFonts w:hint="eastAsia"/>
        </w:rPr>
        <w:t>四、 存在的问题</w:t>
      </w:r>
      <w:r>
        <w:rPr>
          <w:rFonts w:hint="eastAsia"/>
        </w:rPr>
        <w:tab/>
      </w:r>
      <w:r>
        <w:rPr>
          <w:rFonts w:hint="eastAsia"/>
        </w:rPr>
        <w:fldChar w:fldCharType="begin"/>
      </w:r>
      <w:r>
        <w:rPr>
          <w:rFonts w:hint="eastAsia"/>
        </w:rPr>
        <w:instrText xml:space="preserve"> </w:instrText>
      </w:r>
      <w:r>
        <w:instrText xml:space="preserve">PAGEREF _Toc201739198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762B1758">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"_Toc201739199" </w:instrText>
      </w:r>
      <w:r>
        <w:fldChar w:fldCharType="separate"/>
      </w:r>
      <w:r>
        <w:rPr>
          <w:rStyle w:val="20"/>
          <w:rFonts w:hint="eastAsia"/>
        </w:rPr>
        <w:t>五、 建议</w:t>
      </w:r>
      <w:r>
        <w:rPr>
          <w:rFonts w:hint="eastAsia"/>
        </w:rPr>
        <w:tab/>
      </w:r>
      <w:r>
        <w:rPr>
          <w:rFonts w:hint="eastAsia"/>
        </w:rPr>
        <w:fldChar w:fldCharType="begin"/>
      </w:r>
      <w:r>
        <w:rPr>
          <w:rFonts w:hint="eastAsia"/>
        </w:rPr>
        <w:instrText xml:space="preserve"> </w:instrText>
      </w:r>
      <w:r>
        <w:instrText xml:space="preserve">PAGEREF _Toc201739199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6E2B92F6">
      <w:pPr>
        <w:pStyle w:val="15"/>
        <w:tabs>
          <w:tab w:val="left" w:pos="1260"/>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"_Toc201739200" </w:instrText>
      </w:r>
      <w:r>
        <w:fldChar w:fldCharType="separate"/>
      </w:r>
      <w:r>
        <w:rPr>
          <w:rStyle w:val="20"/>
          <w:rFonts w:hint="eastAsia"/>
          <w:spacing w:val="20"/>
        </w:rPr>
        <w:t>1、</w:t>
      </w:r>
      <w:r>
        <w:rPr>
          <w:rFonts w:hint="eastAsia" w:asciiTheme="minorHAnsi" w:hAnsiTheme="minorHAnsi" w:cstheme="minorBidi"/>
          <w:snapToGrid/>
          <w:color w:val="auto"/>
          <w:kern w:val="2"/>
          <w:sz w:val="22"/>
          <w:szCs w:val="24"/>
          <w14:ligatures w14:val="standardContextual"/>
        </w:rPr>
        <w:tab/>
      </w:r>
      <w:r>
        <w:rPr>
          <w:rStyle w:val="20"/>
          <w:rFonts w:hint="eastAsia"/>
          <w:spacing w:val="20"/>
        </w:rPr>
        <w:t>建立绩效追踪机制，完善债券资金管理水平</w:t>
      </w:r>
      <w:r>
        <w:rPr>
          <w:rFonts w:hint="eastAsia"/>
        </w:rPr>
        <w:tab/>
      </w:r>
      <w:r>
        <w:rPr>
          <w:rFonts w:hint="eastAsia"/>
        </w:rPr>
        <w:fldChar w:fldCharType="begin"/>
      </w:r>
      <w:r>
        <w:rPr>
          <w:rFonts w:hint="eastAsia"/>
        </w:rPr>
        <w:instrText xml:space="preserve"> </w:instrText>
      </w:r>
      <w:r>
        <w:instrText xml:space="preserve">PAGEREF _Toc201739200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18B1DB49">
      <w:pPr>
        <w:pStyle w:val="15"/>
        <w:tabs>
          <w:tab w:val="left" w:pos="1260"/>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"_Toc201739201" </w:instrText>
      </w:r>
      <w:r>
        <w:fldChar w:fldCharType="separate"/>
      </w:r>
      <w:r>
        <w:rPr>
          <w:rStyle w:val="20"/>
          <w:rFonts w:hint="eastAsia"/>
          <w:spacing w:val="20"/>
        </w:rPr>
        <w:t>2、</w:t>
      </w:r>
      <w:r>
        <w:rPr>
          <w:rFonts w:hint="eastAsia" w:asciiTheme="minorHAnsi" w:hAnsiTheme="minorHAnsi" w:cstheme="minorBidi"/>
          <w:snapToGrid/>
          <w:color w:val="auto"/>
          <w:kern w:val="2"/>
          <w:sz w:val="22"/>
          <w:szCs w:val="24"/>
          <w14:ligatures w14:val="standardContextual"/>
        </w:rPr>
        <w:tab/>
      </w:r>
      <w:r>
        <w:rPr>
          <w:rStyle w:val="20"/>
          <w:rFonts w:hint="eastAsia"/>
          <w:spacing w:val="20"/>
        </w:rPr>
        <w:t>强化工程项目管理，提高专项资金使用效率</w:t>
      </w:r>
      <w:r>
        <w:rPr>
          <w:rFonts w:hint="eastAsia"/>
        </w:rPr>
        <w:tab/>
      </w:r>
      <w:r>
        <w:rPr>
          <w:rFonts w:hint="eastAsia"/>
        </w:rPr>
        <w:fldChar w:fldCharType="begin"/>
      </w:r>
      <w:r>
        <w:rPr>
          <w:rFonts w:hint="eastAsia"/>
        </w:rPr>
        <w:instrText xml:space="preserve"> </w:instrText>
      </w:r>
      <w:r>
        <w:instrText xml:space="preserve">PAGEREF _Toc201739201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A3632FE">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"_Toc201739202" </w:instrText>
      </w:r>
      <w:r>
        <w:fldChar w:fldCharType="separate"/>
      </w:r>
      <w:r>
        <w:rPr>
          <w:rStyle w:val="20"/>
          <w:rFonts w:hint="eastAsia"/>
        </w:rPr>
        <w:t>六、 其他需说明的情况</w:t>
      </w:r>
      <w:r>
        <w:rPr>
          <w:rFonts w:hint="eastAsia"/>
        </w:rPr>
        <w:tab/>
      </w:r>
      <w:r>
        <w:rPr>
          <w:rFonts w:hint="eastAsia"/>
        </w:rPr>
        <w:fldChar w:fldCharType="begin"/>
      </w:r>
      <w:r>
        <w:rPr>
          <w:rFonts w:hint="eastAsia"/>
        </w:rPr>
        <w:instrText xml:space="preserve"> </w:instrText>
      </w:r>
      <w:r>
        <w:instrText xml:space="preserve">PAGEREF _Toc201739202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0C4F3250">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"_Toc201739203" </w:instrText>
      </w:r>
      <w:r>
        <w:fldChar w:fldCharType="separate"/>
      </w:r>
      <w:r>
        <w:rPr>
          <w:rStyle w:val="20"/>
          <w:rFonts w:hint="eastAsia" w:ascii="宋体" w:hAnsi="宋体" w:eastAsia="宋体" w:cs="宋体"/>
          <w:spacing w:val="1"/>
          <w14:textOutline w14:w="4356" w14:cap="sq" w14:cmpd="sng" w14:algn="ctr">
            <w14:solidFill>
              <w14:srgbClr w14:val="000000"/>
            </w14:solidFill>
            <w14:prstDash w14:val="solid"/>
            <w14:bevel/>
          </w14:textOutline>
        </w:rPr>
        <w:t>附件</w:t>
      </w:r>
      <w:r>
        <w:rPr>
          <w:rStyle w:val="20"/>
          <w:rFonts w:hint="eastAsia" w:ascii="宋体" w:hAnsi="宋体" w:eastAsia="宋体" w:cs="宋体"/>
          <w:spacing w:val="1"/>
        </w:rPr>
        <w:t xml:space="preserve"> </w:t>
      </w:r>
      <w:r>
        <w:rPr>
          <w:rStyle w:val="20"/>
          <w:rFonts w:hint="eastAsia" w:ascii="宋体" w:hAnsi="宋体" w:eastAsia="宋体" w:cs="宋体"/>
          <w:spacing w:val="1"/>
          <w14:textOutline w14:w="4356" w14:cap="sq" w14:cmpd="sng" w14:algn="ctr">
            <w14:solidFill>
              <w14:srgbClr w14:val="000000"/>
            </w14:solidFill>
            <w14:prstDash w14:val="solid"/>
            <w14:bevel/>
          </w14:textOutline>
        </w:rPr>
        <w:t>1：综</w:t>
      </w:r>
      <w:r>
        <w:rPr>
          <w:rStyle w:val="20"/>
          <w:rFonts w:hint="eastAsia" w:ascii="宋体" w:hAnsi="宋体" w:eastAsia="宋体" w:cs="宋体"/>
          <w14:textOutline w14:w="4356" w14:cap="sq" w14:cmpd="sng" w14:algn="ctr">
            <w14:solidFill>
              <w14:srgbClr w14:val="000000"/>
            </w14:solidFill>
            <w14:prstDash w14:val="solid"/>
            <w14:bevel/>
          </w14:textOutline>
        </w:rPr>
        <w:t>合评价表</w:t>
      </w:r>
      <w:r>
        <w:rPr>
          <w:rFonts w:hint="eastAsia"/>
        </w:rPr>
        <w:tab/>
      </w:r>
      <w:r>
        <w:rPr>
          <w:rFonts w:hint="eastAsia"/>
        </w:rPr>
        <w:fldChar w:fldCharType="begin"/>
      </w:r>
      <w:r>
        <w:rPr>
          <w:rFonts w:hint="eastAsia"/>
        </w:rPr>
        <w:instrText xml:space="preserve"> </w:instrText>
      </w:r>
      <w:r>
        <w:instrText xml:space="preserve">PAGEREF _Toc201739203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549DA3D">
      <w:pPr>
        <w:pStyle w:val="12"/>
        <w:tabs>
          <w:tab w:val="right" w:leader="dot" w:pos="9157"/>
        </w:tabs>
        <w:rPr>
          <w:rFonts w:asciiTheme="minorHAnsi" w:hAnsiTheme="minorHAnsi" w:cstheme="minorBidi"/>
          <w:snapToGrid/>
          <w:color w:val="auto"/>
          <w:kern w:val="2"/>
          <w:sz w:val="22"/>
          <w:szCs w:val="24"/>
          <w14:ligatures w14:val="standardContextual"/>
        </w:rPr>
      </w:pPr>
      <w:r>
        <w:fldChar w:fldCharType="begin"/>
      </w:r>
      <w:r>
        <w:instrText xml:space="preserve"> HYPERLINK \l "_Toc201739204" </w:instrText>
      </w:r>
      <w:r>
        <w:fldChar w:fldCharType="separate"/>
      </w:r>
      <w:r>
        <w:rPr>
          <w:rStyle w:val="20"/>
          <w:rFonts w:hint="eastAsia" w:ascii="宋体" w:hAnsi="宋体" w:eastAsia="宋体" w:cs="宋体"/>
          <w:spacing w:val="1"/>
          <w14:textOutline w14:w="4356" w14:cap="sq" w14:cmpd="sng" w14:algn="ctr">
            <w14:solidFill>
              <w14:srgbClr w14:val="000000"/>
            </w14:solidFill>
            <w14:prstDash w14:val="solid"/>
            <w14:bevel/>
          </w14:textOutline>
        </w:rPr>
        <w:t>附件</w:t>
      </w:r>
      <w:r>
        <w:rPr>
          <w:rStyle w:val="20"/>
          <w:rFonts w:hint="eastAsia" w:ascii="宋体" w:hAnsi="宋体" w:eastAsia="宋体" w:cs="宋体"/>
          <w:spacing w:val="1"/>
        </w:rPr>
        <w:t xml:space="preserve"> </w:t>
      </w:r>
      <w:r>
        <w:rPr>
          <w:rStyle w:val="20"/>
          <w:rFonts w:hint="eastAsia" w:ascii="宋体" w:hAnsi="宋体" w:eastAsia="宋体" w:cs="宋体"/>
          <w:spacing w:val="1"/>
          <w14:textOutline w14:w="4356" w14:cap="sq" w14:cmpd="sng" w14:algn="ctr">
            <w14:solidFill>
              <w14:srgbClr w14:val="000000"/>
            </w14:solidFill>
            <w14:prstDash w14:val="solid"/>
            <w14:bevel/>
          </w14:textOutline>
        </w:rPr>
        <w:t>2：绩效评价指标体系</w:t>
      </w:r>
      <w:r>
        <w:rPr>
          <w:rFonts w:hint="eastAsia"/>
        </w:rPr>
        <w:tab/>
      </w:r>
      <w:r>
        <w:rPr>
          <w:rFonts w:hint="eastAsia"/>
        </w:rPr>
        <w:fldChar w:fldCharType="begin"/>
      </w:r>
      <w:r>
        <w:rPr>
          <w:rFonts w:hint="eastAsia"/>
        </w:rPr>
        <w:instrText xml:space="preserve"> </w:instrText>
      </w:r>
      <w:r>
        <w:instrText xml:space="preserve">PAGEREF _Toc201739204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552A133D">
      <w:pPr>
        <w:jc w:val="both"/>
      </w:pPr>
      <w:r>
        <w:fldChar w:fldCharType="end"/>
      </w:r>
    </w:p>
    <w:p w14:paraId="4B8D2789">
      <w:pPr>
        <w:jc w:val="both"/>
      </w:pPr>
    </w:p>
    <w:p w14:paraId="30FF0556">
      <w:pPr>
        <w:jc w:val="both"/>
      </w:pPr>
      <w:bookmarkStart w:id="0" w:name="_bookmark1"/>
      <w:bookmarkEnd w:id="0"/>
      <w:bookmarkStart w:id="1" w:name="_Toc22145"/>
      <w:bookmarkStart w:id="2" w:name="_Toc32024"/>
      <w:r>
        <w:rPr>
          <w:rFonts w:hint="eastAsia"/>
        </w:rPr>
        <w:t xml:space="preserve">                                                           </w:t>
      </w:r>
    </w:p>
    <w:p w14:paraId="0B5AD964">
      <w:pPr>
        <w:pStyle w:val="2"/>
      </w:pPr>
    </w:p>
    <w:p w14:paraId="7236B618"/>
    <w:p w14:paraId="3FCA281F">
      <w:pPr>
        <w:pStyle w:val="2"/>
      </w:pPr>
    </w:p>
    <w:p w14:paraId="383F0E55"/>
    <w:p w14:paraId="4BED9CC3"/>
    <w:p w14:paraId="77BD07CB">
      <w:pPr>
        <w:pStyle w:val="2"/>
      </w:pPr>
    </w:p>
    <w:p w14:paraId="2DEC637F"/>
    <w:p w14:paraId="1E7F674B">
      <w:pPr>
        <w:pStyle w:val="2"/>
      </w:pPr>
    </w:p>
    <w:p w14:paraId="5BC9CBA7"/>
    <w:p w14:paraId="196F0485">
      <w:pPr>
        <w:pStyle w:val="2"/>
      </w:pPr>
    </w:p>
    <w:p w14:paraId="3B1D7AFC"/>
    <w:p w14:paraId="30741820">
      <w:pPr>
        <w:pStyle w:val="2"/>
      </w:pPr>
    </w:p>
    <w:p w14:paraId="34ED920C"/>
    <w:p w14:paraId="7FA550B2">
      <w:pPr>
        <w:tabs>
          <w:tab w:val="left" w:pos="4360"/>
          <w:tab w:val="left" w:pos="5300"/>
        </w:tabs>
        <w:ind w:firstLine="2940" w:firstLineChars="1400"/>
        <w:jc w:val="both"/>
      </w:pPr>
      <w:r>
        <w:rPr>
          <w:rFonts w:hint="eastAsia"/>
        </w:rPr>
        <w:t xml:space="preserve">     </w:t>
      </w:r>
      <w:r>
        <w:tab/>
      </w:r>
      <w:r>
        <w:tab/>
      </w:r>
    </w:p>
    <w:p w14:paraId="47BCA3B7">
      <w:pPr>
        <w:jc w:val="center"/>
        <w:outlineLvl w:val="0"/>
        <w:rPr>
          <w:rFonts w:hint="eastAsia" w:ascii="宋体" w:hAnsi="宋体" w:eastAsia="宋体" w:cs="宋体"/>
          <w:b/>
          <w:bCs/>
          <w:spacing w:val="2"/>
          <w:sz w:val="36"/>
          <w:szCs w:val="36"/>
        </w:rPr>
      </w:pPr>
      <w:bookmarkStart w:id="3" w:name="_Toc201739178"/>
      <w:r>
        <w:rPr>
          <w:rFonts w:hint="eastAsia" w:ascii="宋体" w:hAnsi="宋体" w:eastAsia="宋体" w:cs="宋体"/>
          <w:b/>
          <w:bCs/>
          <w:spacing w:val="2"/>
          <w:sz w:val="36"/>
          <w:szCs w:val="36"/>
        </w:rPr>
        <w:t>摘    要</w:t>
      </w:r>
      <w:bookmarkEnd w:id="1"/>
      <w:bookmarkEnd w:id="2"/>
      <w:bookmarkEnd w:id="3"/>
    </w:p>
    <w:p w14:paraId="7F284CE3">
      <w:pPr>
        <w:pStyle w:val="2"/>
        <w:jc w:val="both"/>
      </w:pPr>
    </w:p>
    <w:p w14:paraId="6B699C1B">
      <w:pPr>
        <w:spacing w:line="356" w:lineRule="auto"/>
        <w:jc w:val="both"/>
      </w:pPr>
    </w:p>
    <w:p w14:paraId="511A33E5">
      <w:pPr>
        <w:numPr>
          <w:ilvl w:val="0"/>
          <w:numId w:val="3"/>
        </w:numPr>
        <w:spacing w:line="360" w:lineRule="auto"/>
        <w:ind w:firstLine="490" w:firstLineChars="200"/>
        <w:jc w:val="both"/>
        <w:rPr>
          <w:rFonts w:hint="eastAsia" w:ascii="宋体" w:hAnsi="宋体" w:eastAsia="宋体" w:cs="宋体"/>
          <w:b/>
          <w:bCs/>
          <w:sz w:val="24"/>
          <w:szCs w:val="24"/>
        </w:rPr>
      </w:pPr>
      <w:r>
        <w:rPr>
          <w:rFonts w:hint="eastAsia" w:ascii="宋体" w:hAnsi="宋体" w:eastAsia="宋体" w:cs="宋体"/>
          <w:b/>
          <w:bCs/>
          <w:spacing w:val="2"/>
          <w:sz w:val="24"/>
          <w:szCs w:val="24"/>
        </w:rPr>
        <w:t>项目基本情况</w:t>
      </w:r>
    </w:p>
    <w:p w14:paraId="0371A1A6">
      <w:pPr>
        <w:spacing w:line="360" w:lineRule="auto"/>
        <w:ind w:firstLine="480" w:firstLineChars="200"/>
        <w:jc w:val="both"/>
        <w:rPr>
          <w:rFonts w:hint="eastAsia" w:asciiTheme="minorEastAsia" w:hAnsiTheme="minorEastAsia"/>
          <w:spacing w:val="-14"/>
          <w:sz w:val="24"/>
          <w:szCs w:val="24"/>
        </w:rPr>
      </w:pPr>
      <w:r>
        <w:rPr>
          <w:rFonts w:hint="eastAsia" w:asciiTheme="minorEastAsia" w:hAnsiTheme="minorEastAsia"/>
          <w:sz w:val="24"/>
          <w:szCs w:val="24"/>
        </w:rPr>
        <w:t>国务院关于印发《中国制造2025》的通知（国发〔2015〕28号）指出：“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w:t>
      </w:r>
    </w:p>
    <w:p w14:paraId="669403DE">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近年来，吉林省实施多项举措，印发《中国制造2025吉林实施纲要》，科学谋划和全力推动装备制造业健康和可持续发展，坚持以高端装备为引领促进产业结构调整，带动产业转型升级。为进一步推进实施规划方案，加快智能装备汽车产业链等领域的研发、孵化及生产能力，长春国创智能装备产业发展有限公司申请地方政府专项债券资金用于中韩（长春）国际合作示范区智能装备孵化基地项目。</w:t>
      </w:r>
    </w:p>
    <w:p w14:paraId="497C4478">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智能装备孵化基地项目是为落实“一带一路”等国家、吉林省、长春市和中韩国际合作示范区发展的总体战略，依托长春市装备制造业的良好基础，结合中韩两国智能装备产业发展的优势，加快智能装备行业集聚发展和增强区域经济竞争力，提出本项目建设。项目主要聚焦于机器人（工业机器人和服务机器人）、工业互联网、汽车智能生产线等领域的研发、孵化及生产。</w:t>
      </w:r>
    </w:p>
    <w:p w14:paraId="08AC2731">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资金筹措方案</w:t>
      </w:r>
    </w:p>
    <w:p w14:paraId="565C66B4">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中韩（长春）国际合作示范区智能装备孵化基地项目分两期建设，根据关于中韩（长春）国际合作示范区智能装备孵化基地项目初步设计的批复中韩发改审批字</w:t>
      </w:r>
      <w:r>
        <w:rPr>
          <w:rFonts w:hint="eastAsia" w:asciiTheme="minorEastAsia" w:hAnsiTheme="minorEastAsia"/>
          <w:sz w:val="24"/>
          <w:szCs w:val="24"/>
          <w:lang w:eastAsia="zh-CN"/>
        </w:rPr>
        <w:t>〔2022〕11号</w:t>
      </w:r>
      <w:r>
        <w:rPr>
          <w:rFonts w:hint="eastAsia" w:asciiTheme="minorEastAsia" w:hAnsiTheme="minorEastAsia"/>
          <w:sz w:val="24"/>
          <w:szCs w:val="24"/>
        </w:rPr>
        <w:t>，项目总投资35,433.62万元，其中申请专项债券25,800.00万元，占总投资比例72.81%；自有资金投入</w:t>
      </w:r>
      <w:r>
        <w:rPr>
          <w:rFonts w:asciiTheme="minorEastAsia" w:hAnsiTheme="minorEastAsia"/>
          <w:sz w:val="24"/>
          <w:szCs w:val="24"/>
        </w:rPr>
        <w:t>9,633.62</w:t>
      </w:r>
      <w:r>
        <w:rPr>
          <w:rFonts w:hint="eastAsia" w:asciiTheme="minorEastAsia" w:hAnsiTheme="minorEastAsia"/>
          <w:sz w:val="24"/>
          <w:szCs w:val="24"/>
        </w:rPr>
        <w:t>万元，占总投资比例27.19%。</w:t>
      </w:r>
    </w:p>
    <w:p w14:paraId="58399ADC">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资金投入及使用情况</w:t>
      </w:r>
    </w:p>
    <w:p w14:paraId="312B3323">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截至2024年12月30日共下达长春国创智能装备产业发展有限公司地方政府专项债券资金－中韩（长春）国际合作示范区智能装备孵化基地项目专项债券资金13,200.00万元，发债年限30年，年利率3.43%。</w:t>
      </w:r>
    </w:p>
    <w:p w14:paraId="657A66CE">
      <w:pPr>
        <w:spacing w:line="360" w:lineRule="auto"/>
        <w:ind w:firstLine="560" w:firstLineChars="200"/>
        <w:jc w:val="both"/>
        <w:rPr>
          <w:rFonts w:hint="eastAsia" w:ascii="宋体" w:hAnsi="宋体" w:eastAsia="宋体" w:cs="宋体"/>
          <w:spacing w:val="20"/>
          <w:sz w:val="24"/>
          <w:szCs w:val="23"/>
        </w:rPr>
      </w:pPr>
      <w:r>
        <w:rPr>
          <w:rFonts w:hint="eastAsia" w:ascii="宋体" w:hAnsi="宋体" w:eastAsia="宋体" w:cs="宋体"/>
          <w:spacing w:val="20"/>
          <w:sz w:val="24"/>
          <w:szCs w:val="23"/>
        </w:rPr>
        <w:t>专项债券主要用于项目建设工程款支出，截至2024年末支出11,754.09万元，资金使用率89.05%；截至目前，该项目已完成一期工程建设，共计支出专项债券资金11,754.09万元，剩余1,445.91万元。</w:t>
      </w:r>
    </w:p>
    <w:p w14:paraId="7AD56C50">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评价结论</w:t>
      </w:r>
    </w:p>
    <w:p w14:paraId="13704950">
      <w:pPr>
        <w:spacing w:line="360" w:lineRule="auto"/>
        <w:ind w:firstLine="512" w:firstLineChars="200"/>
        <w:jc w:val="both"/>
        <w:rPr>
          <w:rFonts w:hint="eastAsia" w:ascii="宋体" w:hAnsi="宋体" w:eastAsia="宋体" w:cs="宋体"/>
          <w:spacing w:val="4"/>
          <w:sz w:val="24"/>
          <w:szCs w:val="24"/>
        </w:rPr>
      </w:pPr>
      <w:r>
        <w:rPr>
          <w:rFonts w:hint="eastAsia" w:ascii="宋体" w:hAnsi="宋体" w:eastAsia="宋体" w:cs="宋体"/>
          <w:spacing w:val="8"/>
          <w:sz w:val="24"/>
          <w:szCs w:val="24"/>
        </w:rPr>
        <w:t>中韩（长春）国际合作示范区智能装备孵化基地项目</w:t>
      </w:r>
      <w:r>
        <w:rPr>
          <w:rFonts w:ascii="宋体" w:hAnsi="宋体" w:eastAsia="宋体" w:cs="宋体"/>
          <w:spacing w:val="4"/>
          <w:sz w:val="24"/>
          <w:szCs w:val="24"/>
        </w:rPr>
        <w:t>，</w:t>
      </w:r>
      <w:r>
        <w:rPr>
          <w:rFonts w:hint="eastAsia" w:ascii="宋体" w:hAnsi="宋体" w:eastAsia="宋体" w:cs="宋体"/>
          <w:spacing w:val="4"/>
          <w:sz w:val="24"/>
          <w:szCs w:val="24"/>
        </w:rPr>
        <w:t>绩效评价分值</w:t>
      </w:r>
      <w:r>
        <w:rPr>
          <w:rFonts w:ascii="宋体" w:hAnsi="宋体" w:eastAsia="宋体" w:cs="宋体"/>
          <w:spacing w:val="4"/>
          <w:sz w:val="24"/>
          <w:szCs w:val="24"/>
        </w:rPr>
        <w:t>为</w:t>
      </w:r>
      <w:r>
        <w:rPr>
          <w:rFonts w:hint="eastAsia" w:ascii="宋体" w:hAnsi="宋体" w:eastAsia="宋体" w:cs="宋体"/>
          <w:spacing w:val="4"/>
          <w:sz w:val="24"/>
          <w:szCs w:val="24"/>
        </w:rPr>
        <w:t>85.37</w:t>
      </w:r>
      <w:r>
        <w:rPr>
          <w:rFonts w:ascii="宋体" w:hAnsi="宋体" w:eastAsia="宋体" w:cs="宋体"/>
          <w:spacing w:val="4"/>
          <w:sz w:val="24"/>
          <w:szCs w:val="24"/>
        </w:rPr>
        <w:t>分，属于“良好”等级。</w:t>
      </w:r>
      <w:r>
        <w:rPr>
          <w:rFonts w:ascii="宋体" w:hAnsi="宋体" w:eastAsia="宋体" w:cs="宋体"/>
          <w:spacing w:val="14"/>
          <w:sz w:val="24"/>
          <w:szCs w:val="24"/>
        </w:rPr>
        <w:t>总</w:t>
      </w:r>
      <w:r>
        <w:rPr>
          <w:rFonts w:ascii="宋体" w:hAnsi="宋体" w:eastAsia="宋体" w:cs="宋体"/>
          <w:spacing w:val="8"/>
          <w:sz w:val="24"/>
          <w:szCs w:val="24"/>
        </w:rPr>
        <w:t>体评价指标分值及得分情况如下：</w:t>
      </w:r>
    </w:p>
    <w:p w14:paraId="687F494D">
      <w:pPr>
        <w:spacing w:before="100" w:line="360" w:lineRule="auto"/>
        <w:jc w:val="center"/>
        <w:rPr>
          <w:rFonts w:hint="eastAsia" w:ascii="宋体" w:hAnsi="宋体" w:eastAsia="宋体" w:cs="宋体"/>
          <w:spacing w:val="8"/>
          <w:sz w:val="24"/>
          <w:szCs w:val="24"/>
        </w:rPr>
      </w:pPr>
      <w:r>
        <w:rPr>
          <w:rFonts w:hint="eastAsia" w:ascii="宋体" w:hAnsi="宋体" w:eastAsia="宋体" w:cs="宋体"/>
          <w:spacing w:val="8"/>
          <w:sz w:val="24"/>
          <w:szCs w:val="24"/>
        </w:rPr>
        <w:t>中韩（长春）国际合作示范区智能装备孵化基地项目</w:t>
      </w:r>
    </w:p>
    <w:p w14:paraId="779D629A">
      <w:pPr>
        <w:spacing w:before="100" w:line="360" w:lineRule="auto"/>
        <w:ind w:left="1412" w:firstLine="2176" w:firstLineChars="800"/>
        <w:jc w:val="both"/>
        <w:rPr>
          <w:rFonts w:hint="eastAsia" w:ascii="宋体" w:hAnsi="宋体" w:eastAsia="宋体" w:cs="宋体"/>
          <w:spacing w:val="16"/>
          <w:sz w:val="24"/>
          <w:szCs w:val="24"/>
        </w:rPr>
      </w:pPr>
      <w:r>
        <w:rPr>
          <w:rFonts w:ascii="宋体" w:hAnsi="宋体" w:eastAsia="宋体" w:cs="宋体"/>
          <w:spacing w:val="16"/>
          <w:sz w:val="24"/>
          <w:szCs w:val="24"/>
        </w:rPr>
        <w:t>绩效评价得分情况表</w:t>
      </w:r>
    </w:p>
    <w:tbl>
      <w:tblPr>
        <w:tblStyle w:val="2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5"/>
        <w:gridCol w:w="2291"/>
        <w:gridCol w:w="2291"/>
        <w:gridCol w:w="2296"/>
      </w:tblGrid>
      <w:tr w14:paraId="2114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251" w:type="pct"/>
          </w:tcPr>
          <w:p w14:paraId="4CE215C5">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一级指标</w:t>
            </w:r>
          </w:p>
        </w:tc>
        <w:tc>
          <w:tcPr>
            <w:tcW w:w="1249" w:type="pct"/>
          </w:tcPr>
          <w:p w14:paraId="0723BA22">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分值</w:t>
            </w:r>
          </w:p>
        </w:tc>
        <w:tc>
          <w:tcPr>
            <w:tcW w:w="1249" w:type="pct"/>
          </w:tcPr>
          <w:p w14:paraId="724652AC">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得分</w:t>
            </w:r>
          </w:p>
        </w:tc>
        <w:tc>
          <w:tcPr>
            <w:tcW w:w="1251" w:type="pct"/>
          </w:tcPr>
          <w:p w14:paraId="4A438BC0">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得分率%</w:t>
            </w:r>
          </w:p>
        </w:tc>
      </w:tr>
      <w:tr w14:paraId="3C336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59D92544">
            <w:pPr>
              <w:spacing w:before="248" w:line="360" w:lineRule="auto"/>
              <w:jc w:val="center"/>
              <w:rPr>
                <w:rFonts w:hint="eastAsia" w:ascii="宋体" w:hAnsi="宋体" w:eastAsia="宋体" w:cs="宋体"/>
                <w:sz w:val="24"/>
                <w:szCs w:val="24"/>
              </w:rPr>
            </w:pPr>
            <w:r>
              <w:rPr>
                <w:rFonts w:hint="eastAsia" w:ascii="宋体" w:hAnsi="宋体" w:eastAsia="宋体" w:cs="宋体"/>
                <w:b/>
                <w:bCs/>
                <w:sz w:val="24"/>
                <w:szCs w:val="24"/>
              </w:rPr>
              <w:t>A</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决策</w:t>
            </w:r>
          </w:p>
        </w:tc>
        <w:tc>
          <w:tcPr>
            <w:tcW w:w="1249" w:type="pct"/>
          </w:tcPr>
          <w:p w14:paraId="2E31A793">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20</w:t>
            </w:r>
          </w:p>
        </w:tc>
        <w:tc>
          <w:tcPr>
            <w:tcW w:w="1249" w:type="pct"/>
          </w:tcPr>
          <w:p w14:paraId="34452DD2">
            <w:pPr>
              <w:spacing w:before="256"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251" w:type="pct"/>
          </w:tcPr>
          <w:p w14:paraId="367B4CC7">
            <w:pPr>
              <w:spacing w:before="256" w:line="360" w:lineRule="auto"/>
              <w:jc w:val="center"/>
              <w:rPr>
                <w:rFonts w:hint="eastAsia" w:ascii="宋体" w:hAnsi="宋体" w:eastAsia="宋体" w:cs="宋体"/>
                <w:sz w:val="24"/>
                <w:szCs w:val="24"/>
              </w:rPr>
            </w:pPr>
            <w:r>
              <w:rPr>
                <w:rFonts w:hint="eastAsia" w:ascii="宋体" w:hAnsi="宋体" w:eastAsia="宋体" w:cs="宋体"/>
                <w:sz w:val="24"/>
                <w:szCs w:val="24"/>
              </w:rPr>
              <w:t>60</w:t>
            </w:r>
            <w:r>
              <w:rPr>
                <w:rFonts w:hint="eastAsia" w:ascii="宋体" w:hAnsi="宋体" w:eastAsia="宋体" w:cs="宋体"/>
                <w:sz w:val="24"/>
                <w:szCs w:val="24"/>
                <w:lang w:val="en-US" w:eastAsia="zh-CN"/>
              </w:rPr>
              <w:t>.00</w:t>
            </w:r>
            <w:r>
              <w:rPr>
                <w:rFonts w:hint="eastAsia" w:ascii="宋体" w:hAnsi="宋体" w:eastAsia="宋体" w:cs="宋体"/>
                <w:sz w:val="24"/>
                <w:szCs w:val="24"/>
              </w:rPr>
              <w:t>%</w:t>
            </w:r>
          </w:p>
        </w:tc>
      </w:tr>
      <w:tr w14:paraId="5E559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2E4543B2">
            <w:pPr>
              <w:spacing w:before="247" w:line="360" w:lineRule="auto"/>
              <w:jc w:val="center"/>
              <w:rPr>
                <w:rFonts w:hint="eastAsia" w:ascii="宋体" w:hAnsi="宋体" w:eastAsia="宋体" w:cs="宋体"/>
                <w:sz w:val="24"/>
                <w:szCs w:val="24"/>
              </w:rPr>
            </w:pPr>
            <w:r>
              <w:rPr>
                <w:rFonts w:hint="eastAsia" w:ascii="宋体" w:hAnsi="宋体" w:eastAsia="宋体" w:cs="宋体"/>
                <w:b/>
                <w:bCs/>
                <w:spacing w:val="-1"/>
                <w:sz w:val="24"/>
                <w:szCs w:val="24"/>
              </w:rPr>
              <w:t>B</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3263" w14:cap="sq" w14:cmpd="sng" w14:algn="ctr">
                  <w14:solidFill>
                    <w14:srgbClr w14:val="000000"/>
                  </w14:solidFill>
                  <w14:prstDash w14:val="solid"/>
                  <w14:bevel/>
                </w14:textOutline>
              </w:rPr>
              <w:t>过</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程</w:t>
            </w:r>
          </w:p>
        </w:tc>
        <w:tc>
          <w:tcPr>
            <w:tcW w:w="1249" w:type="pct"/>
          </w:tcPr>
          <w:p w14:paraId="61A1C5AD">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25</w:t>
            </w:r>
          </w:p>
        </w:tc>
        <w:tc>
          <w:tcPr>
            <w:tcW w:w="1249" w:type="pct"/>
          </w:tcPr>
          <w:p w14:paraId="4839E210">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18.37</w:t>
            </w:r>
          </w:p>
        </w:tc>
        <w:tc>
          <w:tcPr>
            <w:tcW w:w="1251" w:type="pct"/>
          </w:tcPr>
          <w:p w14:paraId="1D81E756">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73.48%</w:t>
            </w:r>
          </w:p>
        </w:tc>
      </w:tr>
      <w:tr w14:paraId="3928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0C7E5944">
            <w:pPr>
              <w:spacing w:before="250" w:line="360" w:lineRule="auto"/>
              <w:jc w:val="center"/>
              <w:rPr>
                <w:rFonts w:hint="eastAsia" w:ascii="宋体" w:hAnsi="宋体" w:eastAsia="宋体" w:cs="宋体"/>
                <w:sz w:val="24"/>
                <w:szCs w:val="24"/>
              </w:rPr>
            </w:pPr>
            <w:r>
              <w:rPr>
                <w:rFonts w:hint="eastAsia" w:ascii="宋体" w:hAnsi="宋体" w:eastAsia="宋体" w:cs="宋体"/>
                <w:b/>
                <w:bCs/>
                <w:sz w:val="24"/>
                <w:szCs w:val="24"/>
              </w:rPr>
              <w:t>C</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产</w:t>
            </w:r>
            <w:r>
              <w:rPr>
                <w:rFonts w:hint="eastAsia" w:ascii="宋体" w:hAnsi="宋体" w:eastAsia="宋体" w:cs="宋体"/>
                <w:sz w:val="24"/>
                <w:szCs w:val="24"/>
                <w14:textOutline w14:w="3263" w14:cap="sq" w14:cmpd="sng" w14:algn="ctr">
                  <w14:solidFill>
                    <w14:srgbClr w14:val="000000"/>
                  </w14:solidFill>
                  <w14:prstDash w14:val="solid"/>
                  <w14:bevel/>
                </w14:textOutline>
              </w:rPr>
              <w:t>出</w:t>
            </w:r>
          </w:p>
        </w:tc>
        <w:tc>
          <w:tcPr>
            <w:tcW w:w="1249" w:type="pct"/>
          </w:tcPr>
          <w:p w14:paraId="636CB904">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30</w:t>
            </w:r>
          </w:p>
        </w:tc>
        <w:tc>
          <w:tcPr>
            <w:tcW w:w="1249" w:type="pct"/>
          </w:tcPr>
          <w:p w14:paraId="65CEE43A">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1251" w:type="pct"/>
          </w:tcPr>
          <w:p w14:paraId="2B522353">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100</w:t>
            </w:r>
            <w:r>
              <w:rPr>
                <w:rFonts w:hint="eastAsia" w:ascii="宋体" w:hAnsi="宋体" w:eastAsia="宋体" w:cs="宋体"/>
                <w:sz w:val="24"/>
                <w:szCs w:val="24"/>
                <w:lang w:val="en-US" w:eastAsia="zh-CN"/>
              </w:rPr>
              <w:t>.00</w:t>
            </w:r>
            <w:r>
              <w:rPr>
                <w:rFonts w:hint="eastAsia" w:ascii="宋体" w:hAnsi="宋体" w:eastAsia="宋体" w:cs="宋体"/>
                <w:sz w:val="24"/>
                <w:szCs w:val="24"/>
              </w:rPr>
              <w:t>%</w:t>
            </w:r>
          </w:p>
        </w:tc>
      </w:tr>
      <w:tr w14:paraId="5779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1F5F2326">
            <w:pPr>
              <w:spacing w:before="250" w:line="360" w:lineRule="auto"/>
              <w:jc w:val="center"/>
              <w:rPr>
                <w:rFonts w:hint="eastAsia" w:ascii="宋体" w:hAnsi="宋体" w:eastAsia="宋体" w:cs="宋体"/>
                <w:sz w:val="24"/>
                <w:szCs w:val="24"/>
              </w:rPr>
            </w:pPr>
            <w:r>
              <w:rPr>
                <w:rFonts w:hint="eastAsia" w:ascii="宋体" w:hAnsi="宋体" w:eastAsia="宋体" w:cs="宋体"/>
                <w:b/>
                <w:bCs/>
                <w:spacing w:val="-10"/>
                <w:sz w:val="24"/>
                <w:szCs w:val="24"/>
              </w:rPr>
              <w:t>D</w:t>
            </w:r>
            <w:r>
              <w:rPr>
                <w:rFonts w:hint="eastAsia" w:ascii="宋体" w:hAnsi="宋体" w:eastAsia="宋体" w:cs="宋体"/>
                <w:spacing w:val="-15"/>
                <w:sz w:val="24"/>
                <w:szCs w:val="24"/>
              </w:rPr>
              <w:t xml:space="preserve"> </w:t>
            </w:r>
            <w:r>
              <w:rPr>
                <w:rFonts w:hint="eastAsia" w:ascii="宋体" w:hAnsi="宋体" w:eastAsia="宋体" w:cs="宋体"/>
                <w:spacing w:val="-10"/>
                <w:sz w:val="24"/>
                <w:szCs w:val="24"/>
                <w14:textOutline w14:w="3263" w14:cap="sq" w14:cmpd="sng" w14:algn="ctr">
                  <w14:solidFill>
                    <w14:srgbClr w14:val="000000"/>
                  </w14:solidFill>
                  <w14:prstDash w14:val="solid"/>
                  <w14:bevel/>
                </w14:textOutline>
              </w:rPr>
              <w:t>可持续性</w:t>
            </w:r>
          </w:p>
        </w:tc>
        <w:tc>
          <w:tcPr>
            <w:tcW w:w="1249" w:type="pct"/>
          </w:tcPr>
          <w:p w14:paraId="28494DF9">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25</w:t>
            </w:r>
          </w:p>
        </w:tc>
        <w:tc>
          <w:tcPr>
            <w:tcW w:w="1249" w:type="pct"/>
          </w:tcPr>
          <w:p w14:paraId="5531B009">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251" w:type="pct"/>
          </w:tcPr>
          <w:p w14:paraId="29C96F16">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100</w:t>
            </w:r>
            <w:r>
              <w:rPr>
                <w:rFonts w:hint="eastAsia" w:ascii="宋体" w:hAnsi="宋体" w:eastAsia="宋体" w:cs="宋体"/>
                <w:sz w:val="24"/>
                <w:szCs w:val="24"/>
                <w:lang w:val="en-US" w:eastAsia="zh-CN"/>
              </w:rPr>
              <w:t>.00</w:t>
            </w:r>
            <w:r>
              <w:rPr>
                <w:rFonts w:hint="eastAsia" w:ascii="宋体" w:hAnsi="宋体" w:eastAsia="宋体" w:cs="宋体"/>
                <w:sz w:val="24"/>
                <w:szCs w:val="24"/>
              </w:rPr>
              <w:t>%</w:t>
            </w:r>
          </w:p>
        </w:tc>
      </w:tr>
      <w:tr w14:paraId="1194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35857A4D">
            <w:pPr>
              <w:spacing w:before="251" w:line="360" w:lineRule="auto"/>
              <w:jc w:val="center"/>
              <w:rPr>
                <w:rFonts w:hint="eastAsia" w:ascii="宋体" w:hAnsi="宋体" w:eastAsia="宋体" w:cs="宋体"/>
                <w:sz w:val="24"/>
                <w:szCs w:val="24"/>
              </w:rPr>
            </w:pPr>
            <w:r>
              <w:rPr>
                <w:rFonts w:hint="eastAsia" w:ascii="宋体" w:hAnsi="宋体" w:eastAsia="宋体" w:cs="宋体"/>
                <w:spacing w:val="-16"/>
                <w:sz w:val="24"/>
                <w:szCs w:val="24"/>
                <w14:textOutline w14:w="3263" w14:cap="sq" w14:cmpd="sng" w14:algn="ctr">
                  <w14:solidFill>
                    <w14:srgbClr w14:val="000000"/>
                  </w14:solidFill>
                  <w14:prstDash w14:val="solid"/>
                  <w14:bevel/>
                </w14:textOutline>
              </w:rPr>
              <w:t>小</w:t>
            </w:r>
            <w:r>
              <w:rPr>
                <w:rFonts w:hint="eastAsia" w:ascii="宋体" w:hAnsi="宋体" w:eastAsia="宋体" w:cs="宋体"/>
                <w:spacing w:val="-15"/>
                <w:sz w:val="24"/>
                <w:szCs w:val="24"/>
                <w14:textOutline w14:w="3263" w14:cap="sq" w14:cmpd="sng" w14:algn="ctr">
                  <w14:solidFill>
                    <w14:srgbClr w14:val="000000"/>
                  </w14:solidFill>
                  <w14:prstDash w14:val="solid"/>
                  <w14:bevel/>
                </w14:textOutline>
              </w:rPr>
              <w:t>计</w:t>
            </w:r>
          </w:p>
        </w:tc>
        <w:tc>
          <w:tcPr>
            <w:tcW w:w="1249" w:type="pct"/>
          </w:tcPr>
          <w:p w14:paraId="5B1ED812">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100</w:t>
            </w:r>
          </w:p>
        </w:tc>
        <w:tc>
          <w:tcPr>
            <w:tcW w:w="1249" w:type="pct"/>
          </w:tcPr>
          <w:p w14:paraId="1E2AD748">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85.37</w:t>
            </w:r>
          </w:p>
        </w:tc>
        <w:tc>
          <w:tcPr>
            <w:tcW w:w="1251" w:type="pct"/>
          </w:tcPr>
          <w:p w14:paraId="2BEAA3FE">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85.37%</w:t>
            </w:r>
          </w:p>
        </w:tc>
      </w:tr>
    </w:tbl>
    <w:p w14:paraId="16F1F428">
      <w:pPr>
        <w:spacing w:line="360" w:lineRule="auto"/>
        <w:ind w:left="598"/>
        <w:jc w:val="both"/>
        <w:outlineLvl w:val="0"/>
        <w:rPr>
          <w:rFonts w:hint="eastAsia" w:ascii="宋体" w:hAnsi="宋体" w:eastAsia="宋体" w:cs="宋体"/>
          <w:spacing w:val="5"/>
          <w:sz w:val="23"/>
          <w:szCs w:val="23"/>
          <w14:textOutline w14:w="4356" w14:cap="sq" w14:cmpd="sng" w14:algn="ctr">
            <w14:solidFill>
              <w14:srgbClr w14:val="000000"/>
            </w14:solidFill>
            <w14:prstDash w14:val="solid"/>
            <w14:bevel/>
          </w14:textOutline>
        </w:rPr>
      </w:pPr>
    </w:p>
    <w:p w14:paraId="39B9D696">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主要绩效</w:t>
      </w:r>
    </w:p>
    <w:p w14:paraId="1DBCA0ED">
      <w:pPr>
        <w:spacing w:line="360" w:lineRule="auto"/>
        <w:ind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截至报告日中韩（长春）国际合作示范区智能装备孵化基地项目一期工程已全部完成，工程质量情况良好，开工及时。已入驻企业1户。入驻企业是安波福电气系统有限公司。安波福电气系统有限公司是一家具有百年历史的跨国经营公司，是全球最大的汽车零部件制造商之一。安波福电气系统有限公司的入驻，对推动吉林省装备制造业的可持续发展起到了积极的作用，进一步推动了区域转型升级、创新发展，提升了区域经济实力。项目的有效实施带动了装备制造及其相关行业上下游产业的发展，带动了周边群众就业及区域发展。</w:t>
      </w:r>
    </w:p>
    <w:p w14:paraId="6530BFA4">
      <w:pPr>
        <w:pStyle w:val="30"/>
        <w:numPr>
          <w:ilvl w:val="0"/>
          <w:numId w:val="0"/>
        </w:numPr>
        <w:spacing w:line="360" w:lineRule="auto"/>
        <w:ind w:firstLine="490" w:firstLineChars="200"/>
        <w:jc w:val="both"/>
        <w:outlineLvl w:val="9"/>
        <w:rPr>
          <w:sz w:val="24"/>
          <w:szCs w:val="24"/>
        </w:rPr>
      </w:pPr>
      <w:r>
        <w:rPr>
          <w:sz w:val="24"/>
          <w:szCs w:val="24"/>
        </w:rPr>
        <w:t>六、存在的问题</w:t>
      </w:r>
    </w:p>
    <w:p w14:paraId="3A5AC517">
      <w:pPr>
        <w:pStyle w:val="32"/>
        <w:spacing w:line="360" w:lineRule="auto"/>
        <w:ind w:firstLine="520"/>
        <w:jc w:val="both"/>
      </w:pPr>
      <w:r>
        <w:t>（一）未建立项目运营期的债券追踪机制</w:t>
      </w:r>
    </w:p>
    <w:p w14:paraId="44AA7152">
      <w:pPr>
        <w:pStyle w:val="29"/>
        <w:numPr>
          <w:ilvl w:val="0"/>
          <w:numId w:val="0"/>
        </w:numPr>
        <w:spacing w:line="360" w:lineRule="auto"/>
        <w:ind w:firstLine="488" w:firstLineChars="200"/>
        <w:jc w:val="both"/>
        <w:outlineLvl w:val="9"/>
      </w:pPr>
      <w:r>
        <w:t>中韩（长春）国际合作示范区智能装备孵化基地项目</w:t>
      </w:r>
      <w:r>
        <w:rPr>
          <w:color w:val="auto"/>
        </w:rPr>
        <w:t>未建立项目运营期专项债券跟踪机制，未对专项债券资金使用情况及偿债付息情况进行动态跟踪。</w:t>
      </w:r>
    </w:p>
    <w:p w14:paraId="699A1DE4">
      <w:pPr>
        <w:pStyle w:val="29"/>
        <w:numPr>
          <w:ilvl w:val="0"/>
          <w:numId w:val="0"/>
        </w:numPr>
        <w:spacing w:line="360" w:lineRule="auto"/>
        <w:ind w:firstLine="560" w:firstLineChars="200"/>
        <w:jc w:val="both"/>
        <w:outlineLvl w:val="9"/>
        <w:rPr>
          <w:spacing w:val="20"/>
          <w:szCs w:val="23"/>
        </w:rPr>
      </w:pPr>
      <w:r>
        <w:rPr>
          <w:spacing w:val="20"/>
          <w:szCs w:val="23"/>
        </w:rPr>
        <w:t>上述行为违反了财政部印</w:t>
      </w:r>
      <w:r>
        <w:rPr>
          <w:rFonts w:hint="eastAsia"/>
          <w:spacing w:val="20"/>
          <w:szCs w:val="23"/>
          <w:lang w:eastAsia="zh-CN"/>
        </w:rPr>
        <w:t>发的</w:t>
      </w:r>
      <w:r>
        <w:rPr>
          <w:spacing w:val="20"/>
          <w:szCs w:val="23"/>
        </w:rPr>
        <w:t>《地方政府专项债券项目资金绩效管理办法》（财预〔2021〕61号）“第十二条 项目主管部门和项目单位应当建立专项债券项目资金绩效跟踪监测机制，对绩效目标实现程度进行动态监控，发现问题及时纠正并告知同级财政部门，提高专项债券资金使用效益，确保绩效目标如期实现。”的规定。</w:t>
      </w:r>
    </w:p>
    <w:p w14:paraId="0A9C7723">
      <w:pPr>
        <w:pStyle w:val="29"/>
        <w:numPr>
          <w:ilvl w:val="0"/>
          <w:numId w:val="0"/>
        </w:numPr>
        <w:spacing w:line="360" w:lineRule="auto"/>
        <w:ind w:firstLine="488" w:firstLineChars="200"/>
        <w:jc w:val="both"/>
        <w:outlineLvl w:val="9"/>
      </w:pPr>
      <w:r>
        <w:t>（二）项目前期准备工作欠缺</w:t>
      </w:r>
    </w:p>
    <w:p w14:paraId="3DEDF5EC">
      <w:pPr>
        <w:pStyle w:val="29"/>
        <w:numPr>
          <w:ilvl w:val="0"/>
          <w:numId w:val="0"/>
        </w:numPr>
        <w:spacing w:line="360" w:lineRule="auto"/>
        <w:ind w:firstLine="560" w:firstLineChars="200"/>
        <w:jc w:val="both"/>
        <w:outlineLvl w:val="9"/>
      </w:pPr>
      <w:r>
        <w:rPr>
          <w:rFonts w:eastAsiaTheme="minorEastAsia"/>
          <w:snapToGrid/>
          <w:spacing w:val="20"/>
          <w:szCs w:val="23"/>
        </w:rPr>
        <w:t>中韩（长春）国际合作示范区智能装备孵化基地项目在初步设计审批未完成的情况下进行了总承包项目发包，另项目施工日期早于施工许可证下发的时间。</w:t>
      </w:r>
    </w:p>
    <w:p w14:paraId="4ED44B18">
      <w:pPr>
        <w:pStyle w:val="29"/>
        <w:numPr>
          <w:ilvl w:val="0"/>
          <w:numId w:val="0"/>
        </w:numPr>
        <w:spacing w:line="360" w:lineRule="auto"/>
        <w:ind w:firstLine="488" w:firstLineChars="200"/>
        <w:jc w:val="both"/>
        <w:outlineLvl w:val="9"/>
        <w:rPr>
          <w:spacing w:val="20"/>
          <w:szCs w:val="23"/>
        </w:rPr>
      </w:pPr>
      <w:r>
        <w:t>上述行为违反了《住房和城乡建设部、国家发展改革委关于印发房屋建筑和市政基础设施项目工程总承包管理办法的通知》建市规</w:t>
      </w:r>
      <w:r>
        <w:rPr>
          <w:rFonts w:hint="eastAsia"/>
          <w:lang w:eastAsia="zh-CN"/>
        </w:rPr>
        <w:t>〔2019〕12号</w:t>
      </w:r>
      <w:r>
        <w:t>文件中规</w:t>
      </w:r>
      <w:r>
        <w:rPr>
          <w:rFonts w:hint="eastAsia"/>
          <w:lang w:eastAsia="zh-CN"/>
        </w:rPr>
        <w:t>定的</w:t>
      </w:r>
      <w:r>
        <w:t>“采用工程总承包方式的政府投资项目，原则上应当在初步设计审批完成后进行工程总承包项目发包”的规定。</w:t>
      </w:r>
    </w:p>
    <w:p w14:paraId="11D3B95C">
      <w:pPr>
        <w:pStyle w:val="32"/>
        <w:spacing w:line="360" w:lineRule="auto"/>
        <w:ind w:firstLine="520"/>
        <w:jc w:val="both"/>
      </w:pPr>
      <w:r>
        <w:t>（三）一期项目未办理竣工财务决算</w:t>
      </w:r>
    </w:p>
    <w:p w14:paraId="3D8B5EE8">
      <w:pPr>
        <w:pStyle w:val="32"/>
        <w:spacing w:line="360" w:lineRule="auto"/>
        <w:ind w:firstLine="520"/>
        <w:jc w:val="both"/>
      </w:pPr>
      <w:r>
        <w:t>截至现场审计时，</w:t>
      </w:r>
      <w:r>
        <w:rPr>
          <w:rStyle w:val="33"/>
        </w:rPr>
        <w:t>中韩（长春）国际合作示范区智能装备孵化基地项目（一期）已由在建工程</w:t>
      </w:r>
      <w:r>
        <w:t>转入固定资产，工程未办理竣工决算。</w:t>
      </w:r>
    </w:p>
    <w:p w14:paraId="17D41858">
      <w:pPr>
        <w:pStyle w:val="32"/>
        <w:spacing w:line="360" w:lineRule="auto"/>
        <w:ind w:firstLine="520"/>
        <w:jc w:val="both"/>
      </w:pPr>
      <w:r>
        <w:t>上述行为违反了财政部《基本建设项目竣工财务决算管理暂行办法》（财建〔2016〕503号）第二条“基本建设项目完工投入使用或者试运行合格后，应当在3个月内编报竣工财务决算，特殊情况确需延长的，中小型项目不得超过2个月，大型项目不得超过6个月”的规定。</w:t>
      </w:r>
    </w:p>
    <w:p w14:paraId="15A0984D">
      <w:pPr>
        <w:pStyle w:val="32"/>
        <w:spacing w:line="360" w:lineRule="auto"/>
        <w:ind w:firstLine="520"/>
        <w:jc w:val="both"/>
      </w:pPr>
      <w:r>
        <w:t>（四）年度资金计划不准确，导致资金闲置</w:t>
      </w:r>
    </w:p>
    <w:p w14:paraId="46B5BF3F">
      <w:pPr>
        <w:pStyle w:val="32"/>
        <w:spacing w:line="360" w:lineRule="auto"/>
        <w:ind w:firstLine="520"/>
        <w:jc w:val="both"/>
      </w:pPr>
      <w:r>
        <w:t>截至2024年末专项债券尚有1,445.91万元在资金账户内。</w:t>
      </w:r>
    </w:p>
    <w:p w14:paraId="0C369191">
      <w:pPr>
        <w:pStyle w:val="32"/>
        <w:spacing w:line="360" w:lineRule="auto"/>
        <w:ind w:firstLine="520"/>
        <w:jc w:val="both"/>
      </w:pPr>
      <w:r>
        <w:t>上述行为违反了财政部《关于进一步做好地方政府债券发行工作的意见》（财库</w:t>
      </w:r>
      <w:r>
        <w:rPr>
          <w:rFonts w:hint="eastAsia"/>
          <w:lang w:eastAsia="zh-CN"/>
        </w:rPr>
        <w:t>〔2020〕36号</w:t>
      </w:r>
      <w:r>
        <w:t>）“四、加强地方债发行项目评估，严防偿付风险（一）地方财政部门应当严格专项债券项目合规性审核和风险把控，加强对拟发债项目的评估，切实保障项目质量，严格落实收支平衡有关要求”的规定。</w:t>
      </w:r>
    </w:p>
    <w:p w14:paraId="34E7EE01">
      <w:pPr>
        <w:pStyle w:val="30"/>
        <w:numPr>
          <w:ilvl w:val="0"/>
          <w:numId w:val="4"/>
        </w:numPr>
        <w:spacing w:line="360" w:lineRule="auto"/>
        <w:ind w:left="0" w:firstLine="200"/>
        <w:jc w:val="both"/>
        <w:outlineLvl w:val="9"/>
        <w:rPr>
          <w:sz w:val="24"/>
          <w:szCs w:val="24"/>
        </w:rPr>
      </w:pPr>
      <w:r>
        <w:rPr>
          <w:sz w:val="24"/>
          <w:szCs w:val="24"/>
        </w:rPr>
        <w:t>建议</w:t>
      </w:r>
    </w:p>
    <w:p w14:paraId="3A74703E">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（一）建立绩效追踪机制，完善债券资金管理水平</w:t>
      </w:r>
    </w:p>
    <w:p w14:paraId="66652E0C">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建议项目单位建立绩效追踪机制，加强专项债券风险监督。及时了解项目建设及运行情况，以保证按时偿还债券本金及利息。绩效运行监控中，对专项债券资金预算执行进度和绩效目标实现情况进行“双监控”，查找资金使用和项目实施中的薄弱环节，及时纠正偏差。</w:t>
      </w:r>
    </w:p>
    <w:p w14:paraId="5ED0E4A1">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（二）强化工程项目管理，提高专项资金使用效率</w:t>
      </w:r>
    </w:p>
    <w:p w14:paraId="6124531C">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建议项目单位完善项目管理制度，加强项目的过程管理；合理安排项目工程组织计划、项目施工计划、项目竣工计划，同时严格执行相关计划。加快推进项目二期，提高专项债券的使用效率，因项目实施条件变化或其他原因导致专项债券资金无法及时有效使用时，及时上报主管部门，按照《地方政府专项债券用途调整指引》的相关规定调整。</w:t>
      </w:r>
    </w:p>
    <w:p w14:paraId="261528E0">
      <w:pPr>
        <w:spacing w:line="317" w:lineRule="auto"/>
        <w:jc w:val="both"/>
      </w:pPr>
    </w:p>
    <w:p w14:paraId="2AC384D7">
      <w:pPr>
        <w:spacing w:line="317" w:lineRule="auto"/>
        <w:jc w:val="both"/>
      </w:pPr>
    </w:p>
    <w:p w14:paraId="68F93358">
      <w:pPr>
        <w:spacing w:line="317" w:lineRule="auto"/>
        <w:jc w:val="both"/>
      </w:pPr>
    </w:p>
    <w:p w14:paraId="3A2F88F5">
      <w:pPr>
        <w:spacing w:line="317" w:lineRule="auto"/>
        <w:jc w:val="both"/>
      </w:pPr>
    </w:p>
    <w:p w14:paraId="63B46792">
      <w:pPr>
        <w:spacing w:line="317" w:lineRule="auto"/>
        <w:jc w:val="both"/>
      </w:pPr>
    </w:p>
    <w:p w14:paraId="345645CD">
      <w:pPr>
        <w:spacing w:line="317" w:lineRule="auto"/>
        <w:jc w:val="both"/>
      </w:pPr>
    </w:p>
    <w:p w14:paraId="0C7FFF27">
      <w:pPr>
        <w:spacing w:line="317" w:lineRule="auto"/>
        <w:jc w:val="both"/>
      </w:pPr>
    </w:p>
    <w:p w14:paraId="2E64E4B1">
      <w:pPr>
        <w:spacing w:line="317" w:lineRule="auto"/>
        <w:jc w:val="both"/>
      </w:pPr>
    </w:p>
    <w:p w14:paraId="34C4111F">
      <w:pPr>
        <w:spacing w:line="317" w:lineRule="auto"/>
        <w:jc w:val="both"/>
      </w:pPr>
    </w:p>
    <w:p w14:paraId="39520DD2">
      <w:pPr>
        <w:spacing w:line="317" w:lineRule="auto"/>
        <w:jc w:val="both"/>
      </w:pPr>
    </w:p>
    <w:p w14:paraId="2B9502AD">
      <w:pPr>
        <w:spacing w:line="317" w:lineRule="auto"/>
        <w:jc w:val="both"/>
      </w:pPr>
    </w:p>
    <w:p w14:paraId="13E9A1D7">
      <w:pPr>
        <w:spacing w:line="317" w:lineRule="auto"/>
        <w:jc w:val="both"/>
      </w:pPr>
    </w:p>
    <w:p w14:paraId="7952EBA2">
      <w:pPr>
        <w:spacing w:line="317" w:lineRule="auto"/>
        <w:jc w:val="both"/>
      </w:pPr>
    </w:p>
    <w:p w14:paraId="461C98C8">
      <w:pPr>
        <w:spacing w:line="317" w:lineRule="auto"/>
        <w:jc w:val="both"/>
      </w:pPr>
    </w:p>
    <w:p w14:paraId="1B7E51FE">
      <w:pPr>
        <w:spacing w:line="317" w:lineRule="auto"/>
        <w:jc w:val="both"/>
      </w:pPr>
    </w:p>
    <w:p w14:paraId="5FE60072">
      <w:pPr>
        <w:spacing w:line="317" w:lineRule="auto"/>
        <w:jc w:val="both"/>
      </w:pPr>
    </w:p>
    <w:p w14:paraId="58730361">
      <w:pPr>
        <w:pStyle w:val="2"/>
        <w:jc w:val="both"/>
      </w:pPr>
    </w:p>
    <w:p w14:paraId="19CFDC95">
      <w:pPr>
        <w:jc w:val="both"/>
      </w:pPr>
    </w:p>
    <w:p w14:paraId="64060125">
      <w:pPr>
        <w:pStyle w:val="2"/>
      </w:pPr>
    </w:p>
    <w:p w14:paraId="42DAC5A1">
      <w:pPr>
        <w:jc w:val="both"/>
      </w:pPr>
    </w:p>
    <w:p w14:paraId="28592BE2">
      <w:pPr>
        <w:spacing w:before="174" w:line="223" w:lineRule="auto"/>
        <w:ind w:firstLine="1464" w:firstLineChars="400"/>
        <w:jc w:val="both"/>
        <w:rPr>
          <w:rFonts w:hint="eastAsia" w:ascii="宋体" w:hAnsi="宋体" w:eastAsia="宋体" w:cs="宋体"/>
          <w:spacing w:val="8"/>
          <w:sz w:val="35"/>
          <w:szCs w:val="35"/>
          <w14:textOutline w14:w="6540" w14:cap="sq" w14:cmpd="sng" w14:algn="ctr">
            <w14:solidFill>
              <w14:srgbClr w14:val="000000"/>
            </w14:solidFill>
            <w14:prstDash w14:val="solid"/>
            <w14:bevel/>
          </w14:textOutline>
        </w:rPr>
      </w:pPr>
    </w:p>
    <w:p w14:paraId="024E82EC">
      <w:pPr>
        <w:pStyle w:val="2"/>
      </w:pPr>
    </w:p>
    <w:p w14:paraId="628C7E55"/>
    <w:p w14:paraId="5CDE7B90">
      <w:pPr>
        <w:pStyle w:val="2"/>
      </w:pPr>
    </w:p>
    <w:p w14:paraId="06C48C0C"/>
    <w:p w14:paraId="749A4230">
      <w:pPr>
        <w:pStyle w:val="2"/>
      </w:pPr>
    </w:p>
    <w:p w14:paraId="29E593AA"/>
    <w:p w14:paraId="55C6EF62"/>
    <w:p w14:paraId="1F22FE1F"/>
    <w:p w14:paraId="4E53D48D">
      <w:pPr>
        <w:spacing w:before="174" w:line="223" w:lineRule="auto"/>
        <w:ind w:firstLine="1504" w:firstLineChars="400"/>
        <w:jc w:val="both"/>
        <w:rPr>
          <w:rFonts w:hint="eastAsia" w:ascii="宋体" w:hAnsi="宋体" w:eastAsia="宋体" w:cs="宋体"/>
          <w:spacing w:val="8"/>
          <w:sz w:val="36"/>
          <w:szCs w:val="36"/>
          <w14:textOutline w14:w="6540" w14:cap="sq" w14:cmpd="sng" w14:algn="ctr">
            <w14:solidFill>
              <w14:srgbClr w14:val="000000"/>
            </w14:solidFill>
            <w14:prstDash w14:val="solid"/>
            <w14:bevel/>
          </w14:textOutline>
        </w:rPr>
      </w:pPr>
      <w:r>
        <w:rPr>
          <w:rFonts w:hint="eastAsia" w:ascii="宋体" w:hAnsi="宋体" w:eastAsia="宋体" w:cs="宋体"/>
          <w:spacing w:val="8"/>
          <w:sz w:val="36"/>
          <w:szCs w:val="36"/>
          <w14:textOutline w14:w="6540" w14:cap="sq" w14:cmpd="sng" w14:algn="ctr">
            <w14:solidFill>
              <w14:srgbClr w14:val="000000"/>
            </w14:solidFill>
            <w14:prstDash w14:val="solid"/>
            <w14:bevel/>
          </w14:textOutline>
        </w:rPr>
        <w:t>2024年度中韩（长春）国际合作示范区</w:t>
      </w:r>
    </w:p>
    <w:p w14:paraId="4E378AA9">
      <w:pPr>
        <w:spacing w:before="174" w:line="223" w:lineRule="auto"/>
        <w:ind w:firstLine="2256" w:firstLineChars="600"/>
        <w:jc w:val="both"/>
        <w:rPr>
          <w:rFonts w:hint="eastAsia" w:ascii="宋体" w:hAnsi="宋体" w:eastAsia="宋体" w:cs="宋体"/>
          <w:spacing w:val="8"/>
          <w:sz w:val="36"/>
          <w:szCs w:val="36"/>
          <w14:textOutline w14:w="6540" w14:cap="sq" w14:cmpd="sng" w14:algn="ctr">
            <w14:solidFill>
              <w14:srgbClr w14:val="000000"/>
            </w14:solidFill>
            <w14:prstDash w14:val="solid"/>
            <w14:bevel/>
          </w14:textOutline>
        </w:rPr>
      </w:pPr>
      <w:r>
        <w:rPr>
          <w:rFonts w:hint="eastAsia" w:ascii="宋体" w:hAnsi="宋体" w:eastAsia="宋体" w:cs="宋体"/>
          <w:spacing w:val="8"/>
          <w:sz w:val="36"/>
          <w:szCs w:val="36"/>
          <w14:textOutline w14:w="6540" w14:cap="sq" w14:cmpd="sng" w14:algn="ctr">
            <w14:solidFill>
              <w14:srgbClr w14:val="000000"/>
            </w14:solidFill>
            <w14:prstDash w14:val="solid"/>
            <w14:bevel/>
          </w14:textOutline>
        </w:rPr>
        <w:t>智能装备孵化基地专项债项目</w:t>
      </w:r>
    </w:p>
    <w:p w14:paraId="7EA3B999">
      <w:pPr>
        <w:spacing w:before="174" w:line="223" w:lineRule="auto"/>
        <w:ind w:firstLine="3384" w:firstLineChars="900"/>
        <w:jc w:val="both"/>
        <w:outlineLvl w:val="0"/>
        <w:rPr>
          <w:rFonts w:hint="eastAsia" w:ascii="宋体" w:hAnsi="宋体" w:eastAsia="宋体" w:cs="宋体"/>
          <w:spacing w:val="7"/>
          <w:sz w:val="36"/>
          <w:szCs w:val="36"/>
          <w14:textOutline w14:w="6540" w14:cap="sq" w14:cmpd="sng" w14:algn="ctr">
            <w14:solidFill>
              <w14:srgbClr w14:val="000000"/>
            </w14:solidFill>
            <w14:prstDash w14:val="solid"/>
            <w14:bevel/>
          </w14:textOutline>
        </w:rPr>
      </w:pPr>
      <w:bookmarkStart w:id="4" w:name="_Toc201739179"/>
      <w:r>
        <w:rPr>
          <w:rFonts w:ascii="宋体" w:hAnsi="宋体" w:eastAsia="宋体" w:cs="宋体"/>
          <w:spacing w:val="8"/>
          <w:sz w:val="36"/>
          <w:szCs w:val="36"/>
          <w14:textOutline w14:w="6540" w14:cap="sq" w14:cmpd="sng" w14:algn="ctr">
            <w14:solidFill>
              <w14:srgbClr w14:val="000000"/>
            </w14:solidFill>
            <w14:prstDash w14:val="solid"/>
            <w14:bevel/>
          </w14:textOutline>
        </w:rPr>
        <w:t>绩效评价报</w:t>
      </w:r>
      <w:r>
        <w:rPr>
          <w:rFonts w:ascii="宋体" w:hAnsi="宋体" w:eastAsia="宋体" w:cs="宋体"/>
          <w:spacing w:val="7"/>
          <w:sz w:val="36"/>
          <w:szCs w:val="36"/>
          <w14:textOutline w14:w="6540" w14:cap="sq" w14:cmpd="sng" w14:algn="ctr">
            <w14:solidFill>
              <w14:srgbClr w14:val="000000"/>
            </w14:solidFill>
            <w14:prstDash w14:val="solid"/>
            <w14:bevel/>
          </w14:textOutline>
        </w:rPr>
        <w:t>告</w:t>
      </w:r>
      <w:bookmarkEnd w:id="4"/>
    </w:p>
    <w:p w14:paraId="00582FC5">
      <w:pPr>
        <w:spacing w:before="174" w:line="223" w:lineRule="auto"/>
        <w:ind w:left="3386"/>
        <w:jc w:val="both"/>
        <w:outlineLvl w:val="0"/>
        <w:rPr>
          <w:rFonts w:hint="eastAsia" w:ascii="宋体" w:hAnsi="宋体" w:eastAsia="宋体" w:cs="宋体"/>
          <w:sz w:val="35"/>
          <w:szCs w:val="35"/>
        </w:rPr>
      </w:pPr>
    </w:p>
    <w:p w14:paraId="0B24E7D9">
      <w:pPr>
        <w:pStyle w:val="30"/>
        <w:spacing w:line="360" w:lineRule="auto"/>
        <w:ind w:firstLine="490" w:firstLineChars="200"/>
        <w:jc w:val="both"/>
        <w:rPr>
          <w:sz w:val="24"/>
          <w:szCs w:val="24"/>
        </w:rPr>
      </w:pPr>
      <w:bookmarkStart w:id="5" w:name="_bookmark3"/>
      <w:bookmarkEnd w:id="5"/>
      <w:bookmarkStart w:id="6" w:name="_bookmark2"/>
      <w:bookmarkEnd w:id="6"/>
      <w:bookmarkStart w:id="7" w:name="_Toc201739180"/>
      <w:bookmarkStart w:id="8" w:name="_Toc7566"/>
      <w:bookmarkStart w:id="9" w:name="_Toc27561"/>
      <w:r>
        <w:rPr>
          <w:sz w:val="24"/>
          <w:szCs w:val="24"/>
        </w:rPr>
        <w:t>项目基本情况</w:t>
      </w:r>
      <w:bookmarkEnd w:id="7"/>
      <w:bookmarkEnd w:id="8"/>
      <w:bookmarkEnd w:id="9"/>
    </w:p>
    <w:p w14:paraId="771FE927">
      <w:pPr>
        <w:pStyle w:val="29"/>
        <w:spacing w:line="360" w:lineRule="auto"/>
        <w:ind w:firstLine="484"/>
        <w:jc w:val="both"/>
      </w:pPr>
      <w:bookmarkStart w:id="10" w:name="_bookmark4"/>
      <w:bookmarkEnd w:id="10"/>
      <w:r>
        <w:t xml:space="preserve"> </w:t>
      </w:r>
      <w:bookmarkStart w:id="11" w:name="_Toc27260"/>
      <w:bookmarkStart w:id="12" w:name="_Toc13755"/>
      <w:bookmarkStart w:id="13" w:name="_Toc201739181"/>
      <w:r>
        <w:t>项目背景</w:t>
      </w:r>
      <w:bookmarkEnd w:id="11"/>
      <w:bookmarkEnd w:id="12"/>
      <w:bookmarkEnd w:id="13"/>
    </w:p>
    <w:p w14:paraId="0984A11C">
      <w:pPr>
        <w:spacing w:line="360" w:lineRule="auto"/>
        <w:ind w:firstLine="480" w:firstLineChars="200"/>
        <w:jc w:val="both"/>
        <w:rPr>
          <w:rFonts w:hint="eastAsia" w:asciiTheme="minorEastAsia" w:hAnsiTheme="minorEastAsia"/>
          <w:spacing w:val="-14"/>
          <w:sz w:val="24"/>
          <w:szCs w:val="24"/>
        </w:rPr>
      </w:pPr>
      <w:r>
        <w:rPr>
          <w:rFonts w:hint="eastAsia" w:asciiTheme="minorEastAsia" w:hAnsiTheme="minorEastAsia"/>
          <w:sz w:val="24"/>
          <w:szCs w:val="24"/>
        </w:rPr>
        <w:t>国务院关于印发《中国制造2025》的通知（国发〔2015〕28号）指出：“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w:t>
      </w:r>
    </w:p>
    <w:p w14:paraId="5B2A56F8">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近年来，吉林省实施多项举措，印发《中国制造2025吉林实施纲要》，科学谋划和全力推动装备制造业健康和可持续发展，坚持以高端装备为引领促进产业结构调整，带动产业转型升级。为进一步推进实施规划方案，加快智能装备汽车产业链等领域的研发、孵化及生产能力，长春国创智能装备产业发展有限公司申请地方政府专项债券资金用于中韩（长春）国际合作示范区智能装备孵化基地项目。</w:t>
      </w:r>
    </w:p>
    <w:p w14:paraId="1E584B42">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智能装备孵化基地项目是为落实“一带一路”等国家、吉林省、长春市和中韩国际合作示范区发展的总体战略，依托长春市装备制造业的良好基础，结合中韩两国智能装备产业发展的优势，加快智能装备行业集聚发展和增强区域经济竞争力，提出本项目建设。项目主要聚焦于机器人（工业机器人和服务机器人）、工业互联网、汽车智能生产线等领域的研发、孵化及生产。</w:t>
      </w:r>
    </w:p>
    <w:p w14:paraId="7DD8C62D">
      <w:pPr>
        <w:pStyle w:val="29"/>
        <w:spacing w:line="360" w:lineRule="auto"/>
        <w:ind w:firstLine="484"/>
        <w:jc w:val="both"/>
      </w:pPr>
      <w:r>
        <w:t xml:space="preserve"> </w:t>
      </w:r>
      <w:bookmarkStart w:id="14" w:name="_Toc28046"/>
      <w:bookmarkStart w:id="15" w:name="_Toc13117"/>
      <w:bookmarkStart w:id="16" w:name="_Toc201739182"/>
      <w:r>
        <w:t>项目主要内容</w:t>
      </w:r>
      <w:bookmarkEnd w:id="14"/>
      <w:bookmarkEnd w:id="15"/>
      <w:bookmarkEnd w:id="16"/>
    </w:p>
    <w:p w14:paraId="41A42AE0">
      <w:pPr>
        <w:spacing w:line="360" w:lineRule="auto"/>
        <w:ind w:firstLine="480" w:firstLineChars="200"/>
        <w:jc w:val="both"/>
        <w:rPr>
          <w:rFonts w:hint="eastAsia" w:asciiTheme="minorEastAsia" w:hAnsiTheme="minorEastAsia"/>
          <w:sz w:val="24"/>
          <w:szCs w:val="24"/>
        </w:rPr>
      </w:pPr>
      <w:bookmarkStart w:id="17" w:name="_bookmark5"/>
      <w:bookmarkEnd w:id="17"/>
      <w:bookmarkStart w:id="18" w:name="_Toc4235"/>
      <w:bookmarkStart w:id="19" w:name="_Toc30309"/>
      <w:r>
        <w:rPr>
          <w:rFonts w:hint="eastAsia" w:asciiTheme="minorEastAsia" w:hAnsiTheme="minorEastAsia"/>
          <w:sz w:val="24"/>
          <w:szCs w:val="24"/>
        </w:rPr>
        <w:t>中韩（长春）国际合作示范区智能装备孵化基地项目于2021年立项，实施主体为长春国创智能装备产业发展有限公司，建设周期3年，项目开工时间2022年6月1日，计划2023年10月完工。建设地点位于吉林省长春市德旺路以南，德隆街以东。本项目规划总用地面积120</w:t>
      </w:r>
      <w:r>
        <w:rPr>
          <w:rFonts w:hint="eastAsia" w:asciiTheme="minorEastAsia" w:hAnsiTheme="minorEastAsia"/>
          <w:sz w:val="24"/>
          <w:szCs w:val="24"/>
          <w:lang w:val="en-US" w:eastAsia="zh-CN"/>
        </w:rPr>
        <w:t>,</w:t>
      </w:r>
      <w:r>
        <w:rPr>
          <w:rFonts w:hint="eastAsia" w:asciiTheme="minorEastAsia" w:hAnsiTheme="minorEastAsia"/>
          <w:sz w:val="24"/>
          <w:szCs w:val="24"/>
        </w:rPr>
        <w:t>000.00平方米，规划总计容面积116</w:t>
      </w:r>
      <w:r>
        <w:rPr>
          <w:rFonts w:hint="eastAsia" w:asciiTheme="minorEastAsia" w:hAnsiTheme="minorEastAsia"/>
          <w:sz w:val="24"/>
          <w:szCs w:val="24"/>
          <w:lang w:val="en-US" w:eastAsia="zh-CN"/>
        </w:rPr>
        <w:t>,</w:t>
      </w:r>
      <w:r>
        <w:rPr>
          <w:rFonts w:hint="eastAsia" w:asciiTheme="minorEastAsia" w:hAnsiTheme="minorEastAsia"/>
          <w:sz w:val="24"/>
          <w:szCs w:val="24"/>
        </w:rPr>
        <w:t>628.10平方米，总建筑面积66</w:t>
      </w:r>
      <w:r>
        <w:rPr>
          <w:rFonts w:hint="eastAsia" w:asciiTheme="minorEastAsia" w:hAnsiTheme="minorEastAsia"/>
          <w:sz w:val="24"/>
          <w:szCs w:val="24"/>
          <w:lang w:val="en-US" w:eastAsia="zh-CN"/>
        </w:rPr>
        <w:t>,</w:t>
      </w:r>
      <w:r>
        <w:rPr>
          <w:rFonts w:hint="eastAsia" w:asciiTheme="minorEastAsia" w:hAnsiTheme="minorEastAsia"/>
          <w:sz w:val="24"/>
          <w:szCs w:val="24"/>
        </w:rPr>
        <w:t>794.66平方米，其中地上建筑面积65</w:t>
      </w:r>
      <w:r>
        <w:rPr>
          <w:rFonts w:hint="eastAsia" w:asciiTheme="minorEastAsia" w:hAnsiTheme="minorEastAsia"/>
          <w:sz w:val="24"/>
          <w:szCs w:val="24"/>
          <w:lang w:val="en-US" w:eastAsia="zh-CN"/>
        </w:rPr>
        <w:t>,</w:t>
      </w:r>
      <w:r>
        <w:rPr>
          <w:rFonts w:hint="eastAsia" w:asciiTheme="minorEastAsia" w:hAnsiTheme="minorEastAsia"/>
          <w:sz w:val="24"/>
          <w:szCs w:val="24"/>
        </w:rPr>
        <w:t>658.34平方米，地下建筑面积1</w:t>
      </w:r>
      <w:r>
        <w:rPr>
          <w:rFonts w:hint="eastAsia" w:asciiTheme="minorEastAsia" w:hAnsiTheme="minorEastAsia"/>
          <w:sz w:val="24"/>
          <w:szCs w:val="24"/>
          <w:lang w:val="en-US" w:eastAsia="zh-CN"/>
        </w:rPr>
        <w:t>,</w:t>
      </w:r>
      <w:r>
        <w:rPr>
          <w:rFonts w:hint="eastAsia" w:asciiTheme="minorEastAsia" w:hAnsiTheme="minorEastAsia"/>
          <w:sz w:val="24"/>
          <w:szCs w:val="24"/>
        </w:rPr>
        <w:t>136.32平方米。其中一期、二期各工程用地面积60</w:t>
      </w:r>
      <w:r>
        <w:rPr>
          <w:rFonts w:hint="eastAsia" w:asciiTheme="minorEastAsia" w:hAnsiTheme="minorEastAsia"/>
          <w:sz w:val="24"/>
          <w:szCs w:val="24"/>
          <w:lang w:val="en-US" w:eastAsia="zh-CN"/>
        </w:rPr>
        <w:t>,</w:t>
      </w:r>
      <w:r>
        <w:rPr>
          <w:rFonts w:hint="eastAsia" w:asciiTheme="minorEastAsia" w:hAnsiTheme="minorEastAsia"/>
          <w:sz w:val="24"/>
          <w:szCs w:val="24"/>
        </w:rPr>
        <w:t>000</w:t>
      </w:r>
      <w:r>
        <w:rPr>
          <w:rFonts w:hint="eastAsia" w:asciiTheme="minorEastAsia" w:hAnsiTheme="minorEastAsia"/>
          <w:sz w:val="24"/>
          <w:szCs w:val="24"/>
          <w:lang w:val="en-US" w:eastAsia="zh-CN"/>
        </w:rPr>
        <w:t>.00</w:t>
      </w:r>
      <w:r>
        <w:rPr>
          <w:rFonts w:hint="eastAsia" w:asciiTheme="minorEastAsia" w:hAnsiTheme="minorEastAsia"/>
          <w:sz w:val="24"/>
          <w:szCs w:val="24"/>
        </w:rPr>
        <w:t>平方米，建筑面积为33</w:t>
      </w:r>
      <w:r>
        <w:rPr>
          <w:rFonts w:hint="eastAsia" w:asciiTheme="minorEastAsia" w:hAnsiTheme="minorEastAsia"/>
          <w:sz w:val="24"/>
          <w:szCs w:val="24"/>
          <w:lang w:val="en-US" w:eastAsia="zh-CN"/>
        </w:rPr>
        <w:t>,</w:t>
      </w:r>
      <w:r>
        <w:rPr>
          <w:rFonts w:hint="eastAsia" w:asciiTheme="minorEastAsia" w:hAnsiTheme="minorEastAsia"/>
          <w:sz w:val="24"/>
          <w:szCs w:val="24"/>
        </w:rPr>
        <w:t>379.31平方米。</w:t>
      </w:r>
    </w:p>
    <w:p w14:paraId="52EF36CE">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一期包括A1办公楼建筑面积4</w:t>
      </w:r>
      <w:r>
        <w:rPr>
          <w:rFonts w:hint="eastAsia" w:asciiTheme="minorEastAsia" w:hAnsiTheme="minorEastAsia"/>
          <w:sz w:val="24"/>
          <w:szCs w:val="24"/>
          <w:lang w:val="en-US" w:eastAsia="zh-CN"/>
        </w:rPr>
        <w:t>,</w:t>
      </w:r>
      <w:r>
        <w:rPr>
          <w:rFonts w:hint="eastAsia" w:asciiTheme="minorEastAsia" w:hAnsiTheme="minorEastAsia"/>
          <w:sz w:val="24"/>
          <w:szCs w:val="24"/>
        </w:rPr>
        <w:t>470.58平方米，A2厂房建筑面积26</w:t>
      </w:r>
      <w:r>
        <w:rPr>
          <w:rFonts w:hint="eastAsia" w:asciiTheme="minorEastAsia" w:hAnsiTheme="minorEastAsia"/>
          <w:sz w:val="24"/>
          <w:szCs w:val="24"/>
          <w:lang w:val="en-US" w:eastAsia="zh-CN"/>
        </w:rPr>
        <w:t>,</w:t>
      </w:r>
      <w:r>
        <w:rPr>
          <w:rFonts w:hint="eastAsia" w:asciiTheme="minorEastAsia" w:hAnsiTheme="minorEastAsia"/>
          <w:sz w:val="24"/>
          <w:szCs w:val="24"/>
        </w:rPr>
        <w:t>362.50平方米，A3丙类仓库建筑面积278.16平方米，A4垃圾房建筑面积60.72平方米，A5设施设备间地上建筑面积1</w:t>
      </w:r>
      <w:r>
        <w:rPr>
          <w:rFonts w:hint="eastAsia" w:asciiTheme="minorEastAsia" w:hAnsiTheme="minorEastAsia"/>
          <w:sz w:val="24"/>
          <w:szCs w:val="24"/>
          <w:lang w:val="en-US" w:eastAsia="zh-CN"/>
        </w:rPr>
        <w:t>,</w:t>
      </w:r>
      <w:r>
        <w:rPr>
          <w:rFonts w:hint="eastAsia" w:asciiTheme="minorEastAsia" w:hAnsiTheme="minorEastAsia"/>
          <w:sz w:val="24"/>
          <w:szCs w:val="24"/>
        </w:rPr>
        <w:t>243.52平方米，地下建筑面积568.16平方米，A6门房建筑面积10平方米，A7门房建筑面积45.76平方米，A8构筑物自行车棚建筑面积200平方米，A9构筑物员工休息室建筑面积46.08平方米，A10构筑物员工休息室建筑面积74.82平方米；二期B1办公楼建筑面积4</w:t>
      </w:r>
      <w:r>
        <w:rPr>
          <w:rFonts w:hint="eastAsia" w:asciiTheme="minorEastAsia" w:hAnsiTheme="minorEastAsia"/>
          <w:sz w:val="24"/>
          <w:szCs w:val="24"/>
          <w:lang w:val="en-US" w:eastAsia="zh-CN"/>
        </w:rPr>
        <w:t>,</w:t>
      </w:r>
      <w:r>
        <w:rPr>
          <w:rFonts w:hint="eastAsia" w:asciiTheme="minorEastAsia" w:hAnsiTheme="minorEastAsia"/>
          <w:sz w:val="24"/>
          <w:szCs w:val="24"/>
        </w:rPr>
        <w:t>470.58平方米，B2厂房建筑面积263</w:t>
      </w:r>
      <w:r>
        <w:rPr>
          <w:rFonts w:hint="eastAsia" w:asciiTheme="minorEastAsia" w:hAnsiTheme="minorEastAsia"/>
          <w:sz w:val="24"/>
          <w:szCs w:val="24"/>
          <w:lang w:val="en-US" w:eastAsia="zh-CN"/>
        </w:rPr>
        <w:t>,</w:t>
      </w:r>
      <w:r>
        <w:rPr>
          <w:rFonts w:hint="eastAsia" w:asciiTheme="minorEastAsia" w:hAnsiTheme="minorEastAsia"/>
          <w:sz w:val="24"/>
          <w:szCs w:val="24"/>
        </w:rPr>
        <w:t>262.50平方米，B3丙类仓库建筑面积278.16平方米，B4垃圾房建筑面积60.72平方米，B5设施设备间地上建筑面积1</w:t>
      </w:r>
      <w:r>
        <w:rPr>
          <w:rFonts w:hint="eastAsia" w:asciiTheme="minorEastAsia" w:hAnsiTheme="minorEastAsia"/>
          <w:sz w:val="24"/>
          <w:szCs w:val="24"/>
          <w:lang w:val="en-US" w:eastAsia="zh-CN"/>
        </w:rPr>
        <w:t>,</w:t>
      </w:r>
      <w:r>
        <w:rPr>
          <w:rFonts w:hint="eastAsia" w:asciiTheme="minorEastAsia" w:hAnsiTheme="minorEastAsia"/>
          <w:sz w:val="24"/>
          <w:szCs w:val="24"/>
        </w:rPr>
        <w:t>243.52平方米，地下建筑面积568.16平方米，B6门房建筑面积10平方米，B7门房建筑面积45.76平方米，B8构筑物自行车棚建筑面积200平方米，B9构筑物员工休息室建筑面积46.08平方米，B10构筑物员工休息室建筑面积74.82平方米。</w:t>
      </w:r>
    </w:p>
    <w:p w14:paraId="22E40B63">
      <w:pPr>
        <w:pStyle w:val="29"/>
        <w:spacing w:line="360" w:lineRule="auto"/>
        <w:ind w:firstLine="484"/>
        <w:jc w:val="both"/>
      </w:pPr>
      <w:bookmarkStart w:id="20" w:name="_Toc201739183"/>
      <w:r>
        <w:t>项目组织管理</w:t>
      </w:r>
      <w:bookmarkEnd w:id="18"/>
      <w:bookmarkEnd w:id="19"/>
      <w:bookmarkEnd w:id="20"/>
    </w:p>
    <w:p w14:paraId="68D682D0">
      <w:pPr>
        <w:pStyle w:val="29"/>
        <w:numPr>
          <w:ilvl w:val="0"/>
          <w:numId w:val="0"/>
        </w:numPr>
        <w:spacing w:line="360" w:lineRule="auto"/>
        <w:ind w:firstLine="488" w:firstLineChars="200"/>
        <w:jc w:val="both"/>
        <w:outlineLvl w:val="9"/>
      </w:pPr>
      <w:bookmarkStart w:id="21" w:name="_bookmark6"/>
      <w:bookmarkEnd w:id="21"/>
      <w:bookmarkStart w:id="22" w:name="_Toc16211"/>
      <w:bookmarkStart w:id="23" w:name="_Toc13231"/>
      <w:r>
        <w:t>长春国创智能装备产业发展有限公司成立了项目领导小组，负责项目的筹建工作，并由专人负责项目前期工作，实行项目法人终身制。为确保项目建设工程质量，由长春国创智能装备产业发展有限公司领导层对项目实施进行监督。工程施工及设备采购均采用招投标方式完成，并按国家要求委托专业单位进行工程监理和预决算审查工作。一期项目完成后，长春国创智能装备产业发展有限公司领导层对项目的运营进行监督。</w:t>
      </w:r>
    </w:p>
    <w:p w14:paraId="2C3EF558">
      <w:pPr>
        <w:pStyle w:val="29"/>
        <w:spacing w:line="360" w:lineRule="auto"/>
        <w:ind w:firstLine="484"/>
        <w:jc w:val="both"/>
      </w:pPr>
      <w:bookmarkStart w:id="24" w:name="_Toc201739184"/>
      <w:r>
        <w:t>项目</w:t>
      </w:r>
      <w:bookmarkEnd w:id="22"/>
      <w:bookmarkEnd w:id="23"/>
      <w:r>
        <w:t>实施情况</w:t>
      </w:r>
      <w:bookmarkEnd w:id="24"/>
    </w:p>
    <w:p w14:paraId="6D7BF29E">
      <w:pPr>
        <w:pStyle w:val="29"/>
        <w:numPr>
          <w:ilvl w:val="0"/>
          <w:numId w:val="0"/>
        </w:numPr>
        <w:spacing w:line="360" w:lineRule="auto"/>
        <w:ind w:firstLine="468" w:firstLineChars="200"/>
        <w:jc w:val="both"/>
        <w:outlineLvl w:val="9"/>
      </w:pPr>
      <w:r>
        <w:rPr>
          <w:sz w:val="23"/>
          <w:szCs w:val="23"/>
        </w:rPr>
        <w:t xml:space="preserve"> </w:t>
      </w:r>
      <w:r>
        <w:t>中韩（长春）国际合作示范区智能装备孵化基地项目于2021年立项，实施主体为长春国创智能装备产业发展有限公司，建设周期3年，项目开工时间2022年6月1日，2023年10月完工。</w:t>
      </w:r>
    </w:p>
    <w:p w14:paraId="74064556">
      <w:pPr>
        <w:pStyle w:val="29"/>
        <w:numPr>
          <w:ilvl w:val="0"/>
          <w:numId w:val="0"/>
        </w:numPr>
        <w:spacing w:line="360" w:lineRule="auto"/>
        <w:ind w:firstLine="468" w:firstLineChars="200"/>
        <w:jc w:val="both"/>
        <w:outlineLvl w:val="9"/>
        <w:rPr>
          <w:sz w:val="23"/>
          <w:szCs w:val="23"/>
        </w:rPr>
      </w:pPr>
      <w:r>
        <w:rPr>
          <w:sz w:val="23"/>
          <w:szCs w:val="23"/>
        </w:rPr>
        <w:t>本项目规划总用地面积120</w:t>
      </w:r>
      <w:r>
        <w:rPr>
          <w:rFonts w:hint="eastAsia"/>
          <w:sz w:val="23"/>
          <w:szCs w:val="23"/>
          <w:lang w:val="en-US" w:eastAsia="zh-CN"/>
        </w:rPr>
        <w:t>,</w:t>
      </w:r>
      <w:r>
        <w:rPr>
          <w:sz w:val="23"/>
          <w:szCs w:val="23"/>
        </w:rPr>
        <w:t>000.00平方米，规划总计容面积116</w:t>
      </w:r>
      <w:r>
        <w:rPr>
          <w:rFonts w:hint="eastAsia"/>
          <w:sz w:val="23"/>
          <w:szCs w:val="23"/>
          <w:lang w:val="en-US" w:eastAsia="zh-CN"/>
        </w:rPr>
        <w:t>,</w:t>
      </w:r>
      <w:r>
        <w:rPr>
          <w:sz w:val="23"/>
          <w:szCs w:val="23"/>
        </w:rPr>
        <w:t>628.10平方米，总建筑面积66</w:t>
      </w:r>
      <w:r>
        <w:rPr>
          <w:rFonts w:hint="eastAsia"/>
          <w:sz w:val="23"/>
          <w:szCs w:val="23"/>
          <w:lang w:val="en-US" w:eastAsia="zh-CN"/>
        </w:rPr>
        <w:t>,</w:t>
      </w:r>
      <w:r>
        <w:rPr>
          <w:sz w:val="23"/>
          <w:szCs w:val="23"/>
        </w:rPr>
        <w:t>794.66平方米，其中地上建筑面积65</w:t>
      </w:r>
      <w:r>
        <w:rPr>
          <w:rFonts w:hint="eastAsia"/>
          <w:sz w:val="23"/>
          <w:szCs w:val="23"/>
          <w:lang w:val="en-US" w:eastAsia="zh-CN"/>
        </w:rPr>
        <w:t>,</w:t>
      </w:r>
      <w:r>
        <w:rPr>
          <w:sz w:val="23"/>
          <w:szCs w:val="23"/>
        </w:rPr>
        <w:t>658.34平方米，地下建筑面积为136.32平方米。其中一期、二期工程各用地面积60</w:t>
      </w:r>
      <w:r>
        <w:rPr>
          <w:rFonts w:hint="eastAsia"/>
          <w:sz w:val="23"/>
          <w:szCs w:val="23"/>
          <w:lang w:val="en-US" w:eastAsia="zh-CN"/>
        </w:rPr>
        <w:t>,</w:t>
      </w:r>
      <w:r>
        <w:rPr>
          <w:sz w:val="23"/>
          <w:szCs w:val="23"/>
        </w:rPr>
        <w:t>000.00平方米，各建筑面积为33</w:t>
      </w:r>
      <w:r>
        <w:rPr>
          <w:rFonts w:hint="eastAsia"/>
          <w:sz w:val="23"/>
          <w:szCs w:val="23"/>
          <w:lang w:val="en-US" w:eastAsia="zh-CN"/>
        </w:rPr>
        <w:t>,</w:t>
      </w:r>
      <w:r>
        <w:rPr>
          <w:sz w:val="23"/>
          <w:szCs w:val="23"/>
        </w:rPr>
        <w:t>379.31平方米。</w:t>
      </w:r>
    </w:p>
    <w:p w14:paraId="4822C970">
      <w:pPr>
        <w:pStyle w:val="29"/>
        <w:numPr>
          <w:ilvl w:val="0"/>
          <w:numId w:val="0"/>
        </w:numPr>
        <w:spacing w:line="360" w:lineRule="auto"/>
        <w:ind w:firstLine="468" w:firstLineChars="200"/>
        <w:jc w:val="both"/>
        <w:outlineLvl w:val="9"/>
      </w:pPr>
      <w:r>
        <w:rPr>
          <w:sz w:val="23"/>
          <w:szCs w:val="23"/>
        </w:rPr>
        <w:t xml:space="preserve"> 中韩（长春）国际合作示范区智能装备孵化基地项目（一期）由吉林安装</w:t>
      </w:r>
      <w:r>
        <w:t>集团股份有限公司总承包、四川中七建筑规划设计有限公司负责设计、长春建工勘测规划设计有限公司负责勘察，由中翎建业集团有限公司监理。截至202</w:t>
      </w:r>
      <w:r>
        <w:rPr>
          <w:rFonts w:hint="eastAsia"/>
          <w:lang w:val="en-US" w:eastAsia="zh-CN"/>
        </w:rPr>
        <w:t>4</w:t>
      </w:r>
      <w:r>
        <w:t>年12月末完成建设内容如下：</w:t>
      </w:r>
    </w:p>
    <w:p w14:paraId="73BA15CD">
      <w:pPr>
        <w:pStyle w:val="29"/>
        <w:numPr>
          <w:ilvl w:val="0"/>
          <w:numId w:val="0"/>
        </w:numPr>
        <w:spacing w:line="360" w:lineRule="auto"/>
        <w:ind w:firstLine="488" w:firstLineChars="200"/>
        <w:jc w:val="both"/>
        <w:outlineLvl w:val="9"/>
      </w:pPr>
    </w:p>
    <w:p w14:paraId="2199CB66">
      <w:pPr>
        <w:pStyle w:val="29"/>
        <w:numPr>
          <w:ilvl w:val="0"/>
          <w:numId w:val="0"/>
        </w:numPr>
        <w:spacing w:line="360" w:lineRule="auto"/>
        <w:ind w:firstLine="488" w:firstLineChars="200"/>
        <w:jc w:val="both"/>
        <w:outlineLvl w:val="9"/>
      </w:pPr>
    </w:p>
    <w:p w14:paraId="20612141">
      <w:pPr>
        <w:pStyle w:val="29"/>
        <w:numPr>
          <w:ilvl w:val="0"/>
          <w:numId w:val="0"/>
        </w:numPr>
        <w:spacing w:line="360" w:lineRule="auto"/>
        <w:ind w:firstLine="488" w:firstLineChars="200"/>
        <w:jc w:val="both"/>
        <w:outlineLvl w:val="9"/>
      </w:pPr>
    </w:p>
    <w:p w14:paraId="5DF24E84">
      <w:pPr>
        <w:pStyle w:val="29"/>
        <w:numPr>
          <w:ilvl w:val="0"/>
          <w:numId w:val="0"/>
        </w:numPr>
        <w:spacing w:line="240" w:lineRule="auto"/>
        <w:jc w:val="center"/>
        <w:outlineLvl w:val="9"/>
      </w:pPr>
      <w:r>
        <w:t>表一：建设内容情况表</w:t>
      </w:r>
    </w:p>
    <w:p w14:paraId="0AA52771">
      <w:pPr>
        <w:pStyle w:val="29"/>
        <w:numPr>
          <w:ilvl w:val="0"/>
          <w:numId w:val="0"/>
        </w:numPr>
        <w:spacing w:line="240" w:lineRule="auto"/>
        <w:jc w:val="center"/>
        <w:outlineLvl w:val="9"/>
      </w:pPr>
    </w:p>
    <w:tbl>
      <w:tblPr>
        <w:tblStyle w:val="18"/>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57"/>
        <w:gridCol w:w="1276"/>
        <w:gridCol w:w="1134"/>
        <w:gridCol w:w="1134"/>
        <w:gridCol w:w="4407"/>
      </w:tblGrid>
      <w:tr w14:paraId="47D0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0" w:type="dxa"/>
            <w:shd w:val="clear" w:color="auto" w:fill="auto"/>
            <w:vAlign w:val="center"/>
          </w:tcPr>
          <w:p w14:paraId="3B22A1DD">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序号</w:t>
            </w:r>
          </w:p>
        </w:tc>
        <w:tc>
          <w:tcPr>
            <w:tcW w:w="1457" w:type="dxa"/>
            <w:shd w:val="clear" w:color="auto" w:fill="auto"/>
            <w:vAlign w:val="center"/>
          </w:tcPr>
          <w:p w14:paraId="4F05D084">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建筑名称</w:t>
            </w:r>
          </w:p>
        </w:tc>
        <w:tc>
          <w:tcPr>
            <w:tcW w:w="1276" w:type="dxa"/>
            <w:shd w:val="clear" w:color="auto" w:fill="auto"/>
            <w:vAlign w:val="center"/>
          </w:tcPr>
          <w:p w14:paraId="4F2CC7E7">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建筑占地面积（m</w:t>
            </w:r>
            <w:r>
              <w:rPr>
                <w:rFonts w:hint="eastAsia" w:cs="宋体" w:asciiTheme="minorEastAsia" w:hAnsiTheme="minorEastAsia"/>
                <w:sz w:val="18"/>
                <w:szCs w:val="18"/>
                <w:vertAlign w:val="superscript"/>
                <w:lang w:bidi="ar"/>
              </w:rPr>
              <w:t>2</w:t>
            </w:r>
            <w:r>
              <w:rPr>
                <w:rFonts w:hint="eastAsia" w:cs="宋体" w:asciiTheme="minorEastAsia" w:hAnsiTheme="minorEastAsia"/>
                <w:sz w:val="18"/>
                <w:szCs w:val="18"/>
                <w:lang w:bidi="ar"/>
              </w:rPr>
              <w:t>）</w:t>
            </w:r>
          </w:p>
        </w:tc>
        <w:tc>
          <w:tcPr>
            <w:tcW w:w="1134" w:type="dxa"/>
            <w:shd w:val="clear" w:color="auto" w:fill="auto"/>
            <w:vAlign w:val="center"/>
          </w:tcPr>
          <w:p w14:paraId="4AE6C922">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地上建筑面积（m</w:t>
            </w:r>
            <w:r>
              <w:rPr>
                <w:rFonts w:hint="eastAsia" w:cs="宋体" w:asciiTheme="minorEastAsia" w:hAnsiTheme="minorEastAsia"/>
                <w:sz w:val="18"/>
                <w:szCs w:val="18"/>
                <w:vertAlign w:val="superscript"/>
                <w:lang w:bidi="ar"/>
              </w:rPr>
              <w:t>2</w:t>
            </w:r>
            <w:r>
              <w:rPr>
                <w:rFonts w:hint="eastAsia" w:cs="宋体" w:asciiTheme="minorEastAsia" w:hAnsiTheme="minorEastAsia"/>
                <w:sz w:val="18"/>
                <w:szCs w:val="18"/>
                <w:lang w:bidi="ar"/>
              </w:rPr>
              <w:t>）</w:t>
            </w:r>
          </w:p>
        </w:tc>
        <w:tc>
          <w:tcPr>
            <w:tcW w:w="1134" w:type="dxa"/>
            <w:shd w:val="clear" w:color="auto" w:fill="auto"/>
            <w:vAlign w:val="center"/>
          </w:tcPr>
          <w:p w14:paraId="2213A461">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地下建筑面积（m</w:t>
            </w:r>
            <w:r>
              <w:rPr>
                <w:rFonts w:hint="eastAsia" w:cs="宋体" w:asciiTheme="minorEastAsia" w:hAnsiTheme="minorEastAsia"/>
                <w:sz w:val="18"/>
                <w:szCs w:val="18"/>
                <w:vertAlign w:val="superscript"/>
                <w:lang w:bidi="ar"/>
              </w:rPr>
              <w:t>2</w:t>
            </w:r>
            <w:r>
              <w:rPr>
                <w:rFonts w:hint="eastAsia" w:cs="宋体" w:asciiTheme="minorEastAsia" w:hAnsiTheme="minorEastAsia"/>
                <w:sz w:val="18"/>
                <w:szCs w:val="18"/>
                <w:lang w:bidi="ar"/>
              </w:rPr>
              <w:t>）</w:t>
            </w:r>
          </w:p>
        </w:tc>
        <w:tc>
          <w:tcPr>
            <w:tcW w:w="4407" w:type="dxa"/>
            <w:shd w:val="clear" w:color="auto" w:fill="auto"/>
            <w:vAlign w:val="center"/>
          </w:tcPr>
          <w:p w14:paraId="7EF1395B">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已完成内容</w:t>
            </w:r>
          </w:p>
        </w:tc>
      </w:tr>
      <w:tr w14:paraId="79DB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0" w:type="dxa"/>
            <w:shd w:val="clear" w:color="auto" w:fill="auto"/>
            <w:noWrap/>
            <w:vAlign w:val="center"/>
          </w:tcPr>
          <w:p w14:paraId="4491A395">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w:t>
            </w:r>
          </w:p>
        </w:tc>
        <w:tc>
          <w:tcPr>
            <w:tcW w:w="1457" w:type="dxa"/>
            <w:shd w:val="clear" w:color="auto" w:fill="auto"/>
            <w:noWrap/>
            <w:vAlign w:val="center"/>
          </w:tcPr>
          <w:p w14:paraId="207B5A1D">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A1综合办公楼</w:t>
            </w:r>
          </w:p>
        </w:tc>
        <w:tc>
          <w:tcPr>
            <w:tcW w:w="1276" w:type="dxa"/>
            <w:shd w:val="clear" w:color="auto" w:fill="auto"/>
            <w:noWrap/>
            <w:vAlign w:val="center"/>
          </w:tcPr>
          <w:p w14:paraId="5A512B9A">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2,206.06</w:t>
            </w:r>
          </w:p>
        </w:tc>
        <w:tc>
          <w:tcPr>
            <w:tcW w:w="1134" w:type="dxa"/>
            <w:shd w:val="clear" w:color="auto" w:fill="auto"/>
            <w:noWrap/>
            <w:vAlign w:val="center"/>
          </w:tcPr>
          <w:p w14:paraId="0DC37040">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4,416.79</w:t>
            </w:r>
          </w:p>
        </w:tc>
        <w:tc>
          <w:tcPr>
            <w:tcW w:w="1134" w:type="dxa"/>
            <w:shd w:val="clear" w:color="auto" w:fill="auto"/>
            <w:noWrap/>
            <w:vAlign w:val="center"/>
          </w:tcPr>
          <w:p w14:paraId="44673B97">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1DC0CFBA">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散水及坡道完成、空调及消防工程完成，2024年5月取得产权证</w:t>
            </w:r>
          </w:p>
        </w:tc>
      </w:tr>
      <w:tr w14:paraId="54A9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0" w:type="dxa"/>
            <w:shd w:val="clear" w:color="auto" w:fill="auto"/>
            <w:noWrap/>
            <w:vAlign w:val="center"/>
          </w:tcPr>
          <w:p w14:paraId="3F3D2656">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w:t>
            </w:r>
          </w:p>
        </w:tc>
        <w:tc>
          <w:tcPr>
            <w:tcW w:w="1457" w:type="dxa"/>
            <w:shd w:val="clear" w:color="auto" w:fill="auto"/>
            <w:noWrap/>
            <w:vAlign w:val="center"/>
          </w:tcPr>
          <w:p w14:paraId="1FD8C832">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A2厂房</w:t>
            </w:r>
          </w:p>
        </w:tc>
        <w:tc>
          <w:tcPr>
            <w:tcW w:w="1276" w:type="dxa"/>
            <w:shd w:val="clear" w:color="auto" w:fill="auto"/>
            <w:noWrap/>
            <w:vAlign w:val="center"/>
          </w:tcPr>
          <w:p w14:paraId="3017036D">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27,208.84</w:t>
            </w:r>
          </w:p>
        </w:tc>
        <w:tc>
          <w:tcPr>
            <w:tcW w:w="1134" w:type="dxa"/>
            <w:shd w:val="clear" w:color="auto" w:fill="auto"/>
            <w:noWrap/>
            <w:vAlign w:val="center"/>
          </w:tcPr>
          <w:p w14:paraId="55406CFC">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26,617.16</w:t>
            </w:r>
          </w:p>
        </w:tc>
        <w:tc>
          <w:tcPr>
            <w:tcW w:w="1134" w:type="dxa"/>
            <w:shd w:val="clear" w:color="auto" w:fill="auto"/>
            <w:noWrap/>
            <w:vAlign w:val="center"/>
          </w:tcPr>
          <w:p w14:paraId="7B436042">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7B0C04BB">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空调通风及室外机完成2024年5月取得产权证</w:t>
            </w:r>
          </w:p>
        </w:tc>
      </w:tr>
      <w:tr w14:paraId="5602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4E41CBFA">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3</w:t>
            </w:r>
          </w:p>
        </w:tc>
        <w:tc>
          <w:tcPr>
            <w:tcW w:w="1457" w:type="dxa"/>
            <w:shd w:val="clear" w:color="auto" w:fill="auto"/>
            <w:noWrap/>
            <w:vAlign w:val="center"/>
          </w:tcPr>
          <w:p w14:paraId="02F60267">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A3仓库</w:t>
            </w:r>
          </w:p>
        </w:tc>
        <w:tc>
          <w:tcPr>
            <w:tcW w:w="1276" w:type="dxa"/>
            <w:shd w:val="clear" w:color="auto" w:fill="auto"/>
            <w:noWrap/>
            <w:vAlign w:val="center"/>
          </w:tcPr>
          <w:p w14:paraId="0BEC1780">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278.16</w:t>
            </w:r>
          </w:p>
        </w:tc>
        <w:tc>
          <w:tcPr>
            <w:tcW w:w="1134" w:type="dxa"/>
            <w:shd w:val="clear" w:color="auto" w:fill="auto"/>
            <w:noWrap/>
            <w:vAlign w:val="center"/>
          </w:tcPr>
          <w:p w14:paraId="0D79E8B7">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278.16</w:t>
            </w:r>
          </w:p>
        </w:tc>
        <w:tc>
          <w:tcPr>
            <w:tcW w:w="1134" w:type="dxa"/>
            <w:shd w:val="clear" w:color="auto" w:fill="auto"/>
            <w:noWrap/>
            <w:vAlign w:val="center"/>
          </w:tcPr>
          <w:p w14:paraId="3FF71C00">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7E8DEAC1">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2024年5月取得产权证</w:t>
            </w:r>
          </w:p>
        </w:tc>
      </w:tr>
      <w:tr w14:paraId="01C0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1BA5679E">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w:t>
            </w:r>
          </w:p>
        </w:tc>
        <w:tc>
          <w:tcPr>
            <w:tcW w:w="1457" w:type="dxa"/>
            <w:shd w:val="clear" w:color="auto" w:fill="auto"/>
            <w:noWrap/>
            <w:vAlign w:val="center"/>
          </w:tcPr>
          <w:p w14:paraId="4A9DCED9">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A4垃圾房</w:t>
            </w:r>
          </w:p>
        </w:tc>
        <w:tc>
          <w:tcPr>
            <w:tcW w:w="1276" w:type="dxa"/>
            <w:shd w:val="clear" w:color="auto" w:fill="auto"/>
            <w:noWrap/>
            <w:vAlign w:val="center"/>
          </w:tcPr>
          <w:p w14:paraId="7455AA08">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60.72</w:t>
            </w:r>
          </w:p>
        </w:tc>
        <w:tc>
          <w:tcPr>
            <w:tcW w:w="1134" w:type="dxa"/>
            <w:shd w:val="clear" w:color="auto" w:fill="auto"/>
            <w:noWrap/>
            <w:vAlign w:val="center"/>
          </w:tcPr>
          <w:p w14:paraId="16C3EC52">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60.72</w:t>
            </w:r>
          </w:p>
        </w:tc>
        <w:tc>
          <w:tcPr>
            <w:tcW w:w="1134" w:type="dxa"/>
            <w:shd w:val="clear" w:color="auto" w:fill="auto"/>
            <w:noWrap/>
            <w:vAlign w:val="center"/>
          </w:tcPr>
          <w:p w14:paraId="7DFC93FC">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7A8F84E0">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完成</w:t>
            </w:r>
          </w:p>
        </w:tc>
      </w:tr>
      <w:tr w14:paraId="6D54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459EB281">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5</w:t>
            </w:r>
          </w:p>
        </w:tc>
        <w:tc>
          <w:tcPr>
            <w:tcW w:w="1457" w:type="dxa"/>
            <w:shd w:val="clear" w:color="auto" w:fill="auto"/>
            <w:noWrap/>
            <w:vAlign w:val="center"/>
          </w:tcPr>
          <w:p w14:paraId="3C1ABC38">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A5设施设备间</w:t>
            </w:r>
          </w:p>
        </w:tc>
        <w:tc>
          <w:tcPr>
            <w:tcW w:w="1276" w:type="dxa"/>
            <w:shd w:val="clear" w:color="auto" w:fill="auto"/>
            <w:noWrap/>
            <w:vAlign w:val="center"/>
          </w:tcPr>
          <w:p w14:paraId="2E63FC31">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1,243.52</w:t>
            </w:r>
          </w:p>
        </w:tc>
        <w:tc>
          <w:tcPr>
            <w:tcW w:w="1134" w:type="dxa"/>
            <w:shd w:val="clear" w:color="auto" w:fill="auto"/>
            <w:noWrap/>
            <w:vAlign w:val="center"/>
          </w:tcPr>
          <w:p w14:paraId="3606DD9C">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1,243.52</w:t>
            </w:r>
          </w:p>
        </w:tc>
        <w:tc>
          <w:tcPr>
            <w:tcW w:w="1134" w:type="dxa"/>
            <w:shd w:val="clear" w:color="auto" w:fill="auto"/>
            <w:noWrap/>
            <w:vAlign w:val="center"/>
          </w:tcPr>
          <w:p w14:paraId="5BAF4BC5">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532.76</w:t>
            </w:r>
          </w:p>
        </w:tc>
        <w:tc>
          <w:tcPr>
            <w:tcW w:w="4407" w:type="dxa"/>
            <w:shd w:val="clear" w:color="auto" w:fill="auto"/>
            <w:vAlign w:val="center"/>
          </w:tcPr>
          <w:p w14:paraId="41368A47">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完成</w:t>
            </w:r>
          </w:p>
        </w:tc>
      </w:tr>
      <w:tr w14:paraId="2F46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1CBE07AF">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6</w:t>
            </w:r>
          </w:p>
        </w:tc>
        <w:tc>
          <w:tcPr>
            <w:tcW w:w="1457" w:type="dxa"/>
            <w:shd w:val="clear" w:color="auto" w:fill="auto"/>
            <w:noWrap/>
            <w:vAlign w:val="center"/>
          </w:tcPr>
          <w:p w14:paraId="74984E9C">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A6门房</w:t>
            </w:r>
          </w:p>
        </w:tc>
        <w:tc>
          <w:tcPr>
            <w:tcW w:w="1276" w:type="dxa"/>
            <w:shd w:val="clear" w:color="auto" w:fill="auto"/>
            <w:noWrap/>
            <w:vAlign w:val="center"/>
          </w:tcPr>
          <w:p w14:paraId="1D1147F5">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10.00</w:t>
            </w:r>
          </w:p>
        </w:tc>
        <w:tc>
          <w:tcPr>
            <w:tcW w:w="1134" w:type="dxa"/>
            <w:shd w:val="clear" w:color="auto" w:fill="auto"/>
            <w:noWrap/>
            <w:vAlign w:val="center"/>
          </w:tcPr>
          <w:p w14:paraId="3EBC750D">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9.73</w:t>
            </w:r>
          </w:p>
        </w:tc>
        <w:tc>
          <w:tcPr>
            <w:tcW w:w="1134" w:type="dxa"/>
            <w:shd w:val="clear" w:color="auto" w:fill="auto"/>
            <w:noWrap/>
            <w:vAlign w:val="center"/>
          </w:tcPr>
          <w:p w14:paraId="226CA4A1">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56BF4BD1">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val="en-US" w:eastAsia="zh-CN" w:bidi="ar"/>
              </w:rPr>
              <w:t>2</w:t>
            </w:r>
            <w:r>
              <w:rPr>
                <w:rFonts w:hint="eastAsia" w:cs="宋体" w:asciiTheme="minorEastAsia" w:hAnsiTheme="minorEastAsia"/>
                <w:sz w:val="18"/>
                <w:szCs w:val="18"/>
                <w:lang w:bidi="ar"/>
              </w:rPr>
              <w:t>024年5月取得产权证</w:t>
            </w:r>
          </w:p>
        </w:tc>
      </w:tr>
      <w:tr w14:paraId="0692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2C7B7DFF">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7</w:t>
            </w:r>
          </w:p>
        </w:tc>
        <w:tc>
          <w:tcPr>
            <w:tcW w:w="1457" w:type="dxa"/>
            <w:shd w:val="clear" w:color="auto" w:fill="auto"/>
            <w:noWrap/>
            <w:vAlign w:val="center"/>
          </w:tcPr>
          <w:p w14:paraId="06DF3E90">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A7门房</w:t>
            </w:r>
          </w:p>
        </w:tc>
        <w:tc>
          <w:tcPr>
            <w:tcW w:w="1276" w:type="dxa"/>
            <w:shd w:val="clear" w:color="auto" w:fill="auto"/>
            <w:noWrap/>
            <w:vAlign w:val="center"/>
          </w:tcPr>
          <w:p w14:paraId="039E0163">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45.76</w:t>
            </w:r>
          </w:p>
        </w:tc>
        <w:tc>
          <w:tcPr>
            <w:tcW w:w="1134" w:type="dxa"/>
            <w:shd w:val="clear" w:color="auto" w:fill="auto"/>
            <w:noWrap/>
            <w:vAlign w:val="center"/>
          </w:tcPr>
          <w:p w14:paraId="3082B9C3">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45.76</w:t>
            </w:r>
          </w:p>
        </w:tc>
        <w:tc>
          <w:tcPr>
            <w:tcW w:w="1134" w:type="dxa"/>
            <w:shd w:val="clear" w:color="auto" w:fill="auto"/>
            <w:noWrap/>
            <w:vAlign w:val="center"/>
          </w:tcPr>
          <w:p w14:paraId="2FFDA199">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7CC3011A">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完成</w:t>
            </w:r>
          </w:p>
        </w:tc>
      </w:tr>
      <w:tr w14:paraId="32F0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0" w:type="dxa"/>
            <w:shd w:val="clear" w:color="auto" w:fill="auto"/>
            <w:noWrap/>
            <w:vAlign w:val="center"/>
          </w:tcPr>
          <w:p w14:paraId="19561D97">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8</w:t>
            </w:r>
          </w:p>
        </w:tc>
        <w:tc>
          <w:tcPr>
            <w:tcW w:w="1457" w:type="dxa"/>
            <w:shd w:val="clear" w:color="auto" w:fill="auto"/>
            <w:noWrap/>
            <w:vAlign w:val="center"/>
          </w:tcPr>
          <w:p w14:paraId="6C7C7B0E">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A8自行车棚</w:t>
            </w:r>
          </w:p>
        </w:tc>
        <w:tc>
          <w:tcPr>
            <w:tcW w:w="1276" w:type="dxa"/>
            <w:shd w:val="clear" w:color="auto" w:fill="auto"/>
            <w:noWrap/>
            <w:vAlign w:val="center"/>
          </w:tcPr>
          <w:p w14:paraId="3BF6E79B">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400.00</w:t>
            </w:r>
          </w:p>
        </w:tc>
        <w:tc>
          <w:tcPr>
            <w:tcW w:w="1134" w:type="dxa"/>
            <w:shd w:val="clear" w:color="auto" w:fill="auto"/>
            <w:noWrap/>
            <w:vAlign w:val="center"/>
          </w:tcPr>
          <w:p w14:paraId="66BA6E0E">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200.00</w:t>
            </w:r>
          </w:p>
        </w:tc>
        <w:tc>
          <w:tcPr>
            <w:tcW w:w="1134" w:type="dxa"/>
            <w:shd w:val="clear" w:color="auto" w:fill="auto"/>
            <w:noWrap/>
            <w:vAlign w:val="center"/>
          </w:tcPr>
          <w:p w14:paraId="5401AAA0">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6B0CC570">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基础工程、地面工程、钢结构完成</w:t>
            </w:r>
          </w:p>
        </w:tc>
      </w:tr>
      <w:tr w14:paraId="45E2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0" w:type="dxa"/>
            <w:shd w:val="clear" w:color="auto" w:fill="auto"/>
            <w:noWrap/>
            <w:vAlign w:val="center"/>
          </w:tcPr>
          <w:p w14:paraId="701E430F">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9</w:t>
            </w:r>
          </w:p>
        </w:tc>
        <w:tc>
          <w:tcPr>
            <w:tcW w:w="1457" w:type="dxa"/>
            <w:shd w:val="clear" w:color="auto" w:fill="auto"/>
            <w:noWrap/>
            <w:vAlign w:val="center"/>
          </w:tcPr>
          <w:p w14:paraId="27DEFED9">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A9员工休息棚</w:t>
            </w:r>
          </w:p>
        </w:tc>
        <w:tc>
          <w:tcPr>
            <w:tcW w:w="1276" w:type="dxa"/>
            <w:shd w:val="clear" w:color="auto" w:fill="auto"/>
            <w:noWrap/>
            <w:vAlign w:val="center"/>
          </w:tcPr>
          <w:p w14:paraId="00AFED76">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92.16</w:t>
            </w:r>
          </w:p>
        </w:tc>
        <w:tc>
          <w:tcPr>
            <w:tcW w:w="1134" w:type="dxa"/>
            <w:shd w:val="clear" w:color="auto" w:fill="auto"/>
            <w:noWrap/>
            <w:vAlign w:val="center"/>
          </w:tcPr>
          <w:p w14:paraId="74FB2D68">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46.08</w:t>
            </w:r>
          </w:p>
        </w:tc>
        <w:tc>
          <w:tcPr>
            <w:tcW w:w="1134" w:type="dxa"/>
            <w:shd w:val="clear" w:color="auto" w:fill="auto"/>
            <w:noWrap/>
            <w:vAlign w:val="center"/>
          </w:tcPr>
          <w:p w14:paraId="09E28B4D">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71813D95">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基础工程、地面工程、钢结构完成</w:t>
            </w:r>
          </w:p>
        </w:tc>
      </w:tr>
      <w:tr w14:paraId="7B32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0" w:type="dxa"/>
            <w:shd w:val="clear" w:color="auto" w:fill="auto"/>
            <w:noWrap/>
            <w:vAlign w:val="center"/>
          </w:tcPr>
          <w:p w14:paraId="4CD68328">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10</w:t>
            </w:r>
          </w:p>
        </w:tc>
        <w:tc>
          <w:tcPr>
            <w:tcW w:w="1457" w:type="dxa"/>
            <w:shd w:val="clear" w:color="auto" w:fill="auto"/>
            <w:noWrap/>
            <w:vAlign w:val="center"/>
          </w:tcPr>
          <w:p w14:paraId="004F727E">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A10员工休息棚</w:t>
            </w:r>
          </w:p>
        </w:tc>
        <w:tc>
          <w:tcPr>
            <w:tcW w:w="1276" w:type="dxa"/>
            <w:shd w:val="clear" w:color="auto" w:fill="auto"/>
            <w:noWrap/>
            <w:vAlign w:val="center"/>
          </w:tcPr>
          <w:p w14:paraId="7AD1C66F">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149.64</w:t>
            </w:r>
          </w:p>
        </w:tc>
        <w:tc>
          <w:tcPr>
            <w:tcW w:w="1134" w:type="dxa"/>
            <w:shd w:val="clear" w:color="auto" w:fill="auto"/>
            <w:noWrap/>
            <w:vAlign w:val="center"/>
          </w:tcPr>
          <w:p w14:paraId="54F15D5B">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74.82</w:t>
            </w:r>
          </w:p>
        </w:tc>
        <w:tc>
          <w:tcPr>
            <w:tcW w:w="1134" w:type="dxa"/>
            <w:shd w:val="clear" w:color="auto" w:fill="auto"/>
            <w:noWrap/>
            <w:vAlign w:val="center"/>
          </w:tcPr>
          <w:p w14:paraId="0B151655">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55654D3A">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基础工程、地面工程、钢结构完成</w:t>
            </w:r>
          </w:p>
        </w:tc>
      </w:tr>
      <w:tr w14:paraId="2EC3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0" w:type="dxa"/>
            <w:shd w:val="clear" w:color="auto" w:fill="auto"/>
            <w:noWrap/>
            <w:vAlign w:val="center"/>
          </w:tcPr>
          <w:p w14:paraId="6E18A1F2">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11</w:t>
            </w:r>
          </w:p>
        </w:tc>
        <w:tc>
          <w:tcPr>
            <w:tcW w:w="1457" w:type="dxa"/>
            <w:shd w:val="clear" w:color="auto" w:fill="auto"/>
            <w:noWrap/>
            <w:vAlign w:val="center"/>
          </w:tcPr>
          <w:p w14:paraId="02520BAB">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A11大门</w:t>
            </w:r>
          </w:p>
        </w:tc>
        <w:tc>
          <w:tcPr>
            <w:tcW w:w="1276" w:type="dxa"/>
            <w:shd w:val="clear" w:color="auto" w:fill="auto"/>
            <w:noWrap/>
            <w:vAlign w:val="center"/>
          </w:tcPr>
          <w:p w14:paraId="5C5DCDD8">
            <w:pPr>
              <w:spacing w:line="360" w:lineRule="auto"/>
              <w:jc w:val="right"/>
              <w:rPr>
                <w:rFonts w:hint="eastAsia" w:cs="宋体" w:asciiTheme="minorEastAsia" w:hAnsiTheme="minorEastAsia"/>
                <w:sz w:val="18"/>
                <w:szCs w:val="18"/>
              </w:rPr>
            </w:pPr>
          </w:p>
        </w:tc>
        <w:tc>
          <w:tcPr>
            <w:tcW w:w="1134" w:type="dxa"/>
            <w:shd w:val="clear" w:color="auto" w:fill="auto"/>
            <w:noWrap/>
            <w:vAlign w:val="center"/>
          </w:tcPr>
          <w:p w14:paraId="5A193DD1">
            <w:pPr>
              <w:spacing w:line="360" w:lineRule="auto"/>
              <w:jc w:val="right"/>
              <w:rPr>
                <w:rFonts w:hint="eastAsia" w:cs="宋体" w:asciiTheme="minorEastAsia" w:hAnsiTheme="minorEastAsia"/>
                <w:sz w:val="18"/>
                <w:szCs w:val="18"/>
              </w:rPr>
            </w:pPr>
          </w:p>
        </w:tc>
        <w:tc>
          <w:tcPr>
            <w:tcW w:w="1134" w:type="dxa"/>
            <w:shd w:val="clear" w:color="auto" w:fill="auto"/>
            <w:noWrap/>
            <w:vAlign w:val="center"/>
          </w:tcPr>
          <w:p w14:paraId="24B79AE3">
            <w:pPr>
              <w:spacing w:line="360" w:lineRule="auto"/>
              <w:jc w:val="right"/>
              <w:rPr>
                <w:rFonts w:hint="eastAsia" w:cs="宋体" w:asciiTheme="minorEastAsia" w:hAnsiTheme="minorEastAsia"/>
                <w:sz w:val="18"/>
                <w:szCs w:val="18"/>
              </w:rPr>
            </w:pPr>
          </w:p>
        </w:tc>
        <w:tc>
          <w:tcPr>
            <w:tcW w:w="4407" w:type="dxa"/>
            <w:shd w:val="clear" w:color="auto" w:fill="auto"/>
            <w:vAlign w:val="center"/>
          </w:tcPr>
          <w:p w14:paraId="1C839130">
            <w:pPr>
              <w:spacing w:line="360" w:lineRule="auto"/>
              <w:jc w:val="both"/>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大门主体及装饰工程完成</w:t>
            </w:r>
          </w:p>
        </w:tc>
      </w:tr>
      <w:tr w14:paraId="46FC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7" w:type="dxa"/>
            <w:gridSpan w:val="2"/>
            <w:shd w:val="clear" w:color="auto" w:fill="auto"/>
            <w:noWrap/>
            <w:vAlign w:val="center"/>
          </w:tcPr>
          <w:p w14:paraId="1F4DBCE9">
            <w:pPr>
              <w:spacing w:line="360" w:lineRule="auto"/>
              <w:jc w:val="center"/>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合计</w:t>
            </w:r>
          </w:p>
        </w:tc>
        <w:tc>
          <w:tcPr>
            <w:tcW w:w="1276" w:type="dxa"/>
            <w:shd w:val="clear" w:color="auto" w:fill="auto"/>
            <w:noWrap/>
            <w:vAlign w:val="center"/>
          </w:tcPr>
          <w:p w14:paraId="013281F5">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31,694.86</w:t>
            </w:r>
          </w:p>
        </w:tc>
        <w:tc>
          <w:tcPr>
            <w:tcW w:w="1134" w:type="dxa"/>
            <w:shd w:val="clear" w:color="auto" w:fill="auto"/>
            <w:noWrap/>
            <w:vAlign w:val="center"/>
          </w:tcPr>
          <w:p w14:paraId="12F6F898">
            <w:pPr>
              <w:spacing w:line="360" w:lineRule="auto"/>
              <w:jc w:val="right"/>
              <w:textAlignment w:val="center"/>
              <w:rPr>
                <w:rFonts w:hint="eastAsia" w:cs="宋体" w:asciiTheme="minorEastAsia" w:hAnsiTheme="minorEastAsia"/>
                <w:sz w:val="18"/>
                <w:szCs w:val="18"/>
              </w:rPr>
            </w:pPr>
            <w:r>
              <w:rPr>
                <w:rFonts w:hint="eastAsia" w:cs="宋体" w:asciiTheme="minorEastAsia" w:hAnsiTheme="minorEastAsia"/>
                <w:sz w:val="18"/>
                <w:szCs w:val="18"/>
                <w:lang w:bidi="ar"/>
              </w:rPr>
              <w:t>32,992.74</w:t>
            </w:r>
          </w:p>
        </w:tc>
        <w:tc>
          <w:tcPr>
            <w:tcW w:w="1134" w:type="dxa"/>
            <w:shd w:val="clear" w:color="auto" w:fill="auto"/>
            <w:noWrap/>
            <w:vAlign w:val="center"/>
          </w:tcPr>
          <w:p w14:paraId="2C9D4E36">
            <w:pPr>
              <w:spacing w:line="360" w:lineRule="auto"/>
              <w:jc w:val="right"/>
              <w:rPr>
                <w:rFonts w:hint="eastAsia" w:cs="宋体" w:asciiTheme="minorEastAsia" w:hAnsiTheme="minorEastAsia"/>
                <w:sz w:val="18"/>
                <w:szCs w:val="18"/>
              </w:rPr>
            </w:pPr>
            <w:r>
              <w:rPr>
                <w:rFonts w:cs="宋体" w:asciiTheme="minorEastAsia" w:hAnsiTheme="minorEastAsia"/>
                <w:sz w:val="18"/>
                <w:szCs w:val="18"/>
              </w:rPr>
              <w:t>532.76</w:t>
            </w:r>
          </w:p>
        </w:tc>
        <w:tc>
          <w:tcPr>
            <w:tcW w:w="4407" w:type="dxa"/>
            <w:shd w:val="clear" w:color="auto" w:fill="auto"/>
            <w:vAlign w:val="center"/>
          </w:tcPr>
          <w:p w14:paraId="3A9A9746">
            <w:pPr>
              <w:spacing w:line="360" w:lineRule="auto"/>
              <w:jc w:val="both"/>
              <w:rPr>
                <w:rFonts w:hint="eastAsia" w:cs="宋体" w:asciiTheme="minorEastAsia" w:hAnsiTheme="minorEastAsia"/>
                <w:sz w:val="18"/>
                <w:szCs w:val="18"/>
              </w:rPr>
            </w:pPr>
          </w:p>
        </w:tc>
      </w:tr>
    </w:tbl>
    <w:p w14:paraId="23DBD4D6">
      <w:pPr>
        <w:pStyle w:val="29"/>
        <w:spacing w:before="240" w:beforeLines="100" w:line="360" w:lineRule="auto"/>
        <w:ind w:firstLine="484"/>
        <w:jc w:val="both"/>
      </w:pPr>
      <w:bookmarkStart w:id="25" w:name="_Toc201739185"/>
      <w:bookmarkStart w:id="26" w:name="_Toc18002"/>
      <w:bookmarkStart w:id="27" w:name="_Toc2705"/>
      <w:r>
        <w:t>资金投入及使用情况</w:t>
      </w:r>
      <w:bookmarkEnd w:id="25"/>
      <w:bookmarkEnd w:id="26"/>
      <w:bookmarkEnd w:id="27"/>
    </w:p>
    <w:p w14:paraId="50465904">
      <w:pPr>
        <w:spacing w:line="360" w:lineRule="auto"/>
        <w:ind w:firstLine="560" w:firstLineChars="200"/>
        <w:jc w:val="both"/>
        <w:rPr>
          <w:rStyle w:val="33"/>
          <w:rFonts w:hint="default"/>
        </w:rPr>
      </w:pPr>
      <w:r>
        <w:rPr>
          <w:rStyle w:val="33"/>
          <w:rFonts w:hint="default"/>
        </w:rPr>
        <w:t>中韩（长春）国际合作示范区智能装备孵化基地项目共分两期建设，项目总投资35,433.62万元，其中申请专项债券25,800.00万元，占总投资比例72.81%；自有资金投入9,633.62万元，占总投资比例27.19%。2022年7月13日下达长春国创智能装备产业发展有限公司2022年第5批新增地方政府专项债券资金－中韩（长春）国际合作示范区智能装备孵化基地项目专项券资金13,200.00万元，发债年限30年，年利率3.43%。</w:t>
      </w:r>
    </w:p>
    <w:p w14:paraId="6CF8A3C4">
      <w:pPr>
        <w:spacing w:line="360" w:lineRule="auto"/>
        <w:ind w:firstLine="480" w:firstLineChars="200"/>
        <w:jc w:val="both"/>
        <w:rPr>
          <w:rFonts w:hint="eastAsia" w:asciiTheme="minorEastAsia" w:hAnsiTheme="minorEastAsia"/>
          <w:color w:val="auto"/>
          <w:sz w:val="24"/>
          <w:szCs w:val="24"/>
        </w:rPr>
      </w:pPr>
      <w:r>
        <w:rPr>
          <w:rFonts w:hint="eastAsia" w:asciiTheme="minorEastAsia" w:hAnsiTheme="minorEastAsia"/>
          <w:color w:val="auto"/>
          <w:sz w:val="24"/>
          <w:szCs w:val="24"/>
        </w:rPr>
        <w:t>专项债券主要用于项目建设工程款费用支出，截至2024年末支出11,754.09万元，资金使用率89.05%；截至目前，该项目已完成一期工程建设，共计支出11,754.09万元，剩余1,445.91万元。</w:t>
      </w:r>
    </w:p>
    <w:p w14:paraId="7D88A9F4">
      <w:pPr>
        <w:spacing w:line="360" w:lineRule="auto"/>
        <w:ind w:firstLine="560" w:firstLineChars="200"/>
        <w:jc w:val="both"/>
        <w:rPr>
          <w:rStyle w:val="33"/>
          <w:rFonts w:hint="default"/>
        </w:rPr>
      </w:pPr>
      <w:r>
        <w:rPr>
          <w:rStyle w:val="33"/>
          <w:rFonts w:hint="default"/>
        </w:rPr>
        <w:t>中韩（长春）国际合作示范区智能装备孵化基地项目二期未实施，2024年未下达新增地方政府专项债券资金。</w:t>
      </w:r>
    </w:p>
    <w:p w14:paraId="0AD84679">
      <w:pPr>
        <w:spacing w:line="360" w:lineRule="auto"/>
        <w:jc w:val="center"/>
        <w:rPr>
          <w:rFonts w:hint="eastAsia" w:ascii="宋体" w:hAnsi="宋体" w:eastAsia="宋体" w:cs="宋体"/>
          <w:spacing w:val="-1"/>
          <w:position w:val="28"/>
          <w:sz w:val="23"/>
          <w:szCs w:val="23"/>
        </w:rPr>
      </w:pPr>
      <w:r>
        <w:rPr>
          <w:rFonts w:hint="eastAsia" w:ascii="宋体" w:hAnsi="宋体" w:eastAsia="宋体" w:cs="宋体"/>
          <w:spacing w:val="-1"/>
          <w:position w:val="28"/>
          <w:sz w:val="23"/>
          <w:szCs w:val="23"/>
        </w:rPr>
        <w:t>表二：专项债券资金使用情况表</w:t>
      </w:r>
    </w:p>
    <w:p w14:paraId="1F07B829">
      <w:pPr>
        <w:pStyle w:val="2"/>
        <w:ind w:right="482"/>
        <w:jc w:val="right"/>
        <w:outlineLvl w:val="9"/>
        <w:rPr>
          <w:b w:val="0"/>
          <w:bCs w:val="0"/>
          <w:sz w:val="24"/>
          <w:szCs w:val="24"/>
        </w:rPr>
      </w:pPr>
      <w:r>
        <w:rPr>
          <w:rFonts w:hint="eastAsia"/>
          <w:b w:val="0"/>
          <w:bCs w:val="0"/>
          <w:sz w:val="24"/>
          <w:szCs w:val="24"/>
        </w:rPr>
        <w:t>单位：万元</w:t>
      </w:r>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75"/>
        <w:gridCol w:w="3119"/>
        <w:gridCol w:w="1559"/>
        <w:gridCol w:w="1418"/>
        <w:gridCol w:w="1701"/>
      </w:tblGrid>
      <w:tr w14:paraId="7D9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57" w:type="dxa"/>
            <w:shd w:val="clear" w:color="auto" w:fill="auto"/>
            <w:noWrap/>
            <w:vAlign w:val="center"/>
          </w:tcPr>
          <w:p w14:paraId="5A84E992">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序号</w:t>
            </w:r>
          </w:p>
        </w:tc>
        <w:tc>
          <w:tcPr>
            <w:tcW w:w="1275" w:type="dxa"/>
            <w:shd w:val="clear" w:color="auto" w:fill="auto"/>
            <w:noWrap/>
            <w:vAlign w:val="center"/>
          </w:tcPr>
          <w:p w14:paraId="00A27A68">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记账时间</w:t>
            </w:r>
          </w:p>
        </w:tc>
        <w:tc>
          <w:tcPr>
            <w:tcW w:w="3119" w:type="dxa"/>
            <w:shd w:val="clear" w:color="auto" w:fill="auto"/>
            <w:noWrap/>
            <w:vAlign w:val="center"/>
          </w:tcPr>
          <w:p w14:paraId="424C34A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收款单位</w:t>
            </w:r>
          </w:p>
        </w:tc>
        <w:tc>
          <w:tcPr>
            <w:tcW w:w="1559" w:type="dxa"/>
            <w:shd w:val="clear" w:color="auto" w:fill="auto"/>
            <w:noWrap/>
            <w:vAlign w:val="center"/>
          </w:tcPr>
          <w:p w14:paraId="081819B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使用方向</w:t>
            </w:r>
          </w:p>
        </w:tc>
        <w:tc>
          <w:tcPr>
            <w:tcW w:w="1418" w:type="dxa"/>
            <w:shd w:val="clear" w:color="auto" w:fill="auto"/>
            <w:noWrap/>
            <w:vAlign w:val="center"/>
          </w:tcPr>
          <w:p w14:paraId="1295A271">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支出金额</w:t>
            </w:r>
          </w:p>
        </w:tc>
        <w:tc>
          <w:tcPr>
            <w:tcW w:w="1700" w:type="dxa"/>
            <w:shd w:val="clear" w:color="auto" w:fill="auto"/>
            <w:noWrap/>
            <w:vAlign w:val="center"/>
          </w:tcPr>
          <w:p w14:paraId="0D4FD687">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债券资金使用率</w:t>
            </w:r>
          </w:p>
        </w:tc>
      </w:tr>
      <w:tr w14:paraId="3B80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4444B1E4">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w:t>
            </w:r>
          </w:p>
        </w:tc>
        <w:tc>
          <w:tcPr>
            <w:tcW w:w="1275" w:type="dxa"/>
            <w:shd w:val="clear" w:color="auto" w:fill="auto"/>
            <w:noWrap/>
            <w:vAlign w:val="center"/>
          </w:tcPr>
          <w:p w14:paraId="710C8EC3">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20220713</w:t>
            </w:r>
          </w:p>
        </w:tc>
        <w:tc>
          <w:tcPr>
            <w:tcW w:w="3119" w:type="dxa"/>
            <w:shd w:val="clear" w:color="auto" w:fill="auto"/>
            <w:noWrap/>
            <w:vAlign w:val="center"/>
          </w:tcPr>
          <w:p w14:paraId="65651B3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07BD306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3FCED490">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132.00</w:t>
            </w:r>
          </w:p>
        </w:tc>
        <w:tc>
          <w:tcPr>
            <w:tcW w:w="1701" w:type="dxa"/>
            <w:shd w:val="clear" w:color="auto" w:fill="auto"/>
            <w:noWrap/>
            <w:vAlign w:val="center"/>
          </w:tcPr>
          <w:p w14:paraId="4F4A6B69">
            <w:pPr>
              <w:spacing w:line="360" w:lineRule="auto"/>
              <w:jc w:val="right"/>
              <w:rPr>
                <w:rFonts w:hint="eastAsia" w:cs="宋体" w:asciiTheme="minorEastAsia" w:hAnsiTheme="minorEastAsia"/>
              </w:rPr>
            </w:pPr>
          </w:p>
        </w:tc>
      </w:tr>
      <w:tr w14:paraId="2636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57" w:type="dxa"/>
            <w:shd w:val="clear" w:color="auto" w:fill="auto"/>
            <w:noWrap/>
            <w:vAlign w:val="center"/>
          </w:tcPr>
          <w:p w14:paraId="0BBB1B0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w:t>
            </w:r>
          </w:p>
        </w:tc>
        <w:tc>
          <w:tcPr>
            <w:tcW w:w="1275" w:type="dxa"/>
            <w:shd w:val="clear" w:color="auto" w:fill="auto"/>
            <w:noWrap/>
            <w:vAlign w:val="center"/>
          </w:tcPr>
          <w:p w14:paraId="4A9D9053">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20220722</w:t>
            </w:r>
          </w:p>
        </w:tc>
        <w:tc>
          <w:tcPr>
            <w:tcW w:w="3119" w:type="dxa"/>
            <w:shd w:val="clear" w:color="auto" w:fill="auto"/>
            <w:noWrap/>
            <w:vAlign w:val="center"/>
          </w:tcPr>
          <w:p w14:paraId="21506CB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7597178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7FFE7206">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2,304.57</w:t>
            </w:r>
          </w:p>
        </w:tc>
        <w:tc>
          <w:tcPr>
            <w:tcW w:w="1701" w:type="dxa"/>
            <w:shd w:val="clear" w:color="auto" w:fill="auto"/>
            <w:noWrap/>
            <w:vAlign w:val="center"/>
          </w:tcPr>
          <w:p w14:paraId="7487AD83">
            <w:pPr>
              <w:spacing w:line="360" w:lineRule="auto"/>
              <w:jc w:val="right"/>
              <w:rPr>
                <w:rFonts w:hint="eastAsia" w:cs="宋体" w:asciiTheme="minorEastAsia" w:hAnsiTheme="minorEastAsia"/>
              </w:rPr>
            </w:pPr>
          </w:p>
        </w:tc>
      </w:tr>
      <w:tr w14:paraId="7368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6DB9C4F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3</w:t>
            </w:r>
          </w:p>
        </w:tc>
        <w:tc>
          <w:tcPr>
            <w:tcW w:w="1275" w:type="dxa"/>
            <w:shd w:val="clear" w:color="auto" w:fill="auto"/>
            <w:noWrap/>
            <w:vAlign w:val="center"/>
          </w:tcPr>
          <w:p w14:paraId="7637DE2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20220801</w:t>
            </w:r>
          </w:p>
        </w:tc>
        <w:tc>
          <w:tcPr>
            <w:tcW w:w="3119" w:type="dxa"/>
            <w:shd w:val="clear" w:color="auto" w:fill="auto"/>
            <w:noWrap/>
            <w:vAlign w:val="center"/>
          </w:tcPr>
          <w:p w14:paraId="28D1EA61">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66D4148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7D3D657E">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1,502.00</w:t>
            </w:r>
          </w:p>
        </w:tc>
        <w:tc>
          <w:tcPr>
            <w:tcW w:w="1701" w:type="dxa"/>
            <w:shd w:val="clear" w:color="auto" w:fill="auto"/>
            <w:noWrap/>
            <w:vAlign w:val="center"/>
          </w:tcPr>
          <w:p w14:paraId="4E7BA674">
            <w:pPr>
              <w:spacing w:line="360" w:lineRule="auto"/>
              <w:jc w:val="right"/>
              <w:rPr>
                <w:rFonts w:hint="eastAsia" w:cs="宋体" w:asciiTheme="minorEastAsia" w:hAnsiTheme="minorEastAsia"/>
              </w:rPr>
            </w:pPr>
          </w:p>
        </w:tc>
      </w:tr>
      <w:tr w14:paraId="3586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7C3E710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4</w:t>
            </w:r>
          </w:p>
        </w:tc>
        <w:tc>
          <w:tcPr>
            <w:tcW w:w="1275" w:type="dxa"/>
            <w:shd w:val="clear" w:color="auto" w:fill="auto"/>
            <w:noWrap/>
            <w:vAlign w:val="center"/>
          </w:tcPr>
          <w:p w14:paraId="7DDAB0B7">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20221001</w:t>
            </w:r>
          </w:p>
        </w:tc>
        <w:tc>
          <w:tcPr>
            <w:tcW w:w="3119" w:type="dxa"/>
            <w:shd w:val="clear" w:color="auto" w:fill="auto"/>
            <w:noWrap/>
            <w:vAlign w:val="center"/>
          </w:tcPr>
          <w:p w14:paraId="0A9CCDCB">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4263BAE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2DB61493">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1,757.54</w:t>
            </w:r>
          </w:p>
        </w:tc>
        <w:tc>
          <w:tcPr>
            <w:tcW w:w="1701" w:type="dxa"/>
            <w:shd w:val="clear" w:color="auto" w:fill="auto"/>
            <w:noWrap/>
            <w:vAlign w:val="center"/>
          </w:tcPr>
          <w:p w14:paraId="2115DED0">
            <w:pPr>
              <w:spacing w:line="360" w:lineRule="auto"/>
              <w:jc w:val="right"/>
              <w:rPr>
                <w:rFonts w:hint="eastAsia" w:cs="宋体" w:asciiTheme="minorEastAsia" w:hAnsiTheme="minorEastAsia"/>
              </w:rPr>
            </w:pPr>
          </w:p>
        </w:tc>
      </w:tr>
      <w:tr w14:paraId="7DD1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76C53184">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5</w:t>
            </w:r>
          </w:p>
        </w:tc>
        <w:tc>
          <w:tcPr>
            <w:tcW w:w="1275" w:type="dxa"/>
            <w:shd w:val="clear" w:color="auto" w:fill="auto"/>
            <w:noWrap/>
            <w:vAlign w:val="center"/>
          </w:tcPr>
          <w:p w14:paraId="35023538">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20221027</w:t>
            </w:r>
          </w:p>
        </w:tc>
        <w:tc>
          <w:tcPr>
            <w:tcW w:w="3119" w:type="dxa"/>
            <w:shd w:val="clear" w:color="auto" w:fill="auto"/>
            <w:noWrap/>
            <w:vAlign w:val="center"/>
          </w:tcPr>
          <w:p w14:paraId="078211E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1B37065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5CD236C1">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1,569.67</w:t>
            </w:r>
          </w:p>
        </w:tc>
        <w:tc>
          <w:tcPr>
            <w:tcW w:w="1701" w:type="dxa"/>
            <w:shd w:val="clear" w:color="auto" w:fill="auto"/>
            <w:noWrap/>
            <w:vAlign w:val="center"/>
          </w:tcPr>
          <w:p w14:paraId="5C955380">
            <w:pPr>
              <w:spacing w:line="360" w:lineRule="auto"/>
              <w:jc w:val="right"/>
              <w:rPr>
                <w:rFonts w:hint="eastAsia" w:cs="宋体" w:asciiTheme="minorEastAsia" w:hAnsiTheme="minorEastAsia"/>
              </w:rPr>
            </w:pPr>
          </w:p>
        </w:tc>
      </w:tr>
      <w:tr w14:paraId="20D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072323D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6</w:t>
            </w:r>
          </w:p>
        </w:tc>
        <w:tc>
          <w:tcPr>
            <w:tcW w:w="1275" w:type="dxa"/>
            <w:shd w:val="clear" w:color="auto" w:fill="auto"/>
            <w:noWrap/>
            <w:vAlign w:val="center"/>
          </w:tcPr>
          <w:p w14:paraId="6C5A7902">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20221121</w:t>
            </w:r>
          </w:p>
        </w:tc>
        <w:tc>
          <w:tcPr>
            <w:tcW w:w="3119" w:type="dxa"/>
            <w:shd w:val="clear" w:color="auto" w:fill="auto"/>
            <w:noWrap/>
            <w:vAlign w:val="center"/>
          </w:tcPr>
          <w:p w14:paraId="374C4AB8">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5CCCCCA3">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2663437F">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795.75</w:t>
            </w:r>
          </w:p>
        </w:tc>
        <w:tc>
          <w:tcPr>
            <w:tcW w:w="1701" w:type="dxa"/>
            <w:shd w:val="clear" w:color="auto" w:fill="auto"/>
            <w:noWrap/>
            <w:vAlign w:val="center"/>
          </w:tcPr>
          <w:p w14:paraId="0762B47C">
            <w:pPr>
              <w:spacing w:line="360" w:lineRule="auto"/>
              <w:jc w:val="right"/>
              <w:rPr>
                <w:rFonts w:hint="eastAsia" w:cs="宋体" w:asciiTheme="minorEastAsia" w:hAnsiTheme="minorEastAsia"/>
              </w:rPr>
            </w:pPr>
          </w:p>
        </w:tc>
      </w:tr>
      <w:tr w14:paraId="0C9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5A18EE6C">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7</w:t>
            </w:r>
          </w:p>
        </w:tc>
        <w:tc>
          <w:tcPr>
            <w:tcW w:w="1275" w:type="dxa"/>
            <w:shd w:val="clear" w:color="auto" w:fill="auto"/>
            <w:noWrap/>
            <w:vAlign w:val="center"/>
          </w:tcPr>
          <w:p w14:paraId="220F52A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20221227</w:t>
            </w:r>
          </w:p>
        </w:tc>
        <w:tc>
          <w:tcPr>
            <w:tcW w:w="3119" w:type="dxa"/>
            <w:shd w:val="clear" w:color="auto" w:fill="auto"/>
            <w:noWrap/>
            <w:vAlign w:val="center"/>
          </w:tcPr>
          <w:p w14:paraId="00271088">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5A39DB3B">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001BFAA0">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1,727.47</w:t>
            </w:r>
          </w:p>
        </w:tc>
        <w:tc>
          <w:tcPr>
            <w:tcW w:w="1701" w:type="dxa"/>
            <w:shd w:val="clear" w:color="auto" w:fill="auto"/>
            <w:noWrap/>
            <w:vAlign w:val="center"/>
          </w:tcPr>
          <w:p w14:paraId="05E3716A">
            <w:pPr>
              <w:spacing w:line="360" w:lineRule="auto"/>
              <w:jc w:val="right"/>
              <w:rPr>
                <w:rFonts w:hint="eastAsia" w:cs="宋体" w:asciiTheme="minorEastAsia" w:hAnsiTheme="minorEastAsia"/>
              </w:rPr>
            </w:pPr>
          </w:p>
        </w:tc>
      </w:tr>
      <w:tr w14:paraId="5A9A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0" w:type="dxa"/>
            <w:gridSpan w:val="4"/>
            <w:shd w:val="clear" w:color="auto" w:fill="auto"/>
            <w:noWrap/>
            <w:vAlign w:val="center"/>
          </w:tcPr>
          <w:p w14:paraId="1B817D41">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小计</w:t>
            </w:r>
          </w:p>
        </w:tc>
        <w:tc>
          <w:tcPr>
            <w:tcW w:w="1418" w:type="dxa"/>
            <w:shd w:val="clear" w:color="auto" w:fill="auto"/>
            <w:noWrap/>
            <w:vAlign w:val="center"/>
          </w:tcPr>
          <w:p w14:paraId="64191291">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9,789.00</w:t>
            </w:r>
          </w:p>
        </w:tc>
        <w:tc>
          <w:tcPr>
            <w:tcW w:w="1701" w:type="dxa"/>
            <w:shd w:val="clear" w:color="auto" w:fill="auto"/>
            <w:noWrap/>
            <w:vAlign w:val="center"/>
          </w:tcPr>
          <w:p w14:paraId="4335098B">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74.16%</w:t>
            </w:r>
          </w:p>
        </w:tc>
      </w:tr>
      <w:tr w14:paraId="5F6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7" w:type="dxa"/>
            <w:shd w:val="clear" w:color="auto" w:fill="auto"/>
            <w:noWrap/>
            <w:vAlign w:val="center"/>
          </w:tcPr>
          <w:p w14:paraId="7D423388">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8</w:t>
            </w:r>
          </w:p>
        </w:tc>
        <w:tc>
          <w:tcPr>
            <w:tcW w:w="1275" w:type="dxa"/>
            <w:shd w:val="clear" w:color="auto" w:fill="auto"/>
            <w:noWrap/>
            <w:vAlign w:val="center"/>
          </w:tcPr>
          <w:p w14:paraId="2A6B7321">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20230112</w:t>
            </w:r>
          </w:p>
        </w:tc>
        <w:tc>
          <w:tcPr>
            <w:tcW w:w="3119" w:type="dxa"/>
            <w:shd w:val="clear" w:color="auto" w:fill="auto"/>
            <w:noWrap/>
            <w:vAlign w:val="center"/>
          </w:tcPr>
          <w:p w14:paraId="23BB9E4E">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中翎建业集团有限公司</w:t>
            </w:r>
          </w:p>
        </w:tc>
        <w:tc>
          <w:tcPr>
            <w:tcW w:w="1559" w:type="dxa"/>
            <w:shd w:val="clear" w:color="auto" w:fill="auto"/>
            <w:noWrap/>
            <w:vAlign w:val="center"/>
          </w:tcPr>
          <w:p w14:paraId="1D5814B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监理费</w:t>
            </w:r>
          </w:p>
        </w:tc>
        <w:tc>
          <w:tcPr>
            <w:tcW w:w="1418" w:type="dxa"/>
            <w:shd w:val="clear" w:color="auto" w:fill="auto"/>
            <w:noWrap/>
            <w:vAlign w:val="center"/>
          </w:tcPr>
          <w:p w14:paraId="0D4B32F2">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34.97</w:t>
            </w:r>
          </w:p>
        </w:tc>
        <w:tc>
          <w:tcPr>
            <w:tcW w:w="1701" w:type="dxa"/>
            <w:shd w:val="clear" w:color="auto" w:fill="auto"/>
            <w:noWrap/>
            <w:vAlign w:val="center"/>
          </w:tcPr>
          <w:p w14:paraId="44DDD72C">
            <w:pPr>
              <w:spacing w:line="360" w:lineRule="auto"/>
              <w:jc w:val="right"/>
              <w:rPr>
                <w:rFonts w:hint="eastAsia" w:cs="宋体" w:asciiTheme="minorEastAsia" w:hAnsiTheme="minorEastAsia"/>
              </w:rPr>
            </w:pPr>
          </w:p>
        </w:tc>
      </w:tr>
      <w:tr w14:paraId="0E1B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01E24CA3">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9</w:t>
            </w:r>
          </w:p>
        </w:tc>
        <w:tc>
          <w:tcPr>
            <w:tcW w:w="1275" w:type="dxa"/>
            <w:shd w:val="clear" w:color="auto" w:fill="auto"/>
            <w:noWrap/>
            <w:vAlign w:val="center"/>
          </w:tcPr>
          <w:p w14:paraId="3FACB321">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20230223</w:t>
            </w:r>
          </w:p>
        </w:tc>
        <w:tc>
          <w:tcPr>
            <w:tcW w:w="3119" w:type="dxa"/>
            <w:shd w:val="clear" w:color="auto" w:fill="auto"/>
            <w:noWrap/>
            <w:vAlign w:val="center"/>
          </w:tcPr>
          <w:p w14:paraId="619BB0D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吉林安装集团股份有限公司</w:t>
            </w:r>
          </w:p>
        </w:tc>
        <w:tc>
          <w:tcPr>
            <w:tcW w:w="1559" w:type="dxa"/>
            <w:shd w:val="clear" w:color="auto" w:fill="auto"/>
            <w:noWrap/>
            <w:vAlign w:val="center"/>
          </w:tcPr>
          <w:p w14:paraId="5CF0CE5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工程款</w:t>
            </w:r>
          </w:p>
        </w:tc>
        <w:tc>
          <w:tcPr>
            <w:tcW w:w="1418" w:type="dxa"/>
            <w:shd w:val="clear" w:color="auto" w:fill="auto"/>
            <w:noWrap/>
            <w:vAlign w:val="center"/>
          </w:tcPr>
          <w:p w14:paraId="0078F148">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1,414.50</w:t>
            </w:r>
          </w:p>
        </w:tc>
        <w:tc>
          <w:tcPr>
            <w:tcW w:w="1701" w:type="dxa"/>
            <w:shd w:val="clear" w:color="auto" w:fill="auto"/>
            <w:noWrap/>
            <w:vAlign w:val="center"/>
          </w:tcPr>
          <w:p w14:paraId="7398D5C1">
            <w:pPr>
              <w:spacing w:line="360" w:lineRule="auto"/>
              <w:jc w:val="right"/>
              <w:rPr>
                <w:rFonts w:hint="eastAsia" w:cs="宋体" w:asciiTheme="minorEastAsia" w:hAnsiTheme="minorEastAsia"/>
              </w:rPr>
            </w:pPr>
          </w:p>
        </w:tc>
      </w:tr>
      <w:tr w14:paraId="7738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0B466DB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10</w:t>
            </w:r>
          </w:p>
        </w:tc>
        <w:tc>
          <w:tcPr>
            <w:tcW w:w="1275" w:type="dxa"/>
            <w:shd w:val="clear" w:color="auto" w:fill="auto"/>
            <w:noWrap/>
            <w:vAlign w:val="center"/>
          </w:tcPr>
          <w:p w14:paraId="10E9B20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20230425</w:t>
            </w:r>
          </w:p>
        </w:tc>
        <w:tc>
          <w:tcPr>
            <w:tcW w:w="3119" w:type="dxa"/>
            <w:shd w:val="clear" w:color="auto" w:fill="auto"/>
            <w:noWrap/>
            <w:vAlign w:val="center"/>
          </w:tcPr>
          <w:p w14:paraId="3D23E92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长春市昊强电力安装有限公司</w:t>
            </w:r>
          </w:p>
        </w:tc>
        <w:tc>
          <w:tcPr>
            <w:tcW w:w="1559" w:type="dxa"/>
            <w:shd w:val="clear" w:color="auto" w:fill="auto"/>
            <w:noWrap/>
            <w:vAlign w:val="center"/>
          </w:tcPr>
          <w:p w14:paraId="44BAC87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正式电工程款</w:t>
            </w:r>
          </w:p>
        </w:tc>
        <w:tc>
          <w:tcPr>
            <w:tcW w:w="1418" w:type="dxa"/>
            <w:shd w:val="clear" w:color="auto" w:fill="auto"/>
            <w:noWrap/>
            <w:vAlign w:val="center"/>
          </w:tcPr>
          <w:p w14:paraId="3A4B3C58">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444.15</w:t>
            </w:r>
          </w:p>
        </w:tc>
        <w:tc>
          <w:tcPr>
            <w:tcW w:w="1701" w:type="dxa"/>
            <w:shd w:val="clear" w:color="auto" w:fill="auto"/>
            <w:noWrap/>
            <w:vAlign w:val="center"/>
          </w:tcPr>
          <w:p w14:paraId="783E6109">
            <w:pPr>
              <w:spacing w:line="360" w:lineRule="auto"/>
              <w:jc w:val="right"/>
              <w:rPr>
                <w:rFonts w:hint="eastAsia" w:cs="宋体" w:asciiTheme="minorEastAsia" w:hAnsiTheme="minorEastAsia"/>
              </w:rPr>
            </w:pPr>
          </w:p>
        </w:tc>
      </w:tr>
      <w:tr w14:paraId="656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03137E0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11</w:t>
            </w:r>
          </w:p>
        </w:tc>
        <w:tc>
          <w:tcPr>
            <w:tcW w:w="1275" w:type="dxa"/>
            <w:shd w:val="clear" w:color="auto" w:fill="auto"/>
            <w:noWrap/>
            <w:vAlign w:val="center"/>
          </w:tcPr>
          <w:p w14:paraId="7B2A029C">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20230531</w:t>
            </w:r>
          </w:p>
        </w:tc>
        <w:tc>
          <w:tcPr>
            <w:tcW w:w="3119" w:type="dxa"/>
            <w:shd w:val="clear" w:color="auto" w:fill="auto"/>
            <w:noWrap/>
            <w:vAlign w:val="center"/>
          </w:tcPr>
          <w:p w14:paraId="7F1D22A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长春市昊强电力安装有限公司</w:t>
            </w:r>
          </w:p>
        </w:tc>
        <w:tc>
          <w:tcPr>
            <w:tcW w:w="1559" w:type="dxa"/>
            <w:shd w:val="clear" w:color="auto" w:fill="auto"/>
            <w:noWrap/>
            <w:vAlign w:val="center"/>
          </w:tcPr>
          <w:p w14:paraId="313CBF22">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正式电工程款</w:t>
            </w:r>
          </w:p>
        </w:tc>
        <w:tc>
          <w:tcPr>
            <w:tcW w:w="1418" w:type="dxa"/>
            <w:shd w:val="clear" w:color="auto" w:fill="auto"/>
            <w:noWrap/>
            <w:vAlign w:val="center"/>
          </w:tcPr>
          <w:p w14:paraId="2786518A">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57.48</w:t>
            </w:r>
          </w:p>
        </w:tc>
        <w:tc>
          <w:tcPr>
            <w:tcW w:w="1701" w:type="dxa"/>
            <w:shd w:val="clear" w:color="auto" w:fill="auto"/>
            <w:noWrap/>
            <w:vAlign w:val="center"/>
          </w:tcPr>
          <w:p w14:paraId="3F9B874C">
            <w:pPr>
              <w:spacing w:line="360" w:lineRule="auto"/>
              <w:jc w:val="right"/>
              <w:rPr>
                <w:rFonts w:hint="eastAsia" w:cs="宋体" w:asciiTheme="minorEastAsia" w:hAnsiTheme="minorEastAsia"/>
              </w:rPr>
            </w:pPr>
          </w:p>
        </w:tc>
      </w:tr>
      <w:tr w14:paraId="3C4D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shd w:val="clear" w:color="auto" w:fill="auto"/>
            <w:noWrap/>
            <w:vAlign w:val="center"/>
          </w:tcPr>
          <w:p w14:paraId="60AF82B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12</w:t>
            </w:r>
          </w:p>
        </w:tc>
        <w:tc>
          <w:tcPr>
            <w:tcW w:w="1275" w:type="dxa"/>
            <w:shd w:val="clear" w:color="auto" w:fill="auto"/>
            <w:noWrap/>
            <w:vAlign w:val="center"/>
          </w:tcPr>
          <w:p w14:paraId="39E3A24B">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20230628</w:t>
            </w:r>
          </w:p>
        </w:tc>
        <w:tc>
          <w:tcPr>
            <w:tcW w:w="3119" w:type="dxa"/>
            <w:shd w:val="clear" w:color="auto" w:fill="auto"/>
            <w:noWrap/>
            <w:vAlign w:val="center"/>
          </w:tcPr>
          <w:p w14:paraId="04FA1C2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中翎建业集团有限公司</w:t>
            </w:r>
          </w:p>
        </w:tc>
        <w:tc>
          <w:tcPr>
            <w:tcW w:w="1559" w:type="dxa"/>
            <w:shd w:val="clear" w:color="auto" w:fill="auto"/>
            <w:noWrap/>
            <w:vAlign w:val="center"/>
          </w:tcPr>
          <w:p w14:paraId="2702469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监理费</w:t>
            </w:r>
          </w:p>
        </w:tc>
        <w:tc>
          <w:tcPr>
            <w:tcW w:w="1418" w:type="dxa"/>
            <w:shd w:val="clear" w:color="auto" w:fill="auto"/>
            <w:noWrap/>
            <w:vAlign w:val="center"/>
          </w:tcPr>
          <w:p w14:paraId="1A199E74">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13.99</w:t>
            </w:r>
          </w:p>
        </w:tc>
        <w:tc>
          <w:tcPr>
            <w:tcW w:w="1701" w:type="dxa"/>
            <w:shd w:val="clear" w:color="auto" w:fill="auto"/>
            <w:noWrap/>
            <w:vAlign w:val="center"/>
          </w:tcPr>
          <w:p w14:paraId="56914029">
            <w:pPr>
              <w:spacing w:line="360" w:lineRule="auto"/>
              <w:jc w:val="right"/>
              <w:rPr>
                <w:rFonts w:hint="eastAsia" w:cs="宋体" w:asciiTheme="minorEastAsia" w:hAnsiTheme="minorEastAsia"/>
              </w:rPr>
            </w:pPr>
          </w:p>
        </w:tc>
      </w:tr>
      <w:tr w14:paraId="7A4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0" w:type="dxa"/>
            <w:gridSpan w:val="4"/>
            <w:shd w:val="clear" w:color="auto" w:fill="auto"/>
            <w:noWrap/>
            <w:vAlign w:val="center"/>
          </w:tcPr>
          <w:p w14:paraId="361EE935">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小计</w:t>
            </w:r>
          </w:p>
        </w:tc>
        <w:tc>
          <w:tcPr>
            <w:tcW w:w="1418" w:type="dxa"/>
            <w:shd w:val="clear" w:color="auto" w:fill="auto"/>
            <w:noWrap/>
            <w:vAlign w:val="center"/>
          </w:tcPr>
          <w:p w14:paraId="2CD0D38E">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1,965.09</w:t>
            </w:r>
          </w:p>
        </w:tc>
        <w:tc>
          <w:tcPr>
            <w:tcW w:w="1701" w:type="dxa"/>
            <w:shd w:val="clear" w:color="auto" w:fill="auto"/>
            <w:noWrap/>
            <w:vAlign w:val="center"/>
          </w:tcPr>
          <w:p w14:paraId="30328566">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89.05%</w:t>
            </w:r>
          </w:p>
        </w:tc>
      </w:tr>
      <w:tr w14:paraId="2D81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0" w:type="dxa"/>
            <w:gridSpan w:val="4"/>
            <w:shd w:val="clear" w:color="auto" w:fill="auto"/>
            <w:noWrap/>
            <w:vAlign w:val="center"/>
          </w:tcPr>
          <w:p w14:paraId="407F638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合计</w:t>
            </w:r>
          </w:p>
        </w:tc>
        <w:tc>
          <w:tcPr>
            <w:tcW w:w="1418" w:type="dxa"/>
            <w:shd w:val="clear" w:color="auto" w:fill="auto"/>
            <w:noWrap/>
            <w:vAlign w:val="center"/>
          </w:tcPr>
          <w:p w14:paraId="4E8C0ECE">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11,754.09</w:t>
            </w:r>
          </w:p>
        </w:tc>
        <w:tc>
          <w:tcPr>
            <w:tcW w:w="1701" w:type="dxa"/>
            <w:shd w:val="clear" w:color="auto" w:fill="auto"/>
            <w:noWrap/>
            <w:vAlign w:val="center"/>
          </w:tcPr>
          <w:p w14:paraId="668C3906">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89.05%</w:t>
            </w:r>
          </w:p>
        </w:tc>
      </w:tr>
    </w:tbl>
    <w:p w14:paraId="58DC6176">
      <w:pPr>
        <w:pStyle w:val="29"/>
        <w:spacing w:before="240" w:beforeLines="100" w:line="360" w:lineRule="auto"/>
        <w:ind w:firstLine="484"/>
        <w:jc w:val="both"/>
      </w:pPr>
      <w:bookmarkStart w:id="28" w:name="_bookmark8"/>
      <w:bookmarkEnd w:id="28"/>
      <w:r>
        <w:t xml:space="preserve"> </w:t>
      </w:r>
      <w:bookmarkStart w:id="29" w:name="_Toc22297"/>
      <w:bookmarkStart w:id="30" w:name="_Toc201739186"/>
      <w:bookmarkStart w:id="31" w:name="_Toc256"/>
      <w:r>
        <w:t>利益相关方</w:t>
      </w:r>
      <w:bookmarkEnd w:id="29"/>
      <w:bookmarkEnd w:id="30"/>
      <w:bookmarkEnd w:id="31"/>
    </w:p>
    <w:p w14:paraId="0FC4CA06">
      <w:pPr>
        <w:pStyle w:val="32"/>
        <w:spacing w:line="360" w:lineRule="auto"/>
        <w:ind w:firstLine="520"/>
        <w:jc w:val="both"/>
      </w:pPr>
      <w:r>
        <w:t>中韩（长春）国际合作示范区智能装备孵化基地项目涉及的利益相关方主要包括：</w:t>
      </w:r>
    </w:p>
    <w:p w14:paraId="64049E8A">
      <w:pPr>
        <w:pStyle w:val="32"/>
        <w:spacing w:line="360" w:lineRule="auto"/>
        <w:ind w:firstLine="520"/>
        <w:jc w:val="both"/>
      </w:pPr>
      <w:r>
        <w:t>1</w:t>
      </w:r>
      <w:r>
        <w:rPr>
          <w:rFonts w:hint="eastAsia"/>
          <w:lang w:eastAsia="zh-CN"/>
        </w:rPr>
        <w:t>.</w:t>
      </w:r>
      <w:r>
        <w:t>财政拨款部门：中韩（长春）国际合作示范区财政局</w:t>
      </w:r>
    </w:p>
    <w:p w14:paraId="7F2AF4C8">
      <w:pPr>
        <w:pStyle w:val="32"/>
        <w:spacing w:line="360" w:lineRule="auto"/>
        <w:ind w:firstLine="520"/>
        <w:jc w:val="both"/>
      </w:pPr>
      <w:r>
        <w:t>2</w:t>
      </w:r>
      <w:r>
        <w:rPr>
          <w:rFonts w:hint="eastAsia"/>
          <w:lang w:eastAsia="zh-CN"/>
        </w:rPr>
        <w:t>.</w:t>
      </w:r>
      <w:r>
        <w:t>主管部门：中韩（长春）国际合作示范区管理委员会</w:t>
      </w:r>
    </w:p>
    <w:p w14:paraId="62C970B2">
      <w:pPr>
        <w:pStyle w:val="32"/>
        <w:spacing w:line="360" w:lineRule="auto"/>
        <w:ind w:firstLine="520"/>
        <w:jc w:val="both"/>
      </w:pPr>
      <w:r>
        <w:t>3</w:t>
      </w:r>
      <w:r>
        <w:rPr>
          <w:rFonts w:hint="eastAsia"/>
          <w:lang w:eastAsia="zh-CN"/>
        </w:rPr>
        <w:t>.</w:t>
      </w:r>
      <w:r>
        <w:t>项目实施单位：长春国创智能装备产业发展有限公司</w:t>
      </w:r>
    </w:p>
    <w:p w14:paraId="6FCDC93B">
      <w:pPr>
        <w:pStyle w:val="29"/>
        <w:spacing w:line="360" w:lineRule="auto"/>
        <w:ind w:firstLine="484"/>
        <w:jc w:val="both"/>
      </w:pPr>
      <w:bookmarkStart w:id="32" w:name="_Toc1252"/>
      <w:bookmarkStart w:id="33" w:name="_Toc201739187"/>
      <w:bookmarkStart w:id="34" w:name="_Toc17832"/>
      <w:r>
        <w:t>绩效目标</w:t>
      </w:r>
      <w:bookmarkEnd w:id="32"/>
      <w:bookmarkEnd w:id="33"/>
      <w:bookmarkEnd w:id="34"/>
    </w:p>
    <w:p w14:paraId="27DDB3A5">
      <w:pPr>
        <w:pStyle w:val="29"/>
        <w:numPr>
          <w:ilvl w:val="0"/>
          <w:numId w:val="0"/>
        </w:numPr>
        <w:spacing w:line="360" w:lineRule="auto"/>
        <w:ind w:firstLine="488" w:firstLineChars="200"/>
        <w:jc w:val="both"/>
        <w:outlineLvl w:val="9"/>
      </w:pPr>
      <w:r>
        <w:t>根据《地方政府专项债券项目绩效目标申报表》确定项目绩效目标如下：</w:t>
      </w:r>
    </w:p>
    <w:p w14:paraId="5E1AAF72">
      <w:pPr>
        <w:pStyle w:val="29"/>
        <w:numPr>
          <w:ilvl w:val="0"/>
          <w:numId w:val="0"/>
        </w:numPr>
        <w:spacing w:line="360" w:lineRule="auto"/>
        <w:ind w:firstLine="488" w:firstLineChars="200"/>
        <w:jc w:val="both"/>
        <w:outlineLvl w:val="9"/>
      </w:pPr>
      <w:r>
        <w:t>总体绩效目标：项目在未来50年持续发挥作用，进一步推动区域转型升级、创新发展、提升区域经济实力和国际竞争力。项目的实施可带动装备制造及其相关行业上下游产业的发展，带动周边群众就业及区域发展。</w:t>
      </w:r>
    </w:p>
    <w:p w14:paraId="47B45E73">
      <w:pPr>
        <w:pStyle w:val="30"/>
        <w:spacing w:line="360" w:lineRule="auto"/>
        <w:ind w:firstLine="490" w:firstLineChars="200"/>
        <w:jc w:val="both"/>
        <w:rPr>
          <w:sz w:val="24"/>
          <w:szCs w:val="24"/>
        </w:rPr>
      </w:pPr>
      <w:bookmarkStart w:id="35" w:name="_bookmark11"/>
      <w:bookmarkEnd w:id="35"/>
      <w:bookmarkStart w:id="36" w:name="_Toc201739188"/>
      <w:bookmarkStart w:id="37" w:name="_Toc26234"/>
      <w:bookmarkStart w:id="38" w:name="_Toc13474"/>
      <w:r>
        <w:rPr>
          <w:sz w:val="24"/>
          <w:szCs w:val="24"/>
        </w:rPr>
        <w:t>绩效评价工作开展情况</w:t>
      </w:r>
      <w:bookmarkEnd w:id="36"/>
      <w:bookmarkEnd w:id="37"/>
      <w:bookmarkEnd w:id="38"/>
    </w:p>
    <w:p w14:paraId="11A1F427">
      <w:pPr>
        <w:pStyle w:val="29"/>
        <w:numPr>
          <w:ilvl w:val="0"/>
          <w:numId w:val="5"/>
        </w:numPr>
        <w:spacing w:line="360" w:lineRule="auto"/>
        <w:ind w:firstLine="484"/>
        <w:jc w:val="both"/>
      </w:pPr>
      <w:bookmarkStart w:id="39" w:name="_Toc201739189"/>
      <w:bookmarkStart w:id="40" w:name="_Toc17333"/>
      <w:bookmarkStart w:id="41" w:name="_Toc11670"/>
      <w:r>
        <w:t>绩效评价目的</w:t>
      </w:r>
      <w:bookmarkEnd w:id="39"/>
      <w:bookmarkEnd w:id="40"/>
      <w:bookmarkEnd w:id="41"/>
    </w:p>
    <w:p w14:paraId="508D10C0">
      <w:pPr>
        <w:pStyle w:val="32"/>
        <w:spacing w:line="360" w:lineRule="auto"/>
        <w:ind w:firstLine="520"/>
        <w:jc w:val="both"/>
      </w:pPr>
      <w:r>
        <w:t>中韩（长春）国际合作示范区智能装备孵化基地项目的专项债券绩效评价，对项目支出的实施效果和资金使用效益进行评价，引导预算单位树立和强化“花钱必问效”的绩效理念，强化支出责任化资源配置，有效防范债务风险。同时，通过绩效评价总结项目在决策投入、过程执行等方面的经验，查找其存在的问题，提出管理建议，为决策提供参考依据。</w:t>
      </w:r>
    </w:p>
    <w:p w14:paraId="2B4E75B6">
      <w:pPr>
        <w:pStyle w:val="32"/>
        <w:numPr>
          <w:ilvl w:val="0"/>
          <w:numId w:val="5"/>
        </w:numPr>
        <w:spacing w:line="360" w:lineRule="auto"/>
        <w:ind w:firstLine="520"/>
        <w:jc w:val="both"/>
      </w:pPr>
      <w:r>
        <w:t>绩效评价对象</w:t>
      </w:r>
    </w:p>
    <w:p w14:paraId="0D87B6DA">
      <w:pPr>
        <w:pStyle w:val="32"/>
        <w:spacing w:line="360" w:lineRule="auto"/>
        <w:ind w:firstLine="520"/>
        <w:jc w:val="both"/>
      </w:pPr>
      <w:r>
        <w:t>本次绩效评价对象为中韩（长春）国际合作示范区财政局拨付中韩（长春）国际合作示范区智能装备孵化基地项目地方政府专项债券资金，共计13,200.00万元。</w:t>
      </w:r>
    </w:p>
    <w:p w14:paraId="3B27A0A6">
      <w:pPr>
        <w:pStyle w:val="29"/>
        <w:numPr>
          <w:ilvl w:val="0"/>
          <w:numId w:val="5"/>
        </w:numPr>
        <w:spacing w:line="360" w:lineRule="auto"/>
        <w:ind w:firstLine="484"/>
        <w:jc w:val="both"/>
      </w:pPr>
      <w:bookmarkStart w:id="42" w:name="_bookmark12"/>
      <w:bookmarkEnd w:id="42"/>
      <w:bookmarkStart w:id="43" w:name="_Toc15076"/>
      <w:bookmarkStart w:id="44" w:name="_Toc7520"/>
      <w:bookmarkStart w:id="45" w:name="_Toc201739190"/>
      <w:r>
        <w:t>绩效评价原则</w:t>
      </w:r>
      <w:bookmarkEnd w:id="43"/>
      <w:bookmarkEnd w:id="44"/>
      <w:bookmarkEnd w:id="45"/>
    </w:p>
    <w:p w14:paraId="23DF7D9E">
      <w:pPr>
        <w:pStyle w:val="32"/>
        <w:spacing w:line="360" w:lineRule="auto"/>
        <w:ind w:firstLine="512"/>
        <w:jc w:val="both"/>
      </w:pPr>
      <w:r>
        <w:rPr>
          <w:spacing w:val="16"/>
          <w:position w:val="1"/>
        </w:rPr>
        <w:t>1</w:t>
      </w:r>
      <w:r>
        <w:rPr>
          <w:rFonts w:hint="eastAsia"/>
          <w:spacing w:val="16"/>
          <w:position w:val="1"/>
          <w:lang w:eastAsia="zh-CN"/>
        </w:rPr>
        <w:t>.</w:t>
      </w:r>
      <w:r>
        <w:t>科学规范。绩效评价注重财政支出的经济性、效率性和有效性，严格执行规定的程序，采用定量与定性分析相结合的方法。</w:t>
      </w:r>
    </w:p>
    <w:p w14:paraId="363F8F1D">
      <w:pPr>
        <w:pStyle w:val="32"/>
        <w:spacing w:line="360" w:lineRule="auto"/>
        <w:ind w:firstLine="520"/>
        <w:jc w:val="both"/>
      </w:pPr>
      <w:r>
        <w:t>2</w:t>
      </w:r>
      <w:r>
        <w:rPr>
          <w:rFonts w:hint="eastAsia"/>
          <w:lang w:eastAsia="zh-CN"/>
        </w:rPr>
        <w:t>.</w:t>
      </w:r>
      <w:r>
        <w:t>公正公开。绩效评价客观、公正，标准统一、资料可靠，依法公开并接受监督。</w:t>
      </w:r>
    </w:p>
    <w:p w14:paraId="6FFE9418">
      <w:pPr>
        <w:pStyle w:val="32"/>
        <w:spacing w:line="360" w:lineRule="auto"/>
        <w:ind w:firstLine="520"/>
        <w:jc w:val="both"/>
      </w:pPr>
      <w:r>
        <w:t>3</w:t>
      </w:r>
      <w:r>
        <w:rPr>
          <w:rFonts w:hint="eastAsia"/>
          <w:lang w:eastAsia="zh-CN"/>
        </w:rPr>
        <w:t>.</w:t>
      </w:r>
      <w:r>
        <w:t>绩效相关。绩效评价针对具体支出及其产出绩效进行，评价结果清晰反映支出和产出绩效之间的紧密对应关系。</w:t>
      </w:r>
    </w:p>
    <w:p w14:paraId="5F1407BD">
      <w:pPr>
        <w:pStyle w:val="29"/>
        <w:numPr>
          <w:ilvl w:val="0"/>
          <w:numId w:val="5"/>
        </w:numPr>
        <w:spacing w:line="360" w:lineRule="auto"/>
        <w:ind w:firstLine="484"/>
        <w:jc w:val="both"/>
      </w:pPr>
      <w:bookmarkStart w:id="46" w:name="_bookmark13"/>
      <w:bookmarkEnd w:id="46"/>
      <w:r>
        <w:t xml:space="preserve"> </w:t>
      </w:r>
      <w:bookmarkStart w:id="47" w:name="_Toc27387"/>
      <w:bookmarkStart w:id="48" w:name="_Toc201739191"/>
      <w:bookmarkStart w:id="49" w:name="_Toc14441"/>
      <w:r>
        <w:t>评价依据</w:t>
      </w:r>
      <w:bookmarkEnd w:id="47"/>
      <w:bookmarkEnd w:id="48"/>
      <w:bookmarkEnd w:id="49"/>
    </w:p>
    <w:p w14:paraId="61918174">
      <w:pPr>
        <w:pStyle w:val="32"/>
        <w:spacing w:line="360" w:lineRule="auto"/>
        <w:ind w:firstLine="512"/>
        <w:jc w:val="both"/>
        <w:rPr>
          <w:spacing w:val="16"/>
          <w:position w:val="1"/>
        </w:rPr>
      </w:pPr>
      <w:r>
        <w:rPr>
          <w:spacing w:val="16"/>
          <w:position w:val="1"/>
        </w:rPr>
        <w:t>1</w:t>
      </w:r>
      <w:r>
        <w:rPr>
          <w:rFonts w:hint="eastAsia"/>
          <w:spacing w:val="16"/>
          <w:position w:val="1"/>
          <w:lang w:eastAsia="zh-CN"/>
        </w:rPr>
        <w:t>.</w:t>
      </w:r>
      <w:r>
        <w:rPr>
          <w:spacing w:val="16"/>
          <w:position w:val="1"/>
        </w:rPr>
        <w:t>绩效评价相关文件</w:t>
      </w:r>
    </w:p>
    <w:p w14:paraId="0D3238A8">
      <w:pPr>
        <w:pStyle w:val="32"/>
        <w:spacing w:line="360" w:lineRule="auto"/>
        <w:ind w:firstLine="520"/>
        <w:jc w:val="both"/>
      </w:pPr>
      <w:r>
        <w:t>(1)《中华人民共和国预算法》（2018年修正）</w:t>
      </w:r>
    </w:p>
    <w:p w14:paraId="74107CF3">
      <w:pPr>
        <w:pStyle w:val="32"/>
        <w:spacing w:line="360" w:lineRule="auto"/>
        <w:ind w:firstLine="520"/>
        <w:jc w:val="both"/>
      </w:pPr>
      <w:r>
        <w:t>(2)《</w:t>
      </w:r>
      <w:r>
        <w:rPr>
          <w:rFonts w:hint="eastAsia"/>
          <w:lang w:eastAsia="zh-CN"/>
        </w:rPr>
        <w:t>中共中央、国务院</w:t>
      </w:r>
      <w:r>
        <w:t>关于全面实施预算绩效管理的意见》（中发</w:t>
      </w:r>
      <w:r>
        <w:rPr>
          <w:rFonts w:hint="eastAsia"/>
          <w:lang w:eastAsia="zh-CN"/>
        </w:rPr>
        <w:t>〔2018〕34号</w:t>
      </w:r>
      <w:r>
        <w:t>）</w:t>
      </w:r>
    </w:p>
    <w:p w14:paraId="75556B97">
      <w:pPr>
        <w:pStyle w:val="32"/>
        <w:spacing w:line="360" w:lineRule="auto"/>
        <w:ind w:firstLine="520"/>
        <w:jc w:val="both"/>
      </w:pPr>
      <w:r>
        <w:t>(3)《关于贯彻落实</w:t>
      </w:r>
      <w:r>
        <w:rPr>
          <w:rFonts w:hint="eastAsia"/>
          <w:lang w:eastAsia="zh-CN"/>
        </w:rPr>
        <w:t>中共中央、国务院</w:t>
      </w:r>
      <w:r>
        <w:t>关于全面实施预算绩效管理的意见的通知》（财预〔2018〕167号）</w:t>
      </w:r>
    </w:p>
    <w:p w14:paraId="2181B58A">
      <w:pPr>
        <w:pStyle w:val="32"/>
        <w:spacing w:line="360" w:lineRule="auto"/>
        <w:ind w:firstLine="520"/>
        <w:jc w:val="both"/>
      </w:pPr>
      <w:r>
        <w:t>(4)《财政支出绩效评价暂行管理办法》（财预〔2011〕285号）</w:t>
      </w:r>
    </w:p>
    <w:p w14:paraId="55F23547">
      <w:pPr>
        <w:pStyle w:val="32"/>
        <w:spacing w:line="360" w:lineRule="auto"/>
        <w:ind w:firstLine="520"/>
        <w:jc w:val="both"/>
      </w:pPr>
      <w:r>
        <w:t>(5)《关于推进预算绩效管理的指导意见》（财预〔2011〕416号）</w:t>
      </w:r>
    </w:p>
    <w:p w14:paraId="2A4A9EE5">
      <w:pPr>
        <w:pStyle w:val="32"/>
        <w:spacing w:line="360" w:lineRule="auto"/>
        <w:ind w:firstLine="520"/>
        <w:jc w:val="both"/>
      </w:pPr>
      <w:r>
        <w:t>(6)《预算绩效管理工作考核办法（试行）》（财预〔2011〕433号）</w:t>
      </w:r>
    </w:p>
    <w:p w14:paraId="39D6E8CE">
      <w:pPr>
        <w:pStyle w:val="32"/>
        <w:spacing w:line="360" w:lineRule="auto"/>
        <w:ind w:firstLine="520"/>
        <w:jc w:val="both"/>
      </w:pPr>
      <w:r>
        <w:t>(7)《预算绩效管理工作规划（2012—2015年）》（财预〔2012〕396号）</w:t>
      </w:r>
    </w:p>
    <w:p w14:paraId="171B289E">
      <w:pPr>
        <w:pStyle w:val="32"/>
        <w:spacing w:line="360" w:lineRule="auto"/>
        <w:ind w:firstLine="520"/>
        <w:jc w:val="both"/>
      </w:pPr>
      <w:r>
        <w:t>(8)《财政部预算绩效管理共性指标体系框架》（财预〔2013〕53号）</w:t>
      </w:r>
    </w:p>
    <w:p w14:paraId="20758751">
      <w:pPr>
        <w:pStyle w:val="32"/>
        <w:spacing w:line="360" w:lineRule="auto"/>
        <w:ind w:firstLine="520"/>
        <w:jc w:val="both"/>
      </w:pPr>
      <w:r>
        <w:t>(9)《</w:t>
      </w:r>
      <w:r>
        <w:rPr>
          <w:rFonts w:hint="eastAsia"/>
          <w:lang w:eastAsia="zh-CN"/>
        </w:rPr>
        <w:t>中共中央办公厅、国务院办公厅</w:t>
      </w:r>
      <w:r>
        <w:t>印发〈关于做好地方政府债券发行及项目配套融资工作的通知〉》</w:t>
      </w:r>
    </w:p>
    <w:p w14:paraId="39E43E40">
      <w:pPr>
        <w:pStyle w:val="32"/>
        <w:spacing w:line="360" w:lineRule="auto"/>
        <w:ind w:firstLine="520"/>
        <w:jc w:val="both"/>
      </w:pPr>
      <w:r>
        <w:t>(10)《财政部关于印发〈地方政府专项债务发行使用管理工作的通知〉》</w:t>
      </w:r>
    </w:p>
    <w:p w14:paraId="19CC6ACC">
      <w:pPr>
        <w:pStyle w:val="32"/>
        <w:spacing w:line="360" w:lineRule="auto"/>
        <w:ind w:firstLine="520"/>
        <w:jc w:val="both"/>
      </w:pPr>
      <w:r>
        <w:t>(11)《吉林省项目支出绩效评价管理暂行办法》的通知（吉财绩</w:t>
      </w:r>
      <w:r>
        <w:rPr>
          <w:rFonts w:hint="eastAsia"/>
          <w:lang w:eastAsia="zh-CN"/>
        </w:rPr>
        <w:t>〔2020〕711号</w:t>
      </w:r>
      <w:r>
        <w:t>）</w:t>
      </w:r>
    </w:p>
    <w:p w14:paraId="01F10388">
      <w:pPr>
        <w:pStyle w:val="32"/>
        <w:spacing w:line="360" w:lineRule="auto"/>
        <w:ind w:firstLine="520"/>
        <w:jc w:val="both"/>
      </w:pPr>
      <w:r>
        <w:t>(12)《吉林财政厅预算绩效管理工作规程（试行）》的通知（吉财绩</w:t>
      </w:r>
      <w:r>
        <w:rPr>
          <w:rFonts w:hint="eastAsia"/>
          <w:lang w:eastAsia="zh-CN"/>
        </w:rPr>
        <w:t>〔2020〕811号</w:t>
      </w:r>
      <w:r>
        <w:t>）</w:t>
      </w:r>
    </w:p>
    <w:p w14:paraId="5A6B89BD">
      <w:pPr>
        <w:pStyle w:val="32"/>
        <w:spacing w:line="360" w:lineRule="auto"/>
        <w:ind w:firstLine="520"/>
        <w:jc w:val="both"/>
      </w:pPr>
      <w:r>
        <w:t>（13）《吉林省地方政府专项债券项目绩效管理办法（试行）》的通知（吉财债</w:t>
      </w:r>
      <w:r>
        <w:rPr>
          <w:rFonts w:hint="eastAsia"/>
          <w:lang w:eastAsia="zh-CN"/>
        </w:rPr>
        <w:t>〔2020〕1055号</w:t>
      </w:r>
      <w:r>
        <w:t>）</w:t>
      </w:r>
    </w:p>
    <w:p w14:paraId="07B18A0B">
      <w:pPr>
        <w:pStyle w:val="32"/>
        <w:spacing w:line="360" w:lineRule="auto"/>
        <w:ind w:firstLine="520"/>
        <w:jc w:val="both"/>
      </w:pPr>
      <w:r>
        <w:t>（14）其他政策性文件</w:t>
      </w:r>
    </w:p>
    <w:p w14:paraId="08270999">
      <w:pPr>
        <w:pStyle w:val="32"/>
        <w:spacing w:line="360" w:lineRule="auto"/>
        <w:ind w:firstLine="520"/>
        <w:jc w:val="both"/>
      </w:pPr>
      <w:r>
        <w:t>2</w:t>
      </w:r>
      <w:r>
        <w:rPr>
          <w:rFonts w:hint="eastAsia"/>
          <w:lang w:eastAsia="zh-CN"/>
        </w:rPr>
        <w:t>.</w:t>
      </w:r>
      <w:r>
        <w:t>项目相关文件</w:t>
      </w:r>
    </w:p>
    <w:p w14:paraId="5ECD69F5">
      <w:pPr>
        <w:pStyle w:val="32"/>
        <w:spacing w:line="360" w:lineRule="auto"/>
        <w:ind w:firstLine="520"/>
        <w:jc w:val="both"/>
      </w:pPr>
      <w:r>
        <w:t>（1）《中华人民共和国国民经济和社会发展第十四个五年规划和2035年远景目标纲要》</w:t>
      </w:r>
    </w:p>
    <w:p w14:paraId="5F19D9ED">
      <w:pPr>
        <w:pStyle w:val="32"/>
        <w:spacing w:line="360" w:lineRule="auto"/>
        <w:ind w:firstLine="520"/>
        <w:jc w:val="both"/>
      </w:pPr>
      <w:r>
        <w:t>（2）《中国制造2025》</w:t>
      </w:r>
    </w:p>
    <w:p w14:paraId="4EF3CBA7">
      <w:pPr>
        <w:pStyle w:val="32"/>
        <w:spacing w:line="360" w:lineRule="auto"/>
        <w:ind w:firstLine="520"/>
        <w:jc w:val="both"/>
      </w:pPr>
      <w:r>
        <w:t>（3）《新一代人工智能发展规划》</w:t>
      </w:r>
    </w:p>
    <w:p w14:paraId="7744C6D7">
      <w:pPr>
        <w:pStyle w:val="32"/>
        <w:spacing w:line="360" w:lineRule="auto"/>
        <w:ind w:firstLine="520"/>
        <w:jc w:val="both"/>
      </w:pPr>
      <w:r>
        <w:t>（4）《长春市国民经济和社会发展第十四个五年规划和2035远景目标纲要》</w:t>
      </w:r>
    </w:p>
    <w:p w14:paraId="4D4BE311">
      <w:pPr>
        <w:pStyle w:val="32"/>
        <w:spacing w:line="360" w:lineRule="auto"/>
        <w:ind w:firstLine="520"/>
        <w:jc w:val="both"/>
      </w:pPr>
      <w:r>
        <w:t>（5）《中国制造2025吉林实施纲要》</w:t>
      </w:r>
    </w:p>
    <w:p w14:paraId="5BCC8B0F">
      <w:pPr>
        <w:pStyle w:val="32"/>
        <w:spacing w:line="360" w:lineRule="auto"/>
        <w:ind w:firstLine="520"/>
        <w:jc w:val="both"/>
      </w:pPr>
      <w:r>
        <w:t>（6） 吉林省发布《关于落实新一代人工智能发展规划的实施意见》</w:t>
      </w:r>
    </w:p>
    <w:p w14:paraId="1FDD0471">
      <w:pPr>
        <w:pStyle w:val="32"/>
        <w:spacing w:line="360" w:lineRule="auto"/>
        <w:ind w:firstLine="520"/>
        <w:jc w:val="both"/>
      </w:pPr>
      <w:r>
        <w:t>（7）《中韩（长春）国际合作示范区国民经济和社会发展第十四个五年规划和2035年远景目标纲要》</w:t>
      </w:r>
    </w:p>
    <w:p w14:paraId="47BB7E2E">
      <w:pPr>
        <w:pStyle w:val="32"/>
        <w:spacing w:line="360" w:lineRule="auto"/>
        <w:ind w:firstLine="520"/>
        <w:jc w:val="both"/>
      </w:pPr>
      <w:r>
        <w:t>3</w:t>
      </w:r>
      <w:r>
        <w:rPr>
          <w:rFonts w:hint="eastAsia"/>
          <w:lang w:eastAsia="zh-CN"/>
        </w:rPr>
        <w:t>.</w:t>
      </w:r>
      <w:r>
        <w:t>其他作为评价依据的材料</w:t>
      </w:r>
    </w:p>
    <w:p w14:paraId="78FC6B9D">
      <w:pPr>
        <w:pStyle w:val="32"/>
        <w:spacing w:line="360" w:lineRule="auto"/>
        <w:ind w:firstLine="520"/>
        <w:jc w:val="both"/>
      </w:pPr>
      <w:r>
        <w:t>（1）长春国创智能装备产业发展有限公司申报的相关资料</w:t>
      </w:r>
    </w:p>
    <w:p w14:paraId="177B58A3">
      <w:pPr>
        <w:pStyle w:val="32"/>
        <w:spacing w:line="360" w:lineRule="auto"/>
        <w:ind w:firstLine="520"/>
        <w:jc w:val="both"/>
      </w:pPr>
      <w:r>
        <w:t>（2）长春国创智能装备产业发展有限公司批复资料、调整批复资料</w:t>
      </w:r>
    </w:p>
    <w:p w14:paraId="15594BC1">
      <w:pPr>
        <w:pStyle w:val="32"/>
        <w:spacing w:line="360" w:lineRule="auto"/>
        <w:ind w:firstLine="520"/>
        <w:jc w:val="both"/>
      </w:pPr>
      <w:r>
        <w:t>（3）长春国创智能装备产业发展有限公司相关财务资料、统计资料</w:t>
      </w:r>
    </w:p>
    <w:p w14:paraId="2ABAF99F">
      <w:pPr>
        <w:pStyle w:val="32"/>
        <w:spacing w:line="360" w:lineRule="auto"/>
        <w:ind w:firstLine="520"/>
        <w:jc w:val="both"/>
      </w:pPr>
      <w:r>
        <w:t>（4）长春国创智能装备产业发展有限公司相关管理制度</w:t>
      </w:r>
    </w:p>
    <w:p w14:paraId="2C97EF83">
      <w:pPr>
        <w:pStyle w:val="32"/>
        <w:spacing w:line="360" w:lineRule="auto"/>
        <w:ind w:firstLine="520"/>
        <w:jc w:val="both"/>
      </w:pPr>
      <w:r>
        <w:t>（5）长春国创智能装备产业发展有限公司项目立项及批复相关资料</w:t>
      </w:r>
    </w:p>
    <w:p w14:paraId="45E22A6D">
      <w:pPr>
        <w:pStyle w:val="32"/>
        <w:spacing w:line="360" w:lineRule="auto"/>
        <w:ind w:firstLine="520"/>
        <w:jc w:val="both"/>
      </w:pPr>
      <w:r>
        <w:t>（6）其他相关资料等</w:t>
      </w:r>
    </w:p>
    <w:p w14:paraId="2873086F">
      <w:pPr>
        <w:pStyle w:val="29"/>
        <w:numPr>
          <w:ilvl w:val="0"/>
          <w:numId w:val="5"/>
        </w:numPr>
        <w:spacing w:line="360" w:lineRule="auto"/>
        <w:ind w:firstLine="484"/>
        <w:jc w:val="both"/>
      </w:pPr>
      <w:bookmarkStart w:id="50" w:name="_bookmark14"/>
      <w:bookmarkEnd w:id="50"/>
      <w:bookmarkStart w:id="51" w:name="_Toc201739192"/>
      <w:bookmarkStart w:id="52" w:name="_Toc26042"/>
      <w:bookmarkStart w:id="53" w:name="_Toc9798"/>
      <w:r>
        <w:t>绩效评价方法</w:t>
      </w:r>
      <w:bookmarkEnd w:id="51"/>
      <w:bookmarkEnd w:id="52"/>
      <w:bookmarkEnd w:id="53"/>
    </w:p>
    <w:p w14:paraId="4BE8AF13">
      <w:pPr>
        <w:pStyle w:val="32"/>
        <w:spacing w:line="360" w:lineRule="auto"/>
        <w:ind w:firstLine="520"/>
        <w:jc w:val="both"/>
      </w:pPr>
      <w:bookmarkStart w:id="54" w:name="_bookmark15"/>
      <w:bookmarkEnd w:id="54"/>
      <w:r>
        <w:t>本项目主要采用指标管理法，利用评价指标体系中的各指标实际完成情况和考核指标对比，结合分析实际完成情况，再加以定量管理，得出考核分值。</w:t>
      </w:r>
    </w:p>
    <w:p w14:paraId="16D55A31">
      <w:pPr>
        <w:pStyle w:val="32"/>
        <w:spacing w:line="360" w:lineRule="auto"/>
        <w:ind w:firstLine="520"/>
        <w:jc w:val="both"/>
      </w:pPr>
      <w:r>
        <w:t>在指标体系各指标评价过程的主要方法，综合评估主要采用加权平均法；指标权重的确定主要采用专家评议法和层次分析法；指标值计算方法主要采用成本效益分析法、比较法、因素分析法、公众评价法；标准值的确定主要采用计划标准法、行业标准法及其他方法；指标评价的计算主要采用比率法。</w:t>
      </w:r>
    </w:p>
    <w:p w14:paraId="7239B56B">
      <w:pPr>
        <w:pStyle w:val="32"/>
        <w:spacing w:line="360" w:lineRule="auto"/>
        <w:ind w:firstLine="520"/>
        <w:jc w:val="both"/>
      </w:pPr>
      <w:r>
        <w:t>本项目绩效评价过程中采用的绩效评价方法包括但不限于现场勘察、档案法获取相应数据采取数据对比，标准和抽样调查相结合，同时辅以访谈、研讨、审计等方法。</w:t>
      </w:r>
    </w:p>
    <w:p w14:paraId="23102BE8">
      <w:pPr>
        <w:pStyle w:val="32"/>
        <w:spacing w:line="360" w:lineRule="auto"/>
        <w:ind w:firstLine="520"/>
        <w:jc w:val="both"/>
      </w:pPr>
      <w:r>
        <w:t>本项目绩效评价指标体系按照因素分析法设计，包括项目投入、项目过程管理、项目产出、项目效果四类指标，主要围绕项目立项规范性、资金投入使用、项目管理、资源配置等方面，客观分析项目的产出、效果及满意度情况，进而提出完善意见。整个评价框架构成体现从投入、过程管理到项目产出、项目效果的绩效逻辑路径。指标体系为评分所用，需要自评报告、问卷调查和访谈提纲的支持。为完成绩效指标的分析评价工作，由绩效评价工作组依据指标体系设计了绩效评价基本情况表和访谈提纲。</w:t>
      </w:r>
    </w:p>
    <w:p w14:paraId="32383CFD">
      <w:pPr>
        <w:numPr>
          <w:ilvl w:val="0"/>
          <w:numId w:val="6"/>
        </w:numPr>
        <w:spacing w:line="360" w:lineRule="auto"/>
        <w:ind w:firstLine="488" w:firstLineChars="200"/>
        <w:jc w:val="both"/>
        <w:outlineLvl w:val="1"/>
        <w:rPr>
          <w:rFonts w:hint="eastAsia" w:ascii="宋体" w:hAnsi="宋体" w:eastAsia="宋体" w:cs="宋体"/>
          <w:sz w:val="23"/>
          <w:szCs w:val="23"/>
        </w:rPr>
      </w:pPr>
      <w:bookmarkStart w:id="55" w:name="_bookmark16"/>
      <w:bookmarkEnd w:id="55"/>
      <w:bookmarkStart w:id="56" w:name="_Toc201739193"/>
      <w:bookmarkStart w:id="57" w:name="_Toc17952"/>
      <w:bookmarkStart w:id="58" w:name="_Toc581"/>
      <w:r>
        <w:rPr>
          <w:rStyle w:val="31"/>
          <w:rFonts w:hint="default"/>
        </w:rPr>
        <w:t>绩效评价指标体系和评价等级标准</w:t>
      </w:r>
      <w:bookmarkEnd w:id="56"/>
      <w:bookmarkEnd w:id="57"/>
      <w:bookmarkEnd w:id="58"/>
    </w:p>
    <w:p w14:paraId="1AD15EF4">
      <w:pPr>
        <w:pStyle w:val="32"/>
        <w:spacing w:line="360" w:lineRule="auto"/>
        <w:ind w:firstLine="520"/>
        <w:jc w:val="both"/>
        <w:rPr>
          <w:spacing w:val="23"/>
        </w:rPr>
      </w:pPr>
      <w:r>
        <w:t>项目绩效评价指标体系从项目决策、过程管理、产出、效益四个方面进行全面设计，由三级指标构成，其中权重分配为20%、25%、30%、25%（结合了项目的重要产出以及效益情况，并参考本项绩效目标申报表指标权重分配建议进行了项目权重的分配）。主要围绕项目决策规范性、资金使用、资源配置、项目管理等客观分析项目的产出和效果，体现从决策、过程到产出、效果和影响的绩效逻辑路径。</w:t>
      </w:r>
    </w:p>
    <w:p w14:paraId="3DF839C3">
      <w:pPr>
        <w:pStyle w:val="32"/>
        <w:spacing w:line="360" w:lineRule="auto"/>
        <w:ind w:firstLine="520"/>
        <w:jc w:val="both"/>
      </w:pPr>
      <w:r>
        <w:t>1</w:t>
      </w:r>
      <w:r>
        <w:rPr>
          <w:rFonts w:hint="eastAsia"/>
          <w:lang w:eastAsia="zh-CN"/>
        </w:rPr>
        <w:t>.</w:t>
      </w:r>
      <w:r>
        <w:t>决策方面</w:t>
      </w:r>
    </w:p>
    <w:p w14:paraId="28BE27CE">
      <w:pPr>
        <w:pStyle w:val="32"/>
        <w:spacing w:line="360" w:lineRule="auto"/>
        <w:ind w:firstLine="520"/>
        <w:jc w:val="both"/>
      </w:pPr>
      <w:r>
        <w:t>项目决策指标设计思路：从三个方面设计，一是新增地方政府专项债券项目决策立项依据是否充分、规范；二是新增地方政府专项债券项目绩效目标设定的 合理性与指标明确性；三是新增地方政府专项债券资金平衡方</w:t>
      </w:r>
      <w:r>
        <w:rPr>
          <w:rFonts w:hint="eastAsia"/>
          <w:lang w:eastAsia="zh-CN"/>
        </w:rPr>
        <w:t>案的</w:t>
      </w:r>
      <w:r>
        <w:t>科学性和资金分配的合理性。该类指标总权重分为20分。</w:t>
      </w:r>
    </w:p>
    <w:p w14:paraId="41A05059">
      <w:pPr>
        <w:pStyle w:val="32"/>
        <w:spacing w:line="360" w:lineRule="auto"/>
        <w:ind w:firstLine="520"/>
        <w:jc w:val="both"/>
      </w:pPr>
      <w:r>
        <w:t>2</w:t>
      </w:r>
      <w:r>
        <w:rPr>
          <w:rFonts w:hint="eastAsia"/>
          <w:lang w:eastAsia="zh-CN"/>
        </w:rPr>
        <w:t>.</w:t>
      </w:r>
      <w:r>
        <w:t>过程管理方面</w:t>
      </w:r>
    </w:p>
    <w:p w14:paraId="494A7A68">
      <w:pPr>
        <w:pStyle w:val="32"/>
        <w:spacing w:line="360" w:lineRule="auto"/>
        <w:ind w:firstLine="520"/>
        <w:jc w:val="both"/>
      </w:pPr>
      <w:r>
        <w:t>项目过程管理指标设计思路：从三个方面设计，一是新增地方政府专项债券资金使用情况；二是新增地方政府专项债券管理制度健全性；三是新增地方政府专项债券组织实施有效性。“财务监控有效性”“资金使用情况”指标考察项目资金使用规范性的保障情况，与资金使用规范性直接相关；“项目管理制度健全性”和“项目管理制度执行的有效性”指标考察与项目实施直接相关的业务管理制度相关情况，与项目的实施质量直接相关。该类指标总权重分为25分。</w:t>
      </w:r>
    </w:p>
    <w:p w14:paraId="1B6E6C6D">
      <w:pPr>
        <w:pStyle w:val="32"/>
        <w:spacing w:line="360" w:lineRule="auto"/>
        <w:ind w:firstLine="520"/>
        <w:jc w:val="both"/>
      </w:pPr>
      <w:r>
        <w:t>3</w:t>
      </w:r>
      <w:r>
        <w:rPr>
          <w:rFonts w:hint="eastAsia"/>
          <w:lang w:eastAsia="zh-CN"/>
        </w:rPr>
        <w:t>.</w:t>
      </w:r>
      <w:r>
        <w:t>产出方面</w:t>
      </w:r>
    </w:p>
    <w:p w14:paraId="52612E78">
      <w:pPr>
        <w:pStyle w:val="32"/>
        <w:spacing w:line="360" w:lineRule="auto"/>
        <w:ind w:firstLine="520"/>
        <w:jc w:val="both"/>
      </w:pPr>
      <w:r>
        <w:t>项目产出指标设计思路：从四个方面设计，主要考察项目实际产出数量、产出质量、产出时效以及产出成本节约率等。一是产出数量，考察基建项目数量完成率；二是产出质量，考察项目质量情况；三是产出时效，基建</w:t>
      </w:r>
      <w:r>
        <w:rPr>
          <w:rFonts w:hint="eastAsia"/>
          <w:lang w:eastAsia="zh-CN"/>
        </w:rPr>
        <w:t>项目</w:t>
      </w:r>
      <w:r>
        <w:t>运营后按期实现收益；四是运营成本节约率。项目产出是绩效评价的核心考察点，项目产出数量、产出质量指标直接反映项目实施成果，是项目绩效的核心体现。该类指标总权重分为30分。</w:t>
      </w:r>
    </w:p>
    <w:p w14:paraId="02B06B02">
      <w:pPr>
        <w:pStyle w:val="32"/>
        <w:spacing w:line="360" w:lineRule="auto"/>
        <w:ind w:firstLine="520"/>
        <w:jc w:val="both"/>
      </w:pPr>
      <w:r>
        <w:t>4</w:t>
      </w:r>
      <w:r>
        <w:rPr>
          <w:rFonts w:hint="eastAsia"/>
          <w:lang w:eastAsia="zh-CN"/>
        </w:rPr>
        <w:t>.</w:t>
      </w:r>
      <w:r>
        <w:t>效果方面</w:t>
      </w:r>
    </w:p>
    <w:p w14:paraId="535C4FCC">
      <w:pPr>
        <w:pStyle w:val="32"/>
        <w:spacing w:line="360" w:lineRule="auto"/>
        <w:ind w:firstLine="520"/>
        <w:jc w:val="both"/>
      </w:pPr>
      <w:r>
        <w:t>项目效果指标设计思路：从五个方面设计，主要考察项目对社会产生的相关影响。一是经济效益，考察项目带动社会有效投资情况及项目综合收益情况。二是社会效益，考察项目带动社会就业和区域税收情况。三是生态效益情况，是否有效地保护了生态环境。四是可持续影响，考察形成资产可使用年限，项目产生收益是否可持续。该类指标总权重分为25分。</w:t>
      </w:r>
    </w:p>
    <w:p w14:paraId="76B51EB0">
      <w:pPr>
        <w:pStyle w:val="32"/>
        <w:spacing w:line="360" w:lineRule="auto"/>
        <w:ind w:firstLine="520"/>
        <w:jc w:val="both"/>
      </w:pPr>
      <w:bookmarkStart w:id="59" w:name="_bookmark17"/>
      <w:bookmarkEnd w:id="59"/>
      <w:r>
        <w:t>本次评价等级依据《吉林省项目支出绩效评价管理暂行办法》（吉财绩</w:t>
      </w:r>
      <w:r>
        <w:rPr>
          <w:rFonts w:hint="eastAsia"/>
          <w:lang w:eastAsia="zh-CN"/>
        </w:rPr>
        <w:t>〔2020〕711号</w:t>
      </w:r>
      <w:r>
        <w:t>）规定：绩效评价结果采取评分和评级相结合的方式，具体分值和等级可根据不同评价内容设定。总分一般设置为100分，等级一般划分为五档：90分（含）-100分为优、80（含）-90分（不含）为良，70（含）-80分（不含）为中、60（含）-70分（不含）为低、60分以下为差。</w:t>
      </w:r>
    </w:p>
    <w:p w14:paraId="541682D5">
      <w:pPr>
        <w:pStyle w:val="29"/>
        <w:numPr>
          <w:ilvl w:val="0"/>
          <w:numId w:val="6"/>
        </w:numPr>
        <w:spacing w:line="360" w:lineRule="auto"/>
        <w:ind w:firstLine="484"/>
        <w:jc w:val="both"/>
      </w:pPr>
      <w:bookmarkStart w:id="60" w:name="_Toc15034"/>
      <w:bookmarkStart w:id="61" w:name="_Toc201739194"/>
      <w:bookmarkStart w:id="62" w:name="_Toc13401"/>
      <w:r>
        <w:t>绩效评价实施过程</w:t>
      </w:r>
      <w:bookmarkEnd w:id="60"/>
      <w:bookmarkEnd w:id="61"/>
      <w:bookmarkEnd w:id="62"/>
    </w:p>
    <w:p w14:paraId="700CFEEA">
      <w:pPr>
        <w:pStyle w:val="32"/>
        <w:spacing w:line="360" w:lineRule="auto"/>
        <w:ind w:firstLine="520"/>
        <w:jc w:val="both"/>
      </w:pPr>
      <w:r>
        <w:t>吉林民鑫绩效评价有限公司根据相关业务政策、标准及规范要求，参照以往绩效评价的工作经验，结合该项目的特点，评价实施过程包括前期准备阶段、绩效评价实施阶段、绩效评价报告编制阶段三个阶段，具体如下：</w:t>
      </w:r>
    </w:p>
    <w:p w14:paraId="286BA693">
      <w:pPr>
        <w:pStyle w:val="29"/>
        <w:numPr>
          <w:ilvl w:val="0"/>
          <w:numId w:val="7"/>
        </w:numPr>
        <w:spacing w:line="360" w:lineRule="auto"/>
        <w:ind w:left="0" w:firstLine="484"/>
        <w:jc w:val="both"/>
        <w:outlineLvl w:val="9"/>
      </w:pPr>
      <w:bookmarkStart w:id="63" w:name="_Toc12015"/>
      <w:bookmarkStart w:id="64" w:name="_Toc1359"/>
      <w:r>
        <w:t>绩效评价前期准备阶段</w:t>
      </w:r>
      <w:bookmarkEnd w:id="63"/>
      <w:bookmarkEnd w:id="64"/>
    </w:p>
    <w:p w14:paraId="205549AA">
      <w:pPr>
        <w:pStyle w:val="32"/>
        <w:spacing w:line="360" w:lineRule="auto"/>
        <w:ind w:firstLine="520"/>
        <w:jc w:val="both"/>
      </w:pPr>
      <w:r>
        <w:t>成立绩效评价工作组负责拟定绩效评价实施方案，实施具体绩效评价工作的组织与实施，撰写并向中韩（长春）国际合作示范区管理委员会提交绩效评价报告等工作，绩效评价工作组由吉林民鑫绩效评价有限公司绩效评价师组成。</w:t>
      </w:r>
    </w:p>
    <w:p w14:paraId="44329903">
      <w:pPr>
        <w:pStyle w:val="32"/>
        <w:spacing w:line="360" w:lineRule="auto"/>
        <w:ind w:firstLine="520"/>
        <w:jc w:val="both"/>
      </w:pPr>
      <w:r>
        <w:t>绩效评价工作组开展前期调研，梳理项目情况、构建绩效目标及绩效评价指标体系、确定现场和非现场评价范围、基于前期调研获取文件资料等信息，研读资料确立评价思路，设计指标体系及单位调研提纲等基础上，制定绩效评价实施方案。</w:t>
      </w:r>
    </w:p>
    <w:p w14:paraId="493CC911">
      <w:pPr>
        <w:pStyle w:val="29"/>
        <w:numPr>
          <w:ilvl w:val="0"/>
          <w:numId w:val="7"/>
        </w:numPr>
        <w:spacing w:line="360" w:lineRule="auto"/>
        <w:ind w:left="0" w:firstLine="484"/>
        <w:jc w:val="both"/>
        <w:outlineLvl w:val="9"/>
      </w:pPr>
      <w:bookmarkStart w:id="65" w:name="_Toc15658"/>
      <w:bookmarkStart w:id="66" w:name="_Toc8085"/>
      <w:r>
        <w:t>绩效评价实施阶段</w:t>
      </w:r>
      <w:bookmarkEnd w:id="65"/>
      <w:bookmarkEnd w:id="66"/>
    </w:p>
    <w:p w14:paraId="5E5E1AE6">
      <w:pPr>
        <w:pStyle w:val="32"/>
        <w:spacing w:line="360" w:lineRule="auto"/>
        <w:ind w:firstLine="520"/>
        <w:jc w:val="both"/>
        <w:rPr>
          <w:spacing w:val="22"/>
        </w:rPr>
      </w:pPr>
      <w:r>
        <w:t>绩效评价工作组按照绩效评价实施方案，通过案卷研究、数据填报、实地调研、座谈会等方法收集相关评价数据，并对被评价单位报送的相关资料进行收集梳理，分析核实资料的真实性、完整性和有效性。</w:t>
      </w:r>
    </w:p>
    <w:p w14:paraId="1DDD4E73">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非现场评价</w:t>
      </w:r>
    </w:p>
    <w:p w14:paraId="04B00B09">
      <w:pPr>
        <w:pStyle w:val="32"/>
        <w:spacing w:line="360" w:lineRule="auto"/>
        <w:ind w:firstLine="520"/>
        <w:jc w:val="both"/>
      </w:pPr>
      <w:r>
        <w:t>绩效评价工作组对被评价单位报送的相关文件资料进行全面分类、整理和分析，对照评价指标体系，形成非现场评价结果。</w:t>
      </w:r>
    </w:p>
    <w:p w14:paraId="2C7E2CE3">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现场评价</w:t>
      </w:r>
    </w:p>
    <w:p w14:paraId="457E6028">
      <w:pPr>
        <w:pStyle w:val="32"/>
        <w:spacing w:line="360" w:lineRule="auto"/>
        <w:ind w:firstLine="520"/>
        <w:jc w:val="both"/>
      </w:pPr>
      <w:r>
        <w:t>绩效评价工作组根据评价实施方案确定的现场评价（抽样）范围，对项目进行实地勘察、资料核实和分析评价，主要包括：听取情况介绍；资料核查。通过查阅被评价单位相关资料等方式，对被评价单位填报的数据进行检查和核实；实地勘察。对项目产出的数量、质量等进行查验，对产出的效果进行了解，形成现场勘查记录。采集的评价数据和资料经被评价单位负责人确认后，记入评价工作底稿；分析评价，绩效评价工作组以现场收集资料、访谈记录、会议纪要、现场勘查记录和调查问卷等相关资料为基础形成的绩效评价数据，按照实施方案确定的评价指标、评分标准和评价方法，对被评价单位的绩效情况进行全面的定量、定性分析和综合评价，进行量化打分，形成初步评价结论。</w:t>
      </w:r>
    </w:p>
    <w:p w14:paraId="3AECADBA">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形成绩效评价结果及评价问题清单</w:t>
      </w:r>
    </w:p>
    <w:p w14:paraId="23C2A972">
      <w:pPr>
        <w:pStyle w:val="32"/>
        <w:spacing w:line="360" w:lineRule="auto"/>
        <w:ind w:firstLine="520"/>
        <w:jc w:val="both"/>
        <w:rPr>
          <w:spacing w:val="22"/>
          <w:sz w:val="23"/>
        </w:rPr>
      </w:pPr>
      <w:r>
        <w:t>绩效评价工作组应在对现场评价和非现场评价情况进行梳理、汇总、分析的基础上，对项目总体情况进行综合评价，对各项指标进行具体计算、分析并给出各指标的评价结果，形成绩效评价结果。根据现场评价和非现场评价情况，详列项目评价中发现的问题，形成问题清单。</w:t>
      </w:r>
      <w:r>
        <w:rPr>
          <w:spacing w:val="22"/>
          <w:sz w:val="23"/>
        </w:rPr>
        <w:t>绩效评价工作组将绩效评价结果、绩效评价问题清单、调整事项等报送绩效评价领导小组审阅。</w:t>
      </w:r>
    </w:p>
    <w:p w14:paraId="11237A23">
      <w:pPr>
        <w:pStyle w:val="29"/>
        <w:numPr>
          <w:ilvl w:val="0"/>
          <w:numId w:val="7"/>
        </w:numPr>
        <w:spacing w:line="360" w:lineRule="auto"/>
        <w:ind w:left="0" w:firstLine="484"/>
        <w:jc w:val="both"/>
        <w:outlineLvl w:val="9"/>
      </w:pPr>
      <w:bookmarkStart w:id="67" w:name="_Toc18719"/>
      <w:bookmarkStart w:id="68" w:name="_Toc18229"/>
      <w:r>
        <w:t>绩效评价报告编制阶段</w:t>
      </w:r>
      <w:bookmarkEnd w:id="67"/>
      <w:bookmarkEnd w:id="68"/>
    </w:p>
    <w:p w14:paraId="699B9717">
      <w:pPr>
        <w:pStyle w:val="32"/>
        <w:spacing w:line="360" w:lineRule="auto"/>
        <w:ind w:firstLine="520"/>
        <w:jc w:val="both"/>
      </w:pPr>
      <w:r>
        <w:t>报告编制阶段主要包括撰写绩效评价报告、征求意见、提交绩效评价报告、下发绩效评价报告等四个方面的内容。</w:t>
      </w:r>
    </w:p>
    <w:p w14:paraId="16951981">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撰写绩效评价报告</w:t>
      </w:r>
    </w:p>
    <w:p w14:paraId="586CDAAD">
      <w:pPr>
        <w:pStyle w:val="32"/>
        <w:spacing w:line="360" w:lineRule="auto"/>
        <w:ind w:firstLine="520"/>
        <w:jc w:val="both"/>
      </w:pPr>
      <w:r>
        <w:t>绩效评价工作组撰写绩效评价报告。绩效评价工作组按照整理的基础材料以及评价形成的绩效评价结果，结合绩效评价领导小组反馈意见，按照既定格式和内容要求撰写绩效评价初步报告。评价报告全面阐述所评价项目的基本情况，说明评价组织实施情况，并在全面分析总结评价的基础上，对照评价指标体系作出具体绩效分析和结论。</w:t>
      </w:r>
    </w:p>
    <w:p w14:paraId="09DB0531">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征求意见</w:t>
      </w:r>
    </w:p>
    <w:p w14:paraId="7B5B49FE">
      <w:pPr>
        <w:spacing w:line="360" w:lineRule="auto"/>
        <w:ind w:firstLine="560" w:firstLineChars="200"/>
        <w:jc w:val="both"/>
        <w:rPr>
          <w:rFonts w:hint="eastAsia" w:ascii="宋体" w:hAnsi="宋体" w:eastAsia="宋体" w:cs="宋体"/>
          <w:spacing w:val="20"/>
          <w:sz w:val="24"/>
          <w:szCs w:val="23"/>
        </w:rPr>
      </w:pPr>
      <w:r>
        <w:rPr>
          <w:rFonts w:ascii="宋体" w:hAnsi="宋体" w:eastAsia="宋体" w:cs="宋体"/>
          <w:spacing w:val="20"/>
          <w:sz w:val="24"/>
          <w:szCs w:val="23"/>
        </w:rPr>
        <w:t>绩效评价报告初稿撰写完成后，应在规定时间内提交绩效评价领导小组。</w:t>
      </w:r>
    </w:p>
    <w:p w14:paraId="39E67BE2">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提交绩效评价报告</w:t>
      </w:r>
    </w:p>
    <w:p w14:paraId="547C92AD">
      <w:pPr>
        <w:pStyle w:val="32"/>
        <w:spacing w:line="360" w:lineRule="auto"/>
        <w:ind w:firstLine="520"/>
        <w:jc w:val="both"/>
      </w:pPr>
      <w:r>
        <w:t>绩效评价工作组根据各方意见，对评价报告进行修改和完善，在规定时间内将各单位书面反馈意见及评价报告提交绩效评价领导小组。</w:t>
      </w:r>
    </w:p>
    <w:p w14:paraId="23D2CD95">
      <w:pPr>
        <w:pStyle w:val="30"/>
        <w:spacing w:line="360" w:lineRule="auto"/>
        <w:ind w:firstLine="490" w:firstLineChars="200"/>
        <w:jc w:val="both"/>
        <w:rPr>
          <w:sz w:val="24"/>
          <w:szCs w:val="24"/>
        </w:rPr>
      </w:pPr>
      <w:bookmarkStart w:id="69" w:name="_Toc28908"/>
      <w:bookmarkStart w:id="70" w:name="_Toc201739195"/>
      <w:bookmarkStart w:id="71" w:name="_Toc24786"/>
      <w:r>
        <w:rPr>
          <w:sz w:val="24"/>
          <w:szCs w:val="24"/>
        </w:rPr>
        <w:t>评价结论及指标分析</w:t>
      </w:r>
      <w:bookmarkEnd w:id="69"/>
      <w:bookmarkEnd w:id="70"/>
      <w:bookmarkEnd w:id="71"/>
    </w:p>
    <w:p w14:paraId="0ECB51BF">
      <w:pPr>
        <w:pStyle w:val="29"/>
        <w:numPr>
          <w:ilvl w:val="0"/>
          <w:numId w:val="10"/>
        </w:numPr>
        <w:spacing w:line="360" w:lineRule="auto"/>
        <w:ind w:left="0" w:firstLine="484"/>
        <w:jc w:val="both"/>
      </w:pPr>
      <w:bookmarkStart w:id="72" w:name="_Toc5486"/>
      <w:bookmarkStart w:id="73" w:name="_Toc201739196"/>
      <w:bookmarkStart w:id="74" w:name="_Toc30646"/>
      <w:r>
        <w:t>评价结论</w:t>
      </w:r>
      <w:bookmarkEnd w:id="72"/>
      <w:bookmarkEnd w:id="73"/>
      <w:bookmarkEnd w:id="74"/>
    </w:p>
    <w:p w14:paraId="0A0B2963">
      <w:pPr>
        <w:pStyle w:val="32"/>
        <w:spacing w:line="360" w:lineRule="auto"/>
        <w:ind w:firstLine="520"/>
        <w:jc w:val="both"/>
      </w:pPr>
      <w:r>
        <w:t>经过一系列认真细致的工作，对中韩（长春）国际合作示范区智能装备孵化基地项目进行客观评价，最后得分为85.37分，评级为“良”。其中，决策类指标权重分为20分，实际得分为12分，得分率为60%；过程类指标权重分为25分，实际得分为18.37分，得分率为73.48%；产出类指标权重分为30分，实际得分为30分，得分率为100</w:t>
      </w:r>
      <w:r>
        <w:rPr>
          <w:rFonts w:hint="eastAsia"/>
          <w:lang w:val="en-US" w:eastAsia="zh-CN"/>
        </w:rPr>
        <w:t>.00</w:t>
      </w:r>
      <w:r>
        <w:t>%；效益类指标权重分为25分，实际得分为25分，得分率为100</w:t>
      </w:r>
      <w:r>
        <w:rPr>
          <w:rFonts w:hint="eastAsia"/>
          <w:lang w:val="en-US" w:eastAsia="zh-CN"/>
        </w:rPr>
        <w:t>.00</w:t>
      </w:r>
      <w:r>
        <w:t>%。</w:t>
      </w:r>
    </w:p>
    <w:p w14:paraId="7E314F0F">
      <w:pPr>
        <w:pStyle w:val="29"/>
        <w:numPr>
          <w:ilvl w:val="0"/>
          <w:numId w:val="10"/>
        </w:numPr>
        <w:spacing w:line="360" w:lineRule="auto"/>
        <w:ind w:left="0" w:firstLine="484"/>
        <w:jc w:val="both"/>
      </w:pPr>
      <w:bookmarkStart w:id="75" w:name="_bookmark20"/>
      <w:bookmarkEnd w:id="75"/>
      <w:bookmarkStart w:id="76" w:name="_Toc17386"/>
      <w:bookmarkStart w:id="77" w:name="_Toc201739197"/>
      <w:bookmarkStart w:id="78" w:name="_Toc1716"/>
      <w:r>
        <w:t>具体指标分析</w:t>
      </w:r>
      <w:bookmarkEnd w:id="76"/>
      <w:bookmarkEnd w:id="77"/>
      <w:bookmarkEnd w:id="78"/>
    </w:p>
    <w:p w14:paraId="70A1B716">
      <w:pPr>
        <w:pStyle w:val="32"/>
        <w:spacing w:line="360" w:lineRule="auto"/>
        <w:ind w:firstLine="522"/>
        <w:jc w:val="both"/>
        <w:rPr>
          <w:b/>
          <w:bCs/>
        </w:rPr>
      </w:pPr>
      <w:r>
        <w:rPr>
          <w:b/>
          <w:bCs/>
        </w:rPr>
        <w:t>A.决策</w:t>
      </w:r>
    </w:p>
    <w:p w14:paraId="64E37496">
      <w:pPr>
        <w:pStyle w:val="32"/>
        <w:spacing w:line="360" w:lineRule="auto"/>
        <w:ind w:firstLine="520"/>
        <w:jc w:val="both"/>
      </w:pPr>
      <w:r>
        <w:t>“决策”类指标从申报的政策依据与程序规范性、绩效目标设定的合理性与指标明确性、资金平衡方案科学性和资金分配的合理性三部分进行考核。指标的业绩值和绩效分值如下表所示：</w:t>
      </w:r>
    </w:p>
    <w:p w14:paraId="12F4E9EB">
      <w:pPr>
        <w:spacing w:line="360" w:lineRule="auto"/>
        <w:jc w:val="center"/>
        <w:rPr>
          <w:rFonts w:hint="eastAsia" w:ascii="宋体" w:hAnsi="宋体" w:eastAsia="宋体" w:cs="宋体"/>
          <w:sz w:val="23"/>
          <w:szCs w:val="23"/>
        </w:rPr>
      </w:pPr>
      <w:r>
        <w:rPr>
          <w:rFonts w:ascii="宋体" w:hAnsi="宋体" w:eastAsia="宋体" w:cs="宋体"/>
          <w:spacing w:val="12"/>
          <w:sz w:val="23"/>
          <w:szCs w:val="23"/>
        </w:rPr>
        <w:t>“</w:t>
      </w:r>
      <w:r>
        <w:rPr>
          <w:rStyle w:val="33"/>
          <w:rFonts w:hint="default"/>
        </w:rPr>
        <w:t>决策”类指标业绩值及得分</w:t>
      </w:r>
    </w:p>
    <w:p w14:paraId="679BB272">
      <w:pPr>
        <w:spacing w:line="41" w:lineRule="exact"/>
        <w:jc w:val="both"/>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62"/>
        <w:gridCol w:w="1019"/>
        <w:gridCol w:w="874"/>
        <w:gridCol w:w="1022"/>
      </w:tblGrid>
      <w:tr w14:paraId="585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638E4DC1">
            <w:pPr>
              <w:spacing w:before="184" w:line="228" w:lineRule="auto"/>
              <w:jc w:val="center"/>
              <w:rPr>
                <w:rFonts w:hint="eastAsia" w:ascii="宋体" w:hAnsi="宋体" w:eastAsia="宋体" w:cs="宋体"/>
              </w:rPr>
            </w:pPr>
            <w:r>
              <w:rPr>
                <w:rFonts w:ascii="宋体" w:hAnsi="宋体" w:eastAsia="宋体" w:cs="宋体"/>
                <w:b/>
                <w:bCs/>
                <w:spacing w:val="6"/>
              </w:rPr>
              <w:t>指</w:t>
            </w:r>
            <w:r>
              <w:rPr>
                <w:rFonts w:hint="eastAsia" w:ascii="宋体" w:hAnsi="宋体" w:eastAsia="宋体" w:cs="宋体"/>
                <w:b/>
                <w:bCs/>
                <w:spacing w:val="6"/>
              </w:rPr>
              <w:t xml:space="preserve">  </w:t>
            </w:r>
            <w:r>
              <w:rPr>
                <w:rFonts w:ascii="宋体" w:hAnsi="宋体" w:eastAsia="宋体" w:cs="宋体"/>
                <w:b/>
                <w:bCs/>
                <w:spacing w:val="4"/>
              </w:rPr>
              <w:t>标</w:t>
            </w:r>
          </w:p>
        </w:tc>
        <w:tc>
          <w:tcPr>
            <w:tcW w:w="555" w:type="pct"/>
            <w:vAlign w:val="center"/>
          </w:tcPr>
          <w:p w14:paraId="4425A580">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476" w:type="pct"/>
            <w:vAlign w:val="center"/>
          </w:tcPr>
          <w:p w14:paraId="0B6514D2">
            <w:pPr>
              <w:spacing w:before="183" w:line="228" w:lineRule="auto"/>
              <w:jc w:val="center"/>
              <w:rPr>
                <w:rFonts w:hint="eastAsia" w:ascii="宋体" w:hAnsi="宋体" w:eastAsia="宋体" w:cs="宋体"/>
                <w:b/>
                <w:bCs/>
                <w:spacing w:val="8"/>
              </w:rPr>
            </w:pPr>
            <w:r>
              <w:rPr>
                <w:rFonts w:hint="eastAsia" w:ascii="宋体" w:hAnsi="宋体" w:eastAsia="宋体" w:cs="宋体"/>
                <w:b/>
                <w:bCs/>
                <w:spacing w:val="8"/>
              </w:rPr>
              <w:t>得</w:t>
            </w:r>
            <w:r>
              <w:rPr>
                <w:rFonts w:ascii="宋体" w:hAnsi="宋体" w:eastAsia="宋体" w:cs="宋体"/>
                <w:b/>
                <w:bCs/>
                <w:spacing w:val="8"/>
              </w:rPr>
              <w:t>分</w:t>
            </w:r>
          </w:p>
        </w:tc>
        <w:tc>
          <w:tcPr>
            <w:tcW w:w="557" w:type="pct"/>
            <w:vAlign w:val="center"/>
          </w:tcPr>
          <w:p w14:paraId="63A3C0BD">
            <w:pPr>
              <w:spacing w:before="183" w:line="228" w:lineRule="auto"/>
              <w:jc w:val="center"/>
              <w:rPr>
                <w:rFonts w:hint="eastAsia" w:ascii="宋体" w:hAnsi="宋体" w:eastAsia="宋体" w:cs="宋体"/>
                <w:b/>
                <w:bCs/>
                <w:spacing w:val="8"/>
              </w:rPr>
            </w:pPr>
            <w:r>
              <w:rPr>
                <w:rFonts w:hint="eastAsia" w:ascii="宋体" w:hAnsi="宋体" w:eastAsia="宋体" w:cs="宋体"/>
                <w:b/>
                <w:bCs/>
                <w:spacing w:val="8"/>
              </w:rPr>
              <w:t>得分率</w:t>
            </w:r>
          </w:p>
        </w:tc>
      </w:tr>
      <w:tr w14:paraId="3FE6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19AB35D7">
            <w:pPr>
              <w:spacing w:before="175"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9"/>
              </w:rPr>
              <w:t xml:space="preserve"> 决策</w:t>
            </w:r>
          </w:p>
        </w:tc>
        <w:tc>
          <w:tcPr>
            <w:tcW w:w="555" w:type="pct"/>
            <w:vAlign w:val="center"/>
          </w:tcPr>
          <w:p w14:paraId="717EF130">
            <w:pPr>
              <w:spacing w:before="208" w:line="192" w:lineRule="auto"/>
              <w:jc w:val="center"/>
              <w:rPr>
                <w:rFonts w:hint="eastAsia" w:ascii="宋体" w:hAnsi="宋体" w:eastAsia="宋体" w:cs="宋体"/>
              </w:rPr>
            </w:pPr>
            <w:r>
              <w:rPr>
                <w:rFonts w:hint="eastAsia" w:ascii="宋体" w:hAnsi="宋体" w:eastAsia="宋体" w:cs="宋体"/>
                <w:spacing w:val="-1"/>
              </w:rPr>
              <w:t>20</w:t>
            </w:r>
          </w:p>
        </w:tc>
        <w:tc>
          <w:tcPr>
            <w:tcW w:w="476" w:type="pct"/>
            <w:vAlign w:val="center"/>
          </w:tcPr>
          <w:p w14:paraId="23C46AC8">
            <w:pPr>
              <w:spacing w:before="208" w:line="192" w:lineRule="auto"/>
              <w:jc w:val="center"/>
              <w:rPr>
                <w:rFonts w:hint="eastAsia" w:ascii="宋体" w:hAnsi="宋体" w:eastAsia="宋体" w:cs="宋体"/>
                <w:spacing w:val="-1"/>
              </w:rPr>
            </w:pPr>
            <w:r>
              <w:rPr>
                <w:rFonts w:hint="eastAsia" w:ascii="宋体" w:hAnsi="宋体" w:eastAsia="宋体" w:cs="宋体"/>
                <w:spacing w:val="-1"/>
              </w:rPr>
              <w:t>12</w:t>
            </w:r>
          </w:p>
        </w:tc>
        <w:tc>
          <w:tcPr>
            <w:tcW w:w="557" w:type="pct"/>
            <w:vAlign w:val="center"/>
          </w:tcPr>
          <w:p w14:paraId="76FB4EEA">
            <w:pPr>
              <w:spacing w:before="208" w:line="192" w:lineRule="auto"/>
              <w:jc w:val="center"/>
              <w:rPr>
                <w:rFonts w:hint="eastAsia" w:ascii="宋体" w:hAnsi="宋体" w:eastAsia="宋体" w:cs="宋体"/>
                <w:spacing w:val="-1"/>
              </w:rPr>
            </w:pPr>
            <w:r>
              <w:rPr>
                <w:rFonts w:hint="eastAsia" w:ascii="宋体" w:hAnsi="宋体" w:eastAsia="宋体" w:cs="宋体"/>
                <w:spacing w:val="-1"/>
              </w:rPr>
              <w:t>60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5CA8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694B459D">
            <w:pPr>
              <w:spacing w:before="176"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8"/>
              </w:rPr>
              <w:t>1</w:t>
            </w:r>
            <w:r>
              <w:rPr>
                <w:rFonts w:hint="eastAsia" w:ascii="宋体" w:hAnsi="宋体" w:eastAsia="宋体" w:cs="宋体"/>
                <w:spacing w:val="8"/>
              </w:rPr>
              <w:t>专项债券项目申报的政策依据与程序规范性</w:t>
            </w:r>
          </w:p>
        </w:tc>
        <w:tc>
          <w:tcPr>
            <w:tcW w:w="555" w:type="pct"/>
            <w:vAlign w:val="center"/>
          </w:tcPr>
          <w:p w14:paraId="6FAAD80A">
            <w:pPr>
              <w:spacing w:before="209" w:line="190" w:lineRule="auto"/>
              <w:jc w:val="center"/>
              <w:rPr>
                <w:rFonts w:hint="eastAsia" w:ascii="宋体" w:hAnsi="宋体" w:eastAsia="宋体" w:cs="宋体"/>
              </w:rPr>
            </w:pPr>
            <w:r>
              <w:rPr>
                <w:rFonts w:hint="eastAsia" w:ascii="宋体" w:hAnsi="宋体" w:eastAsia="宋体" w:cs="宋体"/>
              </w:rPr>
              <w:t>9</w:t>
            </w:r>
          </w:p>
        </w:tc>
        <w:tc>
          <w:tcPr>
            <w:tcW w:w="476" w:type="pct"/>
            <w:vAlign w:val="center"/>
          </w:tcPr>
          <w:p w14:paraId="026686DC">
            <w:pPr>
              <w:spacing w:before="208" w:line="192" w:lineRule="auto"/>
              <w:jc w:val="center"/>
              <w:rPr>
                <w:rFonts w:hint="eastAsia" w:ascii="宋体" w:hAnsi="宋体" w:eastAsia="宋体" w:cs="宋体"/>
                <w:spacing w:val="-1"/>
              </w:rPr>
            </w:pPr>
            <w:r>
              <w:rPr>
                <w:rFonts w:hint="eastAsia" w:ascii="宋体" w:hAnsi="宋体" w:eastAsia="宋体" w:cs="宋体"/>
                <w:spacing w:val="-1"/>
              </w:rPr>
              <w:t>8</w:t>
            </w:r>
          </w:p>
        </w:tc>
        <w:tc>
          <w:tcPr>
            <w:tcW w:w="557" w:type="pct"/>
            <w:vAlign w:val="center"/>
          </w:tcPr>
          <w:p w14:paraId="2728DDDC">
            <w:pPr>
              <w:spacing w:before="208" w:line="192" w:lineRule="auto"/>
              <w:jc w:val="center"/>
              <w:rPr>
                <w:rFonts w:hint="eastAsia" w:ascii="宋体" w:hAnsi="宋体" w:eastAsia="宋体" w:cs="宋体"/>
                <w:spacing w:val="-1"/>
              </w:rPr>
            </w:pPr>
            <w:r>
              <w:rPr>
                <w:rFonts w:hint="eastAsia" w:ascii="宋体" w:hAnsi="宋体" w:eastAsia="宋体" w:cs="宋体"/>
                <w:spacing w:val="-1"/>
              </w:rPr>
              <w:t>88.89%</w:t>
            </w:r>
          </w:p>
        </w:tc>
      </w:tr>
      <w:tr w14:paraId="0FD9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3CCB7555">
            <w:pPr>
              <w:spacing w:before="176"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8"/>
              </w:rPr>
              <w:t>2</w:t>
            </w:r>
            <w:r>
              <w:rPr>
                <w:rFonts w:hint="eastAsia" w:ascii="宋体" w:hAnsi="宋体" w:eastAsia="宋体" w:cs="宋体"/>
                <w:spacing w:val="8"/>
              </w:rPr>
              <w:t>地方政府专项债券项目绩效目标设定的合理性与指标明确性</w:t>
            </w:r>
          </w:p>
        </w:tc>
        <w:tc>
          <w:tcPr>
            <w:tcW w:w="555" w:type="pct"/>
            <w:vAlign w:val="center"/>
          </w:tcPr>
          <w:p w14:paraId="3844FAC4">
            <w:pPr>
              <w:spacing w:before="209" w:line="190" w:lineRule="auto"/>
              <w:jc w:val="center"/>
              <w:rPr>
                <w:rFonts w:hint="eastAsia" w:ascii="宋体" w:hAnsi="宋体" w:eastAsia="宋体" w:cs="宋体"/>
              </w:rPr>
            </w:pPr>
            <w:r>
              <w:rPr>
                <w:rFonts w:hint="eastAsia" w:ascii="宋体" w:hAnsi="宋体" w:eastAsia="宋体" w:cs="宋体"/>
              </w:rPr>
              <w:t>5</w:t>
            </w:r>
          </w:p>
        </w:tc>
        <w:tc>
          <w:tcPr>
            <w:tcW w:w="476" w:type="pct"/>
            <w:vAlign w:val="center"/>
          </w:tcPr>
          <w:p w14:paraId="698486FC">
            <w:pPr>
              <w:spacing w:before="208" w:line="192" w:lineRule="auto"/>
              <w:jc w:val="center"/>
              <w:rPr>
                <w:rFonts w:hint="eastAsia" w:ascii="宋体" w:hAnsi="宋体" w:eastAsia="宋体" w:cs="宋体"/>
                <w:spacing w:val="-1"/>
                <w:lang w:eastAsia="zh-CN"/>
              </w:rPr>
            </w:pPr>
            <w:r>
              <w:rPr>
                <w:rFonts w:hint="eastAsia" w:ascii="宋体" w:hAnsi="宋体" w:eastAsia="宋体" w:cs="宋体"/>
                <w:spacing w:val="-1"/>
                <w:lang w:val="en-US" w:eastAsia="zh-CN"/>
              </w:rPr>
              <w:t>0</w:t>
            </w:r>
          </w:p>
        </w:tc>
        <w:tc>
          <w:tcPr>
            <w:tcW w:w="557" w:type="pct"/>
            <w:vAlign w:val="center"/>
          </w:tcPr>
          <w:p w14:paraId="5ED082AD">
            <w:pPr>
              <w:spacing w:before="208" w:line="192" w:lineRule="auto"/>
              <w:jc w:val="center"/>
              <w:rPr>
                <w:rFonts w:hint="eastAsia" w:ascii="宋体" w:hAnsi="宋体" w:eastAsia="宋体" w:cs="宋体"/>
                <w:spacing w:val="-1"/>
              </w:rPr>
            </w:pPr>
            <w:r>
              <w:rPr>
                <w:rFonts w:hint="eastAsia" w:ascii="宋体" w:hAnsi="宋体" w:eastAsia="宋体" w:cs="宋体"/>
                <w:spacing w:val="-1"/>
              </w:rPr>
              <w:t>-</w:t>
            </w:r>
          </w:p>
        </w:tc>
      </w:tr>
      <w:tr w14:paraId="476A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7E74FB7B">
            <w:pPr>
              <w:spacing w:before="179" w:line="228" w:lineRule="auto"/>
              <w:ind w:left="103"/>
              <w:jc w:val="both"/>
              <w:rPr>
                <w:rFonts w:hint="eastAsia" w:ascii="宋体" w:hAnsi="宋体" w:eastAsia="宋体" w:cs="宋体"/>
              </w:rPr>
            </w:pPr>
            <w:r>
              <w:rPr>
                <w:rFonts w:ascii="宋体" w:hAnsi="宋体" w:eastAsia="宋体" w:cs="宋体"/>
              </w:rPr>
              <w:t>A</w:t>
            </w:r>
            <w:r>
              <w:rPr>
                <w:rFonts w:hint="eastAsia" w:ascii="宋体" w:hAnsi="宋体" w:eastAsia="宋体" w:cs="宋体"/>
                <w:spacing w:val="8"/>
              </w:rPr>
              <w:t>3地方政府专项债券资金平衡方</w:t>
            </w:r>
            <w:r>
              <w:rPr>
                <w:rFonts w:hint="eastAsia" w:ascii="宋体" w:hAnsi="宋体" w:eastAsia="宋体" w:cs="宋体"/>
                <w:spacing w:val="8"/>
                <w:lang w:eastAsia="zh-CN"/>
              </w:rPr>
              <w:t>案的</w:t>
            </w:r>
            <w:r>
              <w:rPr>
                <w:rFonts w:hint="eastAsia" w:ascii="宋体" w:hAnsi="宋体" w:eastAsia="宋体" w:cs="宋体"/>
                <w:spacing w:val="8"/>
              </w:rPr>
              <w:t>科学性和资金分配的合理性</w:t>
            </w:r>
          </w:p>
        </w:tc>
        <w:tc>
          <w:tcPr>
            <w:tcW w:w="555" w:type="pct"/>
            <w:vAlign w:val="center"/>
          </w:tcPr>
          <w:p w14:paraId="1430A0D0">
            <w:pPr>
              <w:spacing w:before="212" w:line="190" w:lineRule="auto"/>
              <w:jc w:val="center"/>
              <w:rPr>
                <w:rFonts w:hint="eastAsia" w:ascii="宋体" w:hAnsi="宋体" w:eastAsia="宋体" w:cs="宋体"/>
              </w:rPr>
            </w:pPr>
            <w:r>
              <w:rPr>
                <w:rFonts w:hint="eastAsia" w:ascii="宋体" w:hAnsi="宋体" w:eastAsia="宋体" w:cs="宋体"/>
              </w:rPr>
              <w:t>6</w:t>
            </w:r>
          </w:p>
        </w:tc>
        <w:tc>
          <w:tcPr>
            <w:tcW w:w="476" w:type="pct"/>
            <w:vAlign w:val="center"/>
          </w:tcPr>
          <w:p w14:paraId="10BFB9C4">
            <w:pPr>
              <w:spacing w:before="208" w:line="192" w:lineRule="auto"/>
              <w:jc w:val="center"/>
              <w:rPr>
                <w:rFonts w:hint="eastAsia" w:ascii="宋体" w:hAnsi="宋体" w:eastAsia="宋体" w:cs="宋体"/>
                <w:spacing w:val="-1"/>
              </w:rPr>
            </w:pPr>
            <w:r>
              <w:rPr>
                <w:rFonts w:hint="eastAsia" w:ascii="宋体" w:hAnsi="宋体" w:eastAsia="宋体" w:cs="宋体"/>
                <w:spacing w:val="-1"/>
              </w:rPr>
              <w:t>4</w:t>
            </w:r>
          </w:p>
        </w:tc>
        <w:tc>
          <w:tcPr>
            <w:tcW w:w="557" w:type="pct"/>
            <w:vAlign w:val="center"/>
          </w:tcPr>
          <w:p w14:paraId="4E0BF1CB">
            <w:pPr>
              <w:spacing w:before="208" w:line="192" w:lineRule="auto"/>
              <w:jc w:val="center"/>
              <w:rPr>
                <w:rFonts w:hint="eastAsia" w:ascii="宋体" w:hAnsi="宋体" w:eastAsia="宋体" w:cs="宋体"/>
                <w:spacing w:val="-1"/>
              </w:rPr>
            </w:pPr>
            <w:r>
              <w:rPr>
                <w:rFonts w:hint="eastAsia" w:ascii="宋体" w:hAnsi="宋体" w:eastAsia="宋体" w:cs="宋体"/>
                <w:spacing w:val="-1"/>
              </w:rPr>
              <w:t>66.67%</w:t>
            </w:r>
          </w:p>
        </w:tc>
      </w:tr>
    </w:tbl>
    <w:p w14:paraId="42F78C2B">
      <w:pPr>
        <w:pStyle w:val="32"/>
        <w:numPr>
          <w:ilvl w:val="0"/>
          <w:numId w:val="11"/>
        </w:numPr>
        <w:spacing w:before="240" w:beforeLines="100" w:line="360" w:lineRule="auto"/>
        <w:ind w:left="0" w:firstLine="522"/>
        <w:jc w:val="both"/>
        <w:rPr>
          <w:b/>
          <w:bCs/>
        </w:rPr>
      </w:pPr>
      <w:r>
        <w:rPr>
          <w:b/>
          <w:bCs/>
        </w:rPr>
        <w:t>A1 专项债券项目申报的政策依据与程序规范性</w:t>
      </w:r>
    </w:p>
    <w:p w14:paraId="0FAC5BE5">
      <w:pPr>
        <w:pStyle w:val="32"/>
        <w:spacing w:line="360" w:lineRule="auto"/>
        <w:ind w:firstLine="520"/>
        <w:jc w:val="both"/>
      </w:pPr>
      <w:r>
        <w:t>“专项债券项目申报的政策依据与程序规范性”考核项目立项依据充分性、立项程序规范性和债券支持领域和方向符合性三个方面，指标的业绩值和绩效分值如下表所示：</w:t>
      </w:r>
    </w:p>
    <w:p w14:paraId="61877E65">
      <w:pPr>
        <w:pStyle w:val="32"/>
        <w:spacing w:before="120" w:beforeLines="50" w:after="120" w:afterLines="50"/>
        <w:ind w:firstLine="0" w:firstLineChars="0"/>
        <w:jc w:val="center"/>
      </w:pPr>
      <w:r>
        <w:t>“专项债券项目申报的政策依据与程序规范性”指标业绩值及得分</w:t>
      </w:r>
    </w:p>
    <w:p w14:paraId="0EE74D36">
      <w:pPr>
        <w:spacing w:line="42" w:lineRule="exact"/>
        <w:jc w:val="both"/>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4"/>
        <w:gridCol w:w="1364"/>
        <w:gridCol w:w="1213"/>
        <w:gridCol w:w="1516"/>
      </w:tblGrid>
      <w:tr w14:paraId="7D03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vAlign w:val="center"/>
          </w:tcPr>
          <w:p w14:paraId="6C470AD4">
            <w:pPr>
              <w:spacing w:before="177" w:line="221" w:lineRule="auto"/>
              <w:jc w:val="center"/>
              <w:rPr>
                <w:rFonts w:hint="eastAsia" w:ascii="宋体" w:hAnsi="宋体" w:eastAsia="宋体" w:cs="宋体"/>
                <w:b/>
                <w:bCs/>
              </w:rPr>
            </w:pPr>
            <w:r>
              <w:rPr>
                <w:rFonts w:ascii="宋体" w:hAnsi="宋体" w:eastAsia="宋体" w:cs="宋体"/>
                <w:b/>
                <w:bCs/>
                <w:spacing w:val="-1"/>
              </w:rPr>
              <w:t>指</w:t>
            </w:r>
            <w:r>
              <w:rPr>
                <w:rFonts w:ascii="宋体" w:hAnsi="宋体" w:eastAsia="宋体" w:cs="宋体"/>
                <w:b/>
                <w:bCs/>
              </w:rPr>
              <w:t xml:space="preserve">  标</w:t>
            </w:r>
          </w:p>
        </w:tc>
        <w:tc>
          <w:tcPr>
            <w:tcW w:w="743" w:type="pct"/>
            <w:vAlign w:val="center"/>
          </w:tcPr>
          <w:p w14:paraId="4612733B">
            <w:pPr>
              <w:spacing w:before="177" w:line="220" w:lineRule="auto"/>
              <w:jc w:val="center"/>
              <w:rPr>
                <w:rFonts w:hint="eastAsia" w:ascii="宋体" w:hAnsi="宋体" w:eastAsia="宋体" w:cs="宋体"/>
                <w:b/>
                <w:bCs/>
              </w:rPr>
            </w:pPr>
            <w:r>
              <w:rPr>
                <w:rFonts w:hint="eastAsia" w:ascii="宋体" w:hAnsi="宋体" w:eastAsia="宋体" w:cs="宋体"/>
                <w:b/>
                <w:bCs/>
                <w:spacing w:val="-3"/>
              </w:rPr>
              <w:t>指</w:t>
            </w:r>
            <w:r>
              <w:rPr>
                <w:rFonts w:ascii="宋体" w:hAnsi="宋体" w:eastAsia="宋体" w:cs="宋体"/>
                <w:b/>
                <w:bCs/>
                <w:spacing w:val="-3"/>
              </w:rPr>
              <w:t>标分值</w:t>
            </w:r>
          </w:p>
        </w:tc>
        <w:tc>
          <w:tcPr>
            <w:tcW w:w="661" w:type="pct"/>
            <w:vAlign w:val="center"/>
          </w:tcPr>
          <w:p w14:paraId="49A74617">
            <w:pPr>
              <w:spacing w:before="177" w:line="220" w:lineRule="auto"/>
              <w:jc w:val="center"/>
              <w:rPr>
                <w:rFonts w:hint="eastAsia" w:ascii="宋体" w:hAnsi="宋体" w:eastAsia="宋体" w:cs="宋体"/>
                <w:b/>
                <w:bCs/>
              </w:rPr>
            </w:pPr>
            <w:r>
              <w:rPr>
                <w:rFonts w:hint="eastAsia" w:ascii="宋体" w:hAnsi="宋体" w:eastAsia="宋体" w:cs="宋体"/>
                <w:b/>
                <w:bCs/>
                <w:spacing w:val="-2"/>
              </w:rPr>
              <w:t>得</w:t>
            </w:r>
            <w:r>
              <w:rPr>
                <w:rFonts w:ascii="宋体" w:hAnsi="宋体" w:eastAsia="宋体" w:cs="宋体"/>
                <w:b/>
                <w:bCs/>
                <w:spacing w:val="-2"/>
              </w:rPr>
              <w:t>分</w:t>
            </w:r>
          </w:p>
        </w:tc>
        <w:tc>
          <w:tcPr>
            <w:tcW w:w="826" w:type="pct"/>
            <w:vAlign w:val="center"/>
          </w:tcPr>
          <w:p w14:paraId="47EBB2A3">
            <w:pPr>
              <w:spacing w:before="177" w:line="220" w:lineRule="auto"/>
              <w:jc w:val="center"/>
              <w:rPr>
                <w:rFonts w:hint="eastAsia" w:ascii="宋体" w:hAnsi="宋体" w:eastAsia="宋体" w:cs="宋体"/>
                <w:b/>
                <w:bCs/>
              </w:rPr>
            </w:pPr>
            <w:r>
              <w:rPr>
                <w:rFonts w:hint="eastAsia" w:ascii="宋体" w:hAnsi="宋体" w:eastAsia="宋体" w:cs="宋体"/>
                <w:b/>
                <w:bCs/>
                <w:spacing w:val="1"/>
              </w:rPr>
              <w:t>得</w:t>
            </w:r>
            <w:r>
              <w:rPr>
                <w:rFonts w:ascii="宋体" w:hAnsi="宋体" w:eastAsia="宋体" w:cs="宋体"/>
                <w:b/>
                <w:bCs/>
                <w:spacing w:val="1"/>
              </w:rPr>
              <w:t>分率</w:t>
            </w:r>
          </w:p>
        </w:tc>
      </w:tr>
      <w:tr w14:paraId="5097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25BC068F">
            <w:pPr>
              <w:spacing w:before="170" w:line="221" w:lineRule="auto"/>
              <w:ind w:left="103"/>
              <w:jc w:val="both"/>
              <w:rPr>
                <w:rFonts w:hint="eastAsia" w:ascii="宋体" w:hAnsi="宋体" w:eastAsia="宋体" w:cs="宋体"/>
              </w:rPr>
            </w:pPr>
            <w:r>
              <w:rPr>
                <w:rFonts w:ascii="宋体" w:hAnsi="宋体" w:eastAsia="宋体" w:cs="宋体"/>
              </w:rPr>
              <w:t>A1</w:t>
            </w:r>
            <w:r>
              <w:rPr>
                <w:rFonts w:hint="eastAsia" w:ascii="宋体" w:hAnsi="宋体" w:eastAsia="宋体" w:cs="宋体"/>
              </w:rPr>
              <w:t>专项债券项目申报的政策依据与程序规范性</w:t>
            </w:r>
          </w:p>
        </w:tc>
        <w:tc>
          <w:tcPr>
            <w:tcW w:w="743" w:type="pct"/>
            <w:vAlign w:val="center"/>
          </w:tcPr>
          <w:p w14:paraId="1A471E34">
            <w:pPr>
              <w:spacing w:before="206" w:line="190" w:lineRule="auto"/>
              <w:jc w:val="center"/>
              <w:rPr>
                <w:rFonts w:hint="eastAsia" w:ascii="宋体" w:hAnsi="宋体" w:eastAsia="宋体" w:cs="宋体"/>
              </w:rPr>
            </w:pPr>
            <w:r>
              <w:rPr>
                <w:rFonts w:hint="eastAsia" w:ascii="宋体" w:hAnsi="宋体" w:eastAsia="宋体" w:cs="宋体"/>
              </w:rPr>
              <w:t>9</w:t>
            </w:r>
          </w:p>
        </w:tc>
        <w:tc>
          <w:tcPr>
            <w:tcW w:w="661" w:type="pct"/>
            <w:vAlign w:val="center"/>
          </w:tcPr>
          <w:p w14:paraId="26212B1A">
            <w:pPr>
              <w:spacing w:before="206" w:line="190" w:lineRule="auto"/>
              <w:jc w:val="center"/>
              <w:rPr>
                <w:rFonts w:hint="eastAsia" w:ascii="宋体" w:hAnsi="宋体" w:eastAsia="宋体" w:cs="宋体"/>
              </w:rPr>
            </w:pPr>
            <w:r>
              <w:rPr>
                <w:rFonts w:hint="eastAsia" w:ascii="宋体" w:hAnsi="宋体" w:eastAsia="宋体" w:cs="宋体"/>
              </w:rPr>
              <w:t>8</w:t>
            </w:r>
          </w:p>
        </w:tc>
        <w:tc>
          <w:tcPr>
            <w:tcW w:w="826" w:type="pct"/>
            <w:vAlign w:val="center"/>
          </w:tcPr>
          <w:p w14:paraId="761470A6">
            <w:pPr>
              <w:spacing w:before="206" w:line="190" w:lineRule="auto"/>
              <w:jc w:val="center"/>
              <w:rPr>
                <w:rFonts w:hint="eastAsia" w:ascii="宋体" w:hAnsi="宋体" w:eastAsia="宋体" w:cs="宋体"/>
              </w:rPr>
            </w:pPr>
            <w:r>
              <w:rPr>
                <w:rFonts w:hint="eastAsia" w:ascii="宋体" w:hAnsi="宋体" w:eastAsia="宋体" w:cs="宋体"/>
              </w:rPr>
              <w:t>88.89%</w:t>
            </w:r>
          </w:p>
        </w:tc>
      </w:tr>
      <w:tr w14:paraId="1CB7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37840857">
            <w:pPr>
              <w:spacing w:before="171" w:line="219"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01</w:t>
            </w:r>
            <w:r>
              <w:rPr>
                <w:rFonts w:hint="eastAsia" w:ascii="宋体" w:hAnsi="宋体" w:eastAsia="宋体" w:cs="宋体"/>
              </w:rPr>
              <w:t>项目立项依据</w:t>
            </w:r>
          </w:p>
        </w:tc>
        <w:tc>
          <w:tcPr>
            <w:tcW w:w="743" w:type="pct"/>
            <w:vAlign w:val="center"/>
          </w:tcPr>
          <w:p w14:paraId="1007F9A1">
            <w:pPr>
              <w:spacing w:before="209" w:line="190" w:lineRule="auto"/>
              <w:jc w:val="center"/>
              <w:rPr>
                <w:rFonts w:hint="eastAsia" w:ascii="宋体" w:hAnsi="宋体" w:eastAsia="宋体" w:cs="宋体"/>
              </w:rPr>
            </w:pPr>
            <w:r>
              <w:rPr>
                <w:rFonts w:hint="eastAsia" w:ascii="宋体" w:hAnsi="宋体" w:eastAsia="宋体" w:cs="宋体"/>
              </w:rPr>
              <w:t>3</w:t>
            </w:r>
          </w:p>
        </w:tc>
        <w:tc>
          <w:tcPr>
            <w:tcW w:w="661" w:type="pct"/>
            <w:vAlign w:val="center"/>
          </w:tcPr>
          <w:p w14:paraId="1B1C71A9">
            <w:pPr>
              <w:spacing w:before="206" w:line="190" w:lineRule="auto"/>
              <w:jc w:val="center"/>
              <w:rPr>
                <w:rFonts w:hint="eastAsia" w:ascii="宋体" w:hAnsi="宋体" w:eastAsia="宋体" w:cs="宋体"/>
              </w:rPr>
            </w:pPr>
            <w:r>
              <w:rPr>
                <w:rFonts w:hint="eastAsia" w:ascii="宋体" w:hAnsi="宋体" w:eastAsia="宋体" w:cs="宋体"/>
              </w:rPr>
              <w:t>3</w:t>
            </w:r>
          </w:p>
        </w:tc>
        <w:tc>
          <w:tcPr>
            <w:tcW w:w="826" w:type="pct"/>
            <w:vAlign w:val="center"/>
          </w:tcPr>
          <w:p w14:paraId="0D4DC2F0">
            <w:pPr>
              <w:spacing w:before="20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28E4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1EEDE1C3">
            <w:pPr>
              <w:spacing w:before="170" w:line="221"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02</w:t>
            </w:r>
            <w:r>
              <w:rPr>
                <w:rFonts w:hint="eastAsia" w:ascii="宋体" w:hAnsi="宋体" w:eastAsia="宋体" w:cs="宋体"/>
              </w:rPr>
              <w:t>立项程序规范性</w:t>
            </w:r>
          </w:p>
        </w:tc>
        <w:tc>
          <w:tcPr>
            <w:tcW w:w="743" w:type="pct"/>
            <w:vAlign w:val="center"/>
          </w:tcPr>
          <w:p w14:paraId="7C4ABE99">
            <w:pPr>
              <w:spacing w:before="209" w:line="190" w:lineRule="auto"/>
              <w:jc w:val="center"/>
              <w:rPr>
                <w:rFonts w:hint="eastAsia" w:ascii="宋体" w:hAnsi="宋体" w:eastAsia="宋体" w:cs="宋体"/>
              </w:rPr>
            </w:pPr>
            <w:r>
              <w:rPr>
                <w:rFonts w:hint="eastAsia" w:ascii="宋体" w:hAnsi="宋体" w:eastAsia="宋体" w:cs="宋体"/>
              </w:rPr>
              <w:t>4</w:t>
            </w:r>
          </w:p>
        </w:tc>
        <w:tc>
          <w:tcPr>
            <w:tcW w:w="661" w:type="pct"/>
            <w:vAlign w:val="center"/>
          </w:tcPr>
          <w:p w14:paraId="3DC1EB3D">
            <w:pPr>
              <w:spacing w:before="206" w:line="190" w:lineRule="auto"/>
              <w:jc w:val="center"/>
              <w:rPr>
                <w:rFonts w:hint="eastAsia" w:ascii="宋体" w:hAnsi="宋体" w:eastAsia="宋体" w:cs="宋体"/>
              </w:rPr>
            </w:pPr>
            <w:r>
              <w:rPr>
                <w:rFonts w:hint="eastAsia" w:ascii="宋体" w:hAnsi="宋体" w:eastAsia="宋体" w:cs="宋体"/>
              </w:rPr>
              <w:t>3</w:t>
            </w:r>
          </w:p>
        </w:tc>
        <w:tc>
          <w:tcPr>
            <w:tcW w:w="826" w:type="pct"/>
            <w:vAlign w:val="center"/>
          </w:tcPr>
          <w:p w14:paraId="1D091525">
            <w:pPr>
              <w:spacing w:before="206" w:line="190" w:lineRule="auto"/>
              <w:jc w:val="center"/>
              <w:rPr>
                <w:rFonts w:hint="eastAsia" w:ascii="宋体" w:hAnsi="宋体" w:eastAsia="宋体" w:cs="宋体"/>
              </w:rPr>
            </w:pPr>
            <w:r>
              <w:rPr>
                <w:rFonts w:hint="eastAsia" w:ascii="宋体" w:hAnsi="宋体" w:eastAsia="宋体" w:cs="宋体"/>
              </w:rPr>
              <w:t>75</w:t>
            </w:r>
            <w:r>
              <w:rPr>
                <w:rFonts w:hint="eastAsia" w:ascii="宋体" w:hAnsi="宋体" w:eastAsia="宋体" w:cs="宋体"/>
                <w:lang w:val="en-US" w:eastAsia="zh-CN"/>
              </w:rPr>
              <w:t>.00</w:t>
            </w:r>
            <w:r>
              <w:rPr>
                <w:rFonts w:hint="eastAsia" w:ascii="宋体" w:hAnsi="宋体" w:eastAsia="宋体" w:cs="宋体"/>
              </w:rPr>
              <w:t>%</w:t>
            </w:r>
          </w:p>
        </w:tc>
      </w:tr>
      <w:tr w14:paraId="50D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5F665D50">
            <w:pPr>
              <w:spacing w:before="116" w:line="274" w:lineRule="auto"/>
              <w:ind w:left="110" w:right="127" w:hanging="7"/>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03</w:t>
            </w:r>
            <w:r>
              <w:rPr>
                <w:rFonts w:hint="eastAsia" w:ascii="宋体" w:hAnsi="宋体" w:eastAsia="宋体" w:cs="宋体"/>
              </w:rPr>
              <w:t>债券支持领域和方向符合性</w:t>
            </w:r>
          </w:p>
        </w:tc>
        <w:tc>
          <w:tcPr>
            <w:tcW w:w="743" w:type="pct"/>
            <w:vAlign w:val="center"/>
          </w:tcPr>
          <w:p w14:paraId="1E80F8C0">
            <w:pPr>
              <w:spacing w:before="209" w:line="190" w:lineRule="auto"/>
              <w:jc w:val="center"/>
              <w:rPr>
                <w:rFonts w:hint="eastAsia" w:ascii="宋体" w:hAnsi="宋体" w:eastAsia="宋体" w:cs="宋体"/>
              </w:rPr>
            </w:pPr>
            <w:r>
              <w:rPr>
                <w:rFonts w:ascii="宋体" w:hAnsi="宋体" w:eastAsia="宋体" w:cs="宋体"/>
              </w:rPr>
              <w:t>2</w:t>
            </w:r>
          </w:p>
        </w:tc>
        <w:tc>
          <w:tcPr>
            <w:tcW w:w="661" w:type="pct"/>
            <w:vAlign w:val="center"/>
          </w:tcPr>
          <w:p w14:paraId="7230811C">
            <w:pPr>
              <w:spacing w:before="206" w:line="190" w:lineRule="auto"/>
              <w:jc w:val="center"/>
              <w:rPr>
                <w:rFonts w:hint="eastAsia" w:ascii="宋体" w:hAnsi="宋体" w:eastAsia="宋体" w:cs="宋体"/>
              </w:rPr>
            </w:pPr>
            <w:r>
              <w:rPr>
                <w:rFonts w:hint="eastAsia" w:ascii="宋体" w:hAnsi="宋体" w:eastAsia="宋体" w:cs="宋体"/>
              </w:rPr>
              <w:t>2</w:t>
            </w:r>
          </w:p>
        </w:tc>
        <w:tc>
          <w:tcPr>
            <w:tcW w:w="826" w:type="pct"/>
            <w:vAlign w:val="center"/>
          </w:tcPr>
          <w:p w14:paraId="033CF2BC">
            <w:pPr>
              <w:spacing w:before="20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4B5EC6F8">
      <w:pPr>
        <w:pStyle w:val="32"/>
        <w:numPr>
          <w:ilvl w:val="0"/>
          <w:numId w:val="12"/>
        </w:numPr>
        <w:spacing w:before="240" w:beforeLines="100" w:line="360" w:lineRule="auto"/>
        <w:ind w:firstLine="520"/>
        <w:jc w:val="both"/>
        <w:rPr>
          <w:rStyle w:val="33"/>
        </w:rPr>
      </w:pPr>
      <w:r>
        <w:rPr>
          <w:rStyle w:val="33"/>
        </w:rPr>
        <w:t>A101 项目立项依据</w:t>
      </w:r>
    </w:p>
    <w:p w14:paraId="0D4F91CB">
      <w:pPr>
        <w:pStyle w:val="32"/>
        <w:spacing w:line="360" w:lineRule="auto"/>
        <w:ind w:firstLine="520"/>
        <w:jc w:val="both"/>
      </w:pPr>
      <w:r>
        <w:rPr>
          <w:rStyle w:val="33"/>
        </w:rPr>
        <w:t>中韩（长春）国际合作示范区智能装备孵化基地项目</w:t>
      </w:r>
      <w:r>
        <w:t>列入政府投资计划和中长期财政规划，符合长春市国民经济和社会发展第十四个五年规划，同时纳入财政部地方政府债务管理系统项目库。根据评分标准，此指标满分3分，得3分。</w:t>
      </w:r>
    </w:p>
    <w:p w14:paraId="592C7156">
      <w:pPr>
        <w:pStyle w:val="32"/>
        <w:numPr>
          <w:ilvl w:val="0"/>
          <w:numId w:val="12"/>
        </w:numPr>
        <w:spacing w:line="360" w:lineRule="auto"/>
        <w:ind w:firstLine="500"/>
        <w:jc w:val="both"/>
        <w:rPr>
          <w:sz w:val="23"/>
        </w:rPr>
      </w:pPr>
      <w:r>
        <w:rPr>
          <w:sz w:val="23"/>
        </w:rPr>
        <w:t>A</w:t>
      </w:r>
      <w:r>
        <w:rPr>
          <w:spacing w:val="-1"/>
          <w:sz w:val="23"/>
        </w:rPr>
        <w:t>1</w:t>
      </w:r>
      <w:r>
        <w:rPr>
          <w:sz w:val="23"/>
        </w:rPr>
        <w:t>02 立项程序规范性</w:t>
      </w:r>
    </w:p>
    <w:p w14:paraId="3FBD07C4">
      <w:pPr>
        <w:pStyle w:val="32"/>
        <w:spacing w:line="360" w:lineRule="auto"/>
        <w:ind w:firstLine="520"/>
        <w:jc w:val="both"/>
        <w:rPr>
          <w:rStyle w:val="33"/>
        </w:rPr>
      </w:pPr>
      <w:r>
        <w:rPr>
          <w:rStyle w:val="33"/>
        </w:rPr>
        <w:t>中韩（长春）国际合作示范区智能装备孵化基地项目立项程序完整，审批文件、材料符合要求，事前经过了必要的研究、论证、评估、集体决策。但项目前期准备工作不完备，在初步设计审查未完成的情况下进行了工程总承包项目发包，施工许可证下发时间晚于开工时间，此项扣1分。根据评分标准，此指标满分4分，得3分。</w:t>
      </w:r>
    </w:p>
    <w:p w14:paraId="10E1C3C5">
      <w:pPr>
        <w:pStyle w:val="32"/>
        <w:spacing w:line="360" w:lineRule="auto"/>
        <w:ind w:firstLine="520"/>
        <w:jc w:val="both"/>
        <w:rPr>
          <w:rStyle w:val="33"/>
        </w:rPr>
      </w:pPr>
      <w:r>
        <w:rPr>
          <w:rStyle w:val="33"/>
        </w:rPr>
        <w:t>（3）A103 债券支持领域和方向符合性</w:t>
      </w:r>
    </w:p>
    <w:p w14:paraId="32045335">
      <w:pPr>
        <w:pStyle w:val="32"/>
        <w:spacing w:line="360" w:lineRule="auto"/>
        <w:ind w:firstLine="520"/>
        <w:jc w:val="both"/>
        <w:rPr>
          <w:sz w:val="23"/>
        </w:rPr>
      </w:pPr>
      <w:r>
        <w:rPr>
          <w:rStyle w:val="33"/>
        </w:rPr>
        <w:t>中韩（长春）国际合作示范区智能装备孵化基地项目符合专项债券支持领域和方向。根据评分标准，此指标满分2分，得2分。</w:t>
      </w:r>
    </w:p>
    <w:p w14:paraId="05888F6B">
      <w:pPr>
        <w:pStyle w:val="32"/>
        <w:numPr>
          <w:ilvl w:val="0"/>
          <w:numId w:val="11"/>
        </w:numPr>
        <w:spacing w:line="360" w:lineRule="auto"/>
        <w:ind w:left="0" w:firstLine="522"/>
        <w:jc w:val="both"/>
        <w:rPr>
          <w:b/>
          <w:bCs/>
        </w:rPr>
      </w:pPr>
      <w:r>
        <w:rPr>
          <w:b/>
          <w:bCs/>
        </w:rPr>
        <w:t>A2 地方政府专项债券项目绩效目标设定的合理性与指标明确性</w:t>
      </w:r>
    </w:p>
    <w:p w14:paraId="22E85DA9">
      <w:pPr>
        <w:pStyle w:val="32"/>
        <w:spacing w:line="360" w:lineRule="auto"/>
        <w:ind w:firstLine="520"/>
        <w:jc w:val="both"/>
      </w:pPr>
      <w:r>
        <w:t>“地方政府专项债券项目绩效目标设定的合理性与指标明确性”考核项目绩效目标设</w:t>
      </w:r>
      <w:r>
        <w:rPr>
          <w:rFonts w:hint="eastAsia"/>
          <w:lang w:eastAsia="zh-CN"/>
        </w:rPr>
        <w:t>定的</w:t>
      </w:r>
      <w:r>
        <w:t>合理性和绩效指标明确性两个方面，指标的业绩值和绩效分值如下表所示：</w:t>
      </w:r>
    </w:p>
    <w:p w14:paraId="5CBE8BDF">
      <w:pPr>
        <w:pStyle w:val="32"/>
        <w:spacing w:line="360" w:lineRule="auto"/>
        <w:ind w:firstLine="0" w:firstLineChars="0"/>
        <w:jc w:val="both"/>
      </w:pPr>
      <w:r>
        <w:t>“地方政府专项债券项目绩效目标设定的合理性与指标明确性”指标业绩值及得分</w:t>
      </w:r>
    </w:p>
    <w:p w14:paraId="0D0F3E4F">
      <w:pPr>
        <w:spacing w:line="42" w:lineRule="exact"/>
        <w:jc w:val="both"/>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1"/>
        <w:gridCol w:w="1259"/>
        <w:gridCol w:w="1120"/>
        <w:gridCol w:w="997"/>
      </w:tblGrid>
      <w:tr w14:paraId="1937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vAlign w:val="center"/>
          </w:tcPr>
          <w:p w14:paraId="1C575D6D">
            <w:pPr>
              <w:spacing w:before="243" w:line="221" w:lineRule="auto"/>
              <w:jc w:val="center"/>
              <w:rPr>
                <w:rFonts w:hint="eastAsia" w:ascii="宋体" w:hAnsi="宋体" w:eastAsia="宋体" w:cs="宋体"/>
                <w:b/>
                <w:bCs/>
              </w:rPr>
            </w:pPr>
            <w:r>
              <w:rPr>
                <w:rFonts w:ascii="宋体" w:hAnsi="宋体" w:eastAsia="宋体" w:cs="宋体"/>
                <w:b/>
                <w:bCs/>
                <w:spacing w:val="-1"/>
              </w:rPr>
              <w:t>指</w:t>
            </w:r>
            <w:r>
              <w:rPr>
                <w:rFonts w:ascii="宋体" w:hAnsi="宋体" w:eastAsia="宋体" w:cs="宋体"/>
                <w:b/>
                <w:bCs/>
              </w:rPr>
              <w:t xml:space="preserve">  标</w:t>
            </w:r>
          </w:p>
        </w:tc>
        <w:tc>
          <w:tcPr>
            <w:tcW w:w="686" w:type="pct"/>
            <w:vAlign w:val="center"/>
          </w:tcPr>
          <w:p w14:paraId="22DB16CA">
            <w:pPr>
              <w:spacing w:before="243" w:line="220" w:lineRule="auto"/>
              <w:jc w:val="center"/>
              <w:rPr>
                <w:rFonts w:hint="eastAsia" w:ascii="宋体" w:hAnsi="宋体" w:eastAsia="宋体" w:cs="宋体"/>
                <w:b/>
                <w:bCs/>
              </w:rPr>
            </w:pPr>
            <w:r>
              <w:rPr>
                <w:rFonts w:hint="eastAsia" w:ascii="宋体" w:hAnsi="宋体" w:eastAsia="宋体" w:cs="宋体"/>
                <w:b/>
                <w:bCs/>
                <w:spacing w:val="-3"/>
              </w:rPr>
              <w:t>指</w:t>
            </w:r>
            <w:r>
              <w:rPr>
                <w:rFonts w:ascii="宋体" w:hAnsi="宋体" w:eastAsia="宋体" w:cs="宋体"/>
                <w:b/>
                <w:bCs/>
                <w:spacing w:val="-3"/>
              </w:rPr>
              <w:t>标分值</w:t>
            </w:r>
          </w:p>
        </w:tc>
        <w:tc>
          <w:tcPr>
            <w:tcW w:w="610" w:type="pct"/>
            <w:vAlign w:val="center"/>
          </w:tcPr>
          <w:p w14:paraId="71CA1858">
            <w:pPr>
              <w:spacing w:before="243" w:line="220" w:lineRule="auto"/>
              <w:jc w:val="center"/>
              <w:rPr>
                <w:rFonts w:hint="eastAsia" w:ascii="宋体" w:hAnsi="宋体" w:eastAsia="宋体" w:cs="宋体"/>
                <w:b/>
                <w:bCs/>
              </w:rPr>
            </w:pPr>
            <w:r>
              <w:rPr>
                <w:rFonts w:hint="eastAsia" w:ascii="宋体" w:hAnsi="宋体" w:eastAsia="宋体" w:cs="宋体"/>
                <w:b/>
                <w:bCs/>
                <w:spacing w:val="-18"/>
              </w:rPr>
              <w:t>得</w:t>
            </w:r>
            <w:r>
              <w:rPr>
                <w:rFonts w:ascii="宋体" w:hAnsi="宋体" w:eastAsia="宋体" w:cs="宋体"/>
                <w:b/>
                <w:bCs/>
                <w:spacing w:val="-18"/>
              </w:rPr>
              <w:t>分</w:t>
            </w:r>
          </w:p>
        </w:tc>
        <w:tc>
          <w:tcPr>
            <w:tcW w:w="544" w:type="pct"/>
            <w:vAlign w:val="center"/>
          </w:tcPr>
          <w:p w14:paraId="68C64ADF">
            <w:pPr>
              <w:spacing w:before="243" w:line="220" w:lineRule="auto"/>
              <w:jc w:val="center"/>
              <w:rPr>
                <w:rFonts w:hint="eastAsia" w:ascii="宋体" w:hAnsi="宋体" w:eastAsia="宋体" w:cs="宋体"/>
                <w:b/>
                <w:bCs/>
              </w:rPr>
            </w:pPr>
            <w:r>
              <w:rPr>
                <w:rFonts w:hint="eastAsia" w:ascii="宋体" w:hAnsi="宋体" w:eastAsia="宋体" w:cs="宋体"/>
                <w:b/>
                <w:bCs/>
                <w:spacing w:val="-2"/>
              </w:rPr>
              <w:t>得</w:t>
            </w:r>
            <w:r>
              <w:rPr>
                <w:rFonts w:ascii="宋体" w:hAnsi="宋体" w:eastAsia="宋体" w:cs="宋体"/>
                <w:b/>
                <w:bCs/>
                <w:spacing w:val="-2"/>
              </w:rPr>
              <w:t>分率</w:t>
            </w:r>
          </w:p>
        </w:tc>
      </w:tr>
      <w:tr w14:paraId="33A1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2007C359">
            <w:pPr>
              <w:spacing w:before="169" w:line="221" w:lineRule="auto"/>
              <w:ind w:left="103"/>
              <w:jc w:val="both"/>
              <w:rPr>
                <w:rFonts w:hint="eastAsia" w:ascii="宋体" w:hAnsi="宋体" w:eastAsia="宋体" w:cs="宋体"/>
              </w:rPr>
            </w:pPr>
            <w:r>
              <w:rPr>
                <w:rFonts w:ascii="宋体" w:hAnsi="宋体" w:eastAsia="宋体" w:cs="宋体"/>
              </w:rPr>
              <w:t>A2</w:t>
            </w:r>
            <w:r>
              <w:rPr>
                <w:rFonts w:hint="eastAsia" w:ascii="宋体" w:hAnsi="宋体" w:eastAsia="宋体" w:cs="宋体"/>
              </w:rPr>
              <w:t>地方政府专项债券项目绩效目标设定的合理性与指标明确性</w:t>
            </w:r>
          </w:p>
        </w:tc>
        <w:tc>
          <w:tcPr>
            <w:tcW w:w="686" w:type="pct"/>
            <w:vAlign w:val="center"/>
          </w:tcPr>
          <w:p w14:paraId="0C6CFCAA">
            <w:pPr>
              <w:spacing w:before="208" w:line="190" w:lineRule="auto"/>
              <w:jc w:val="center"/>
              <w:rPr>
                <w:rFonts w:hint="eastAsia" w:ascii="宋体" w:hAnsi="宋体" w:eastAsia="宋体" w:cs="宋体"/>
              </w:rPr>
            </w:pPr>
            <w:r>
              <w:rPr>
                <w:rFonts w:hint="eastAsia" w:ascii="宋体" w:hAnsi="宋体" w:eastAsia="宋体" w:cs="宋体"/>
              </w:rPr>
              <w:t>5</w:t>
            </w:r>
          </w:p>
        </w:tc>
        <w:tc>
          <w:tcPr>
            <w:tcW w:w="610" w:type="pct"/>
            <w:vAlign w:val="center"/>
          </w:tcPr>
          <w:p w14:paraId="74E839C7">
            <w:pPr>
              <w:spacing w:before="208" w:line="190" w:lineRule="auto"/>
              <w:jc w:val="center"/>
              <w:rPr>
                <w:rFonts w:hint="eastAsia" w:ascii="宋体" w:hAnsi="宋体" w:eastAsia="宋体" w:cs="宋体"/>
                <w:lang w:eastAsia="zh-CN"/>
              </w:rPr>
            </w:pPr>
            <w:r>
              <w:rPr>
                <w:rFonts w:hint="eastAsia" w:ascii="宋体" w:hAnsi="宋体" w:eastAsia="宋体" w:cs="宋体"/>
                <w:lang w:val="en-US" w:eastAsia="zh-CN"/>
              </w:rPr>
              <w:t>0</w:t>
            </w:r>
          </w:p>
        </w:tc>
        <w:tc>
          <w:tcPr>
            <w:tcW w:w="544" w:type="pct"/>
            <w:vAlign w:val="center"/>
          </w:tcPr>
          <w:p w14:paraId="230F3BF2">
            <w:pPr>
              <w:spacing w:before="210" w:line="190" w:lineRule="auto"/>
              <w:jc w:val="center"/>
              <w:rPr>
                <w:rFonts w:hint="eastAsia" w:ascii="宋体" w:hAnsi="宋体" w:eastAsia="宋体" w:cs="宋体"/>
              </w:rPr>
            </w:pPr>
            <w:r>
              <w:rPr>
                <w:rFonts w:hint="eastAsia" w:ascii="宋体" w:hAnsi="宋体" w:eastAsia="宋体" w:cs="宋体"/>
              </w:rPr>
              <w:t>－</w:t>
            </w:r>
          </w:p>
        </w:tc>
      </w:tr>
      <w:tr w14:paraId="07F3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4C717D42">
            <w:pPr>
              <w:spacing w:before="191" w:line="221"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2</w:t>
            </w:r>
            <w:r>
              <w:rPr>
                <w:rFonts w:ascii="宋体" w:hAnsi="宋体" w:eastAsia="宋体" w:cs="宋体"/>
              </w:rPr>
              <w:t>0</w:t>
            </w:r>
            <w:r>
              <w:rPr>
                <w:rFonts w:hint="eastAsia" w:ascii="宋体" w:hAnsi="宋体" w:eastAsia="宋体" w:cs="宋体"/>
              </w:rPr>
              <w:t>1</w:t>
            </w:r>
            <w:r>
              <w:rPr>
                <w:rFonts w:ascii="宋体" w:hAnsi="宋体" w:eastAsia="宋体" w:cs="宋体"/>
              </w:rPr>
              <w:t>绩效目标</w:t>
            </w:r>
            <w:r>
              <w:rPr>
                <w:rFonts w:hint="eastAsia" w:ascii="宋体" w:hAnsi="宋体" w:eastAsia="宋体" w:cs="宋体"/>
              </w:rPr>
              <w:t>设定</w:t>
            </w:r>
            <w:r>
              <w:rPr>
                <w:rFonts w:ascii="宋体" w:hAnsi="宋体" w:eastAsia="宋体" w:cs="宋体"/>
              </w:rPr>
              <w:t>合理性</w:t>
            </w:r>
          </w:p>
        </w:tc>
        <w:tc>
          <w:tcPr>
            <w:tcW w:w="686" w:type="pct"/>
            <w:vAlign w:val="center"/>
          </w:tcPr>
          <w:p w14:paraId="729D233D">
            <w:pPr>
              <w:spacing w:before="230" w:line="190" w:lineRule="auto"/>
              <w:jc w:val="center"/>
              <w:rPr>
                <w:rFonts w:hint="eastAsia" w:ascii="宋体" w:hAnsi="宋体" w:eastAsia="宋体" w:cs="宋体"/>
              </w:rPr>
            </w:pPr>
            <w:r>
              <w:rPr>
                <w:rFonts w:hint="eastAsia" w:ascii="宋体" w:hAnsi="宋体" w:eastAsia="宋体" w:cs="宋体"/>
              </w:rPr>
              <w:t>2</w:t>
            </w:r>
          </w:p>
        </w:tc>
        <w:tc>
          <w:tcPr>
            <w:tcW w:w="610" w:type="pct"/>
            <w:vAlign w:val="center"/>
          </w:tcPr>
          <w:p w14:paraId="7B80EB30">
            <w:pPr>
              <w:spacing w:before="208" w:line="190" w:lineRule="auto"/>
              <w:jc w:val="center"/>
              <w:rPr>
                <w:rFonts w:hint="eastAsia" w:ascii="宋体" w:hAnsi="宋体" w:eastAsia="宋体" w:cs="宋体"/>
              </w:rPr>
            </w:pPr>
            <w:r>
              <w:rPr>
                <w:rFonts w:hint="eastAsia" w:ascii="宋体" w:hAnsi="宋体" w:eastAsia="宋体" w:cs="宋体"/>
              </w:rPr>
              <w:t>0</w:t>
            </w:r>
          </w:p>
        </w:tc>
        <w:tc>
          <w:tcPr>
            <w:tcW w:w="544" w:type="pct"/>
            <w:vAlign w:val="center"/>
          </w:tcPr>
          <w:p w14:paraId="05452598">
            <w:pPr>
              <w:spacing w:before="210" w:line="190" w:lineRule="auto"/>
              <w:jc w:val="center"/>
              <w:rPr>
                <w:rFonts w:hint="eastAsia" w:ascii="宋体" w:hAnsi="宋体" w:eastAsia="宋体" w:cs="宋体"/>
              </w:rPr>
            </w:pPr>
            <w:r>
              <w:rPr>
                <w:rFonts w:hint="eastAsia" w:ascii="宋体" w:hAnsi="宋体" w:eastAsia="宋体" w:cs="宋体"/>
              </w:rPr>
              <w:t>－</w:t>
            </w:r>
          </w:p>
        </w:tc>
      </w:tr>
      <w:tr w14:paraId="449B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0B832B94">
            <w:pPr>
              <w:spacing w:before="171" w:line="220"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2</w:t>
            </w:r>
            <w:r>
              <w:rPr>
                <w:rFonts w:ascii="宋体" w:hAnsi="宋体" w:eastAsia="宋体" w:cs="宋体"/>
              </w:rPr>
              <w:t>02绩效指标明确性</w:t>
            </w:r>
          </w:p>
        </w:tc>
        <w:tc>
          <w:tcPr>
            <w:tcW w:w="686" w:type="pct"/>
            <w:vAlign w:val="center"/>
          </w:tcPr>
          <w:p w14:paraId="5F755031">
            <w:pPr>
              <w:spacing w:before="210" w:line="190" w:lineRule="auto"/>
              <w:jc w:val="center"/>
              <w:rPr>
                <w:rFonts w:hint="eastAsia" w:ascii="宋体" w:hAnsi="宋体" w:eastAsia="宋体" w:cs="宋体"/>
              </w:rPr>
            </w:pPr>
            <w:r>
              <w:rPr>
                <w:rFonts w:hint="eastAsia" w:ascii="宋体" w:hAnsi="宋体" w:eastAsia="宋体" w:cs="宋体"/>
              </w:rPr>
              <w:t>3</w:t>
            </w:r>
          </w:p>
        </w:tc>
        <w:tc>
          <w:tcPr>
            <w:tcW w:w="610" w:type="pct"/>
            <w:vAlign w:val="center"/>
          </w:tcPr>
          <w:p w14:paraId="479D1A4F">
            <w:pPr>
              <w:spacing w:before="208" w:line="190" w:lineRule="auto"/>
              <w:jc w:val="center"/>
              <w:rPr>
                <w:rFonts w:hint="eastAsia" w:ascii="宋体" w:hAnsi="宋体" w:eastAsia="宋体" w:cs="宋体"/>
              </w:rPr>
            </w:pPr>
            <w:r>
              <w:rPr>
                <w:rFonts w:hint="eastAsia" w:ascii="宋体" w:hAnsi="宋体" w:eastAsia="宋体" w:cs="宋体"/>
              </w:rPr>
              <w:t>0</w:t>
            </w:r>
          </w:p>
        </w:tc>
        <w:tc>
          <w:tcPr>
            <w:tcW w:w="544" w:type="pct"/>
            <w:vAlign w:val="center"/>
          </w:tcPr>
          <w:p w14:paraId="2CF476A4">
            <w:pPr>
              <w:spacing w:before="210" w:line="190" w:lineRule="auto"/>
              <w:jc w:val="center"/>
              <w:rPr>
                <w:rFonts w:hint="eastAsia" w:ascii="宋体" w:hAnsi="宋体" w:eastAsia="宋体" w:cs="宋体"/>
              </w:rPr>
            </w:pPr>
            <w:r>
              <w:rPr>
                <w:rFonts w:hint="eastAsia" w:ascii="宋体" w:hAnsi="宋体" w:eastAsia="宋体" w:cs="宋体"/>
              </w:rPr>
              <w:t>－</w:t>
            </w:r>
          </w:p>
        </w:tc>
      </w:tr>
    </w:tbl>
    <w:p w14:paraId="4A65E301">
      <w:pPr>
        <w:pStyle w:val="32"/>
        <w:spacing w:before="240" w:beforeLines="100" w:line="360" w:lineRule="auto"/>
        <w:ind w:firstLine="520"/>
        <w:jc w:val="both"/>
        <w:rPr>
          <w:color w:val="auto"/>
        </w:rPr>
      </w:pPr>
      <w:r>
        <w:rPr>
          <w:rStyle w:val="33"/>
          <w:color w:val="auto"/>
        </w:rPr>
        <w:t>中韩（长春）国际合作示范区智能装备孵化基地项目未</w:t>
      </w:r>
      <w:r>
        <w:rPr>
          <w:color w:val="auto"/>
        </w:rPr>
        <w:t>设置2024年绩效目标。</w:t>
      </w:r>
      <w:r>
        <w:rPr>
          <w:rStyle w:val="33"/>
          <w:color w:val="auto"/>
        </w:rPr>
        <w:t>根据评分标准，此指标满分5分，得0分</w:t>
      </w:r>
      <w:r>
        <w:rPr>
          <w:color w:val="auto"/>
        </w:rPr>
        <w:t>。</w:t>
      </w:r>
    </w:p>
    <w:p w14:paraId="12C94295">
      <w:pPr>
        <w:pStyle w:val="32"/>
        <w:numPr>
          <w:ilvl w:val="0"/>
          <w:numId w:val="11"/>
        </w:numPr>
        <w:spacing w:line="360" w:lineRule="auto"/>
        <w:ind w:left="0" w:firstLine="522"/>
        <w:jc w:val="both"/>
        <w:rPr>
          <w:b/>
          <w:bCs/>
        </w:rPr>
      </w:pPr>
      <w:r>
        <w:rPr>
          <w:b/>
          <w:bCs/>
        </w:rPr>
        <w:t>A3 地方政府专项债券资金平衡方</w:t>
      </w:r>
      <w:r>
        <w:rPr>
          <w:rFonts w:hint="eastAsia"/>
          <w:b/>
          <w:bCs/>
          <w:lang w:eastAsia="zh-CN"/>
        </w:rPr>
        <w:t>案的</w:t>
      </w:r>
      <w:r>
        <w:rPr>
          <w:b/>
          <w:bCs/>
        </w:rPr>
        <w:t>科学性和资金分配的合理性</w:t>
      </w:r>
    </w:p>
    <w:p w14:paraId="7F99B3D7">
      <w:pPr>
        <w:pStyle w:val="32"/>
        <w:spacing w:line="360" w:lineRule="auto"/>
        <w:ind w:firstLine="520"/>
        <w:jc w:val="both"/>
      </w:pPr>
      <w:r>
        <w:t>“地方政府专项债券资金平衡方案科学性和资金分配的合理性”指标考核地方政府专项债券资金平衡方案的科学性和资金分</w:t>
      </w:r>
      <w:r>
        <w:rPr>
          <w:rFonts w:hint="eastAsia"/>
          <w:lang w:eastAsia="zh-CN"/>
        </w:rPr>
        <w:t>配的</w:t>
      </w:r>
      <w:r>
        <w:t>合理性两个方面，指标的业绩值和绩效分值如下表所示：</w:t>
      </w:r>
    </w:p>
    <w:p w14:paraId="33E793F4">
      <w:pPr>
        <w:pStyle w:val="32"/>
        <w:spacing w:line="360" w:lineRule="auto"/>
        <w:ind w:firstLine="0" w:firstLineChars="0"/>
        <w:jc w:val="both"/>
      </w:pPr>
      <w:r>
        <w:t>“地方政府专项债券资金平衡方案科学性和资金分配的合理性”指标业绩值及得分</w:t>
      </w:r>
    </w:p>
    <w:p w14:paraId="4970F1BD">
      <w:pPr>
        <w:spacing w:line="41" w:lineRule="exact"/>
        <w:jc w:val="both"/>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6"/>
        <w:gridCol w:w="1288"/>
        <w:gridCol w:w="1002"/>
        <w:gridCol w:w="771"/>
      </w:tblGrid>
      <w:tr w14:paraId="5714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332" w:type="pct"/>
            <w:vAlign w:val="center"/>
          </w:tcPr>
          <w:p w14:paraId="4A7DF02C">
            <w:pPr>
              <w:spacing w:before="196"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702" w:type="pct"/>
            <w:vAlign w:val="center"/>
          </w:tcPr>
          <w:p w14:paraId="3998D595">
            <w:pPr>
              <w:spacing w:before="195" w:line="228" w:lineRule="auto"/>
              <w:jc w:val="center"/>
              <w:rPr>
                <w:rFonts w:hint="eastAsia" w:ascii="宋体" w:hAnsi="宋体" w:eastAsia="宋体" w:cs="宋体"/>
                <w:b/>
                <w:bCs/>
              </w:rPr>
            </w:pPr>
            <w:r>
              <w:rPr>
                <w:rFonts w:hint="eastAsia" w:ascii="宋体" w:hAnsi="宋体" w:eastAsia="宋体" w:cs="宋体"/>
                <w:b/>
                <w:bCs/>
                <w:spacing w:val="5"/>
              </w:rPr>
              <w:t>指</w:t>
            </w:r>
            <w:r>
              <w:rPr>
                <w:rFonts w:ascii="宋体" w:hAnsi="宋体" w:eastAsia="宋体" w:cs="宋体"/>
                <w:b/>
                <w:bCs/>
                <w:spacing w:val="5"/>
              </w:rPr>
              <w:t>标分值</w:t>
            </w:r>
          </w:p>
        </w:tc>
        <w:tc>
          <w:tcPr>
            <w:tcW w:w="546" w:type="pct"/>
            <w:vAlign w:val="center"/>
          </w:tcPr>
          <w:p w14:paraId="108F8224">
            <w:pPr>
              <w:spacing w:before="195"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420" w:type="pct"/>
            <w:vAlign w:val="center"/>
          </w:tcPr>
          <w:p w14:paraId="636593F0">
            <w:pPr>
              <w:spacing w:before="195"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3E0A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32" w:type="pct"/>
          </w:tcPr>
          <w:p w14:paraId="7C8636FD">
            <w:pPr>
              <w:spacing w:before="175"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9"/>
              </w:rPr>
              <w:t>3</w:t>
            </w:r>
            <w:r>
              <w:rPr>
                <w:rFonts w:hint="eastAsia" w:ascii="宋体" w:hAnsi="宋体" w:eastAsia="宋体" w:cs="宋体"/>
                <w:spacing w:val="9"/>
              </w:rPr>
              <w:t>地方政府专项债券资金平衡方</w:t>
            </w:r>
            <w:r>
              <w:rPr>
                <w:rFonts w:hint="eastAsia" w:ascii="宋体" w:hAnsi="宋体" w:eastAsia="宋体" w:cs="宋体"/>
                <w:spacing w:val="9"/>
                <w:lang w:eastAsia="zh-CN"/>
              </w:rPr>
              <w:t>案的</w:t>
            </w:r>
            <w:r>
              <w:rPr>
                <w:rFonts w:hint="eastAsia" w:ascii="宋体" w:hAnsi="宋体" w:eastAsia="宋体" w:cs="宋体"/>
                <w:spacing w:val="9"/>
              </w:rPr>
              <w:t>科学性和资金分配的合理性</w:t>
            </w:r>
          </w:p>
        </w:tc>
        <w:tc>
          <w:tcPr>
            <w:tcW w:w="702" w:type="pct"/>
            <w:vAlign w:val="center"/>
          </w:tcPr>
          <w:p w14:paraId="083E388E">
            <w:pPr>
              <w:spacing w:before="208" w:line="190" w:lineRule="auto"/>
              <w:jc w:val="center"/>
              <w:rPr>
                <w:rFonts w:hint="eastAsia" w:ascii="宋体" w:hAnsi="宋体" w:eastAsia="宋体" w:cs="宋体"/>
              </w:rPr>
            </w:pPr>
            <w:r>
              <w:rPr>
                <w:rFonts w:hint="eastAsia" w:ascii="宋体" w:hAnsi="宋体" w:eastAsia="宋体" w:cs="宋体"/>
              </w:rPr>
              <w:t>6</w:t>
            </w:r>
          </w:p>
        </w:tc>
        <w:tc>
          <w:tcPr>
            <w:tcW w:w="546" w:type="pct"/>
            <w:vAlign w:val="center"/>
          </w:tcPr>
          <w:p w14:paraId="2F9CAC16">
            <w:pPr>
              <w:spacing w:before="208" w:line="190" w:lineRule="auto"/>
              <w:jc w:val="center"/>
              <w:rPr>
                <w:rFonts w:hint="eastAsia" w:ascii="宋体" w:hAnsi="宋体" w:eastAsia="宋体" w:cs="宋体"/>
              </w:rPr>
            </w:pPr>
            <w:r>
              <w:rPr>
                <w:rFonts w:hint="eastAsia" w:ascii="宋体" w:hAnsi="宋体" w:eastAsia="宋体" w:cs="宋体"/>
              </w:rPr>
              <w:t>4</w:t>
            </w:r>
          </w:p>
        </w:tc>
        <w:tc>
          <w:tcPr>
            <w:tcW w:w="420" w:type="pct"/>
            <w:vAlign w:val="center"/>
          </w:tcPr>
          <w:p w14:paraId="79137EE3">
            <w:pPr>
              <w:spacing w:before="208" w:line="190" w:lineRule="auto"/>
              <w:jc w:val="center"/>
              <w:rPr>
                <w:rFonts w:hint="eastAsia" w:ascii="宋体" w:hAnsi="宋体" w:eastAsia="宋体" w:cs="宋体"/>
              </w:rPr>
            </w:pPr>
            <w:r>
              <w:rPr>
                <w:rFonts w:hint="eastAsia" w:ascii="宋体" w:hAnsi="宋体" w:eastAsia="宋体" w:cs="宋体"/>
              </w:rPr>
              <w:t>66.67%</w:t>
            </w:r>
          </w:p>
        </w:tc>
      </w:tr>
      <w:tr w14:paraId="086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32" w:type="pct"/>
          </w:tcPr>
          <w:p w14:paraId="1F94A810">
            <w:pPr>
              <w:spacing w:before="177" w:line="227"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16"/>
              </w:rPr>
              <w:t>3</w:t>
            </w:r>
            <w:r>
              <w:rPr>
                <w:rFonts w:ascii="宋体" w:hAnsi="宋体" w:eastAsia="宋体" w:cs="宋体"/>
                <w:spacing w:val="9"/>
              </w:rPr>
              <w:t>0</w:t>
            </w:r>
            <w:r>
              <w:rPr>
                <w:rFonts w:ascii="宋体" w:hAnsi="宋体" w:eastAsia="宋体" w:cs="宋体"/>
                <w:spacing w:val="8"/>
              </w:rPr>
              <w:t>1资金平衡方案的科学性</w:t>
            </w:r>
          </w:p>
        </w:tc>
        <w:tc>
          <w:tcPr>
            <w:tcW w:w="702" w:type="pct"/>
            <w:vAlign w:val="center"/>
          </w:tcPr>
          <w:p w14:paraId="3BDF3068">
            <w:pPr>
              <w:spacing w:before="208" w:line="190" w:lineRule="auto"/>
              <w:jc w:val="center"/>
              <w:rPr>
                <w:rFonts w:hint="eastAsia" w:ascii="宋体" w:hAnsi="宋体" w:eastAsia="宋体" w:cs="宋体"/>
              </w:rPr>
            </w:pPr>
            <w:r>
              <w:rPr>
                <w:rFonts w:hint="eastAsia" w:ascii="宋体" w:hAnsi="宋体" w:eastAsia="宋体" w:cs="宋体"/>
              </w:rPr>
              <w:t>4</w:t>
            </w:r>
          </w:p>
        </w:tc>
        <w:tc>
          <w:tcPr>
            <w:tcW w:w="546" w:type="pct"/>
            <w:vAlign w:val="center"/>
          </w:tcPr>
          <w:p w14:paraId="5EC44857">
            <w:pPr>
              <w:spacing w:before="208" w:line="190" w:lineRule="auto"/>
              <w:jc w:val="center"/>
              <w:rPr>
                <w:rFonts w:hint="eastAsia" w:ascii="宋体" w:hAnsi="宋体" w:eastAsia="宋体" w:cs="宋体"/>
              </w:rPr>
            </w:pPr>
            <w:r>
              <w:rPr>
                <w:rFonts w:hint="eastAsia" w:ascii="宋体" w:hAnsi="宋体" w:eastAsia="宋体" w:cs="宋体"/>
              </w:rPr>
              <w:t>3</w:t>
            </w:r>
          </w:p>
        </w:tc>
        <w:tc>
          <w:tcPr>
            <w:tcW w:w="420" w:type="pct"/>
            <w:vAlign w:val="center"/>
          </w:tcPr>
          <w:p w14:paraId="2742997E">
            <w:pPr>
              <w:spacing w:before="208" w:line="190" w:lineRule="auto"/>
              <w:jc w:val="center"/>
              <w:rPr>
                <w:rFonts w:hint="eastAsia" w:ascii="宋体" w:hAnsi="宋体" w:eastAsia="宋体" w:cs="宋体"/>
              </w:rPr>
            </w:pPr>
            <w:r>
              <w:rPr>
                <w:rFonts w:hint="eastAsia" w:ascii="宋体" w:hAnsi="宋体" w:eastAsia="宋体" w:cs="宋体"/>
              </w:rPr>
              <w:t>75</w:t>
            </w:r>
            <w:r>
              <w:rPr>
                <w:rFonts w:hint="eastAsia" w:ascii="宋体" w:hAnsi="宋体" w:eastAsia="宋体" w:cs="宋体"/>
                <w:lang w:val="en-US" w:eastAsia="zh-CN"/>
              </w:rPr>
              <w:t>.00</w:t>
            </w:r>
            <w:r>
              <w:rPr>
                <w:rFonts w:hint="eastAsia" w:ascii="宋体" w:hAnsi="宋体" w:eastAsia="宋体" w:cs="宋体"/>
              </w:rPr>
              <w:t>%</w:t>
            </w:r>
          </w:p>
        </w:tc>
      </w:tr>
      <w:tr w14:paraId="0C5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3332" w:type="pct"/>
          </w:tcPr>
          <w:p w14:paraId="5BAB62AC">
            <w:pPr>
              <w:spacing w:before="178"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12"/>
              </w:rPr>
              <w:t>3</w:t>
            </w:r>
            <w:r>
              <w:rPr>
                <w:rFonts w:ascii="宋体" w:hAnsi="宋体" w:eastAsia="宋体" w:cs="宋体"/>
                <w:spacing w:val="8"/>
              </w:rPr>
              <w:t>02资金分配合理性</w:t>
            </w:r>
          </w:p>
        </w:tc>
        <w:tc>
          <w:tcPr>
            <w:tcW w:w="702" w:type="pct"/>
            <w:vAlign w:val="center"/>
          </w:tcPr>
          <w:p w14:paraId="3262F61E">
            <w:pPr>
              <w:spacing w:before="208" w:line="190" w:lineRule="auto"/>
              <w:jc w:val="center"/>
              <w:rPr>
                <w:rFonts w:hint="eastAsia" w:ascii="宋体" w:hAnsi="宋体" w:eastAsia="宋体" w:cs="宋体"/>
              </w:rPr>
            </w:pPr>
            <w:r>
              <w:rPr>
                <w:rFonts w:hint="eastAsia" w:ascii="宋体" w:hAnsi="宋体" w:eastAsia="宋体" w:cs="宋体"/>
              </w:rPr>
              <w:t>2</w:t>
            </w:r>
          </w:p>
        </w:tc>
        <w:tc>
          <w:tcPr>
            <w:tcW w:w="546" w:type="pct"/>
            <w:vAlign w:val="center"/>
          </w:tcPr>
          <w:p w14:paraId="513261CA">
            <w:pPr>
              <w:spacing w:before="208" w:line="190" w:lineRule="auto"/>
              <w:jc w:val="center"/>
              <w:rPr>
                <w:rFonts w:hint="eastAsia" w:ascii="宋体" w:hAnsi="宋体" w:eastAsia="宋体" w:cs="宋体"/>
              </w:rPr>
            </w:pPr>
            <w:r>
              <w:rPr>
                <w:rFonts w:hint="eastAsia" w:ascii="宋体" w:hAnsi="宋体" w:eastAsia="宋体" w:cs="宋体"/>
              </w:rPr>
              <w:t>1</w:t>
            </w:r>
          </w:p>
        </w:tc>
        <w:tc>
          <w:tcPr>
            <w:tcW w:w="420" w:type="pct"/>
            <w:vAlign w:val="center"/>
          </w:tcPr>
          <w:p w14:paraId="17810EB7">
            <w:pPr>
              <w:spacing w:before="208" w:line="190" w:lineRule="auto"/>
              <w:jc w:val="center"/>
              <w:rPr>
                <w:rFonts w:hint="eastAsia" w:ascii="宋体" w:hAnsi="宋体" w:eastAsia="宋体" w:cs="宋体"/>
              </w:rPr>
            </w:pPr>
            <w:r>
              <w:rPr>
                <w:rFonts w:hint="eastAsia" w:ascii="宋体" w:hAnsi="宋体" w:eastAsia="宋体" w:cs="宋体"/>
              </w:rPr>
              <w:t>50</w:t>
            </w:r>
            <w:r>
              <w:rPr>
                <w:rFonts w:hint="eastAsia" w:ascii="宋体" w:hAnsi="宋体" w:eastAsia="宋体" w:cs="宋体"/>
                <w:lang w:val="en-US" w:eastAsia="zh-CN"/>
              </w:rPr>
              <w:t>.00</w:t>
            </w:r>
            <w:r>
              <w:rPr>
                <w:rFonts w:hint="eastAsia" w:ascii="宋体" w:hAnsi="宋体" w:eastAsia="宋体" w:cs="宋体"/>
              </w:rPr>
              <w:t>%</w:t>
            </w:r>
          </w:p>
        </w:tc>
      </w:tr>
    </w:tbl>
    <w:p w14:paraId="44FF179B">
      <w:pPr>
        <w:pStyle w:val="32"/>
        <w:spacing w:before="240" w:beforeLines="100" w:line="360" w:lineRule="auto"/>
        <w:ind w:firstLine="520"/>
        <w:jc w:val="both"/>
      </w:pPr>
      <w:r>
        <w:t>（1）A301 资金平衡方案的科学性</w:t>
      </w:r>
    </w:p>
    <w:p w14:paraId="149BB6A7">
      <w:pPr>
        <w:pStyle w:val="32"/>
        <w:spacing w:line="360" w:lineRule="auto"/>
        <w:ind w:firstLine="520"/>
        <w:jc w:val="both"/>
        <w:rPr>
          <w:rStyle w:val="33"/>
        </w:rPr>
      </w:pPr>
      <w:r>
        <w:rPr>
          <w:rStyle w:val="33"/>
        </w:rPr>
        <w:t>中韩（长春）国际合作示范区智能装备孵化基地项目</w:t>
      </w:r>
      <w:r>
        <w:t>的平衡方案是经过科学论证，有明确的标准。但申请的专项债券项目资金额度与制定的年度绩效目标不匹配，绩效目标中的二期项目未如期进行建设，根据评分标准，此指标满分4分，得3分。</w:t>
      </w:r>
    </w:p>
    <w:p w14:paraId="3EC9D748">
      <w:pPr>
        <w:pStyle w:val="32"/>
        <w:spacing w:line="360" w:lineRule="auto"/>
        <w:ind w:firstLine="520"/>
        <w:jc w:val="both"/>
        <w:rPr>
          <w:rStyle w:val="33"/>
        </w:rPr>
      </w:pPr>
      <w:r>
        <w:rPr>
          <w:rStyle w:val="33"/>
        </w:rPr>
        <w:t>（2）A302 资金分配合理性</w:t>
      </w:r>
    </w:p>
    <w:p w14:paraId="746D117E">
      <w:pPr>
        <w:pStyle w:val="32"/>
        <w:spacing w:line="360" w:lineRule="auto"/>
        <w:ind w:firstLine="520"/>
        <w:jc w:val="both"/>
        <w:rPr>
          <w:rStyle w:val="33"/>
        </w:rPr>
      </w:pPr>
      <w:r>
        <w:rPr>
          <w:rStyle w:val="33"/>
        </w:rPr>
        <w:t>中韩（长春）国际合作示范区智能装备孵化基地项目专项债券资金分配使用依据充分，但专项债券资金额度与专项</w:t>
      </w:r>
      <w:r>
        <w:rPr>
          <w:rStyle w:val="33"/>
          <w:lang w:eastAsia="zh-CN"/>
        </w:rPr>
        <w:t>债券</w:t>
      </w:r>
      <w:r>
        <w:rPr>
          <w:rStyle w:val="33"/>
        </w:rPr>
        <w:t>项目任务不匹配，造成资金闲置，根据评分标准，此指标满分2分，得1分。</w:t>
      </w:r>
    </w:p>
    <w:p w14:paraId="2978E122">
      <w:pPr>
        <w:pStyle w:val="32"/>
        <w:spacing w:line="360" w:lineRule="auto"/>
        <w:ind w:firstLine="522"/>
        <w:jc w:val="both"/>
        <w:rPr>
          <w:b/>
          <w:bCs/>
        </w:rPr>
      </w:pPr>
      <w:r>
        <w:rPr>
          <w:b/>
          <w:bCs/>
        </w:rPr>
        <w:t>B.过程管理</w:t>
      </w:r>
    </w:p>
    <w:p w14:paraId="2DBB8C13">
      <w:pPr>
        <w:pStyle w:val="32"/>
        <w:ind w:firstLine="520"/>
        <w:jc w:val="both"/>
      </w:pPr>
      <w:r>
        <w:t>“过程管理”类指标从地方政府专项债券资金管理情况、组织实施、资产管理及项目管理四个方面进行考核。指标的业绩值和绩效分值如下表所示：</w:t>
      </w:r>
    </w:p>
    <w:p w14:paraId="0429F2F4">
      <w:pPr>
        <w:pStyle w:val="32"/>
        <w:spacing w:before="120" w:beforeLines="50" w:after="120" w:afterLines="50" w:line="480" w:lineRule="exact"/>
        <w:ind w:firstLine="0" w:firstLineChars="0"/>
        <w:jc w:val="center"/>
      </w:pPr>
      <w:r>
        <w:t>“过程管理”指标业绩值及得分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24"/>
        <w:gridCol w:w="1646"/>
        <w:gridCol w:w="1881"/>
        <w:gridCol w:w="1726"/>
      </w:tblGrid>
      <w:tr w14:paraId="6FCB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138" w:type="pct"/>
            <w:vAlign w:val="center"/>
          </w:tcPr>
          <w:p w14:paraId="6F716E79">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97" w:type="pct"/>
            <w:vAlign w:val="center"/>
          </w:tcPr>
          <w:p w14:paraId="7A71C51A">
            <w:pPr>
              <w:spacing w:before="183" w:line="228" w:lineRule="auto"/>
              <w:jc w:val="center"/>
              <w:rPr>
                <w:rFonts w:hint="eastAsia" w:ascii="宋体" w:hAnsi="宋体" w:eastAsia="宋体" w:cs="宋体"/>
                <w:b/>
                <w:bCs/>
              </w:rPr>
            </w:pPr>
            <w:r>
              <w:rPr>
                <w:rFonts w:hint="eastAsia" w:ascii="宋体" w:hAnsi="宋体" w:eastAsia="宋体" w:cs="宋体"/>
                <w:b/>
                <w:bCs/>
                <w:spacing w:val="-8"/>
              </w:rPr>
              <w:t>指</w:t>
            </w:r>
            <w:r>
              <w:rPr>
                <w:rFonts w:ascii="宋体" w:hAnsi="宋体" w:eastAsia="宋体" w:cs="宋体"/>
                <w:b/>
                <w:bCs/>
                <w:spacing w:val="-8"/>
              </w:rPr>
              <w:t>标分值</w:t>
            </w:r>
          </w:p>
        </w:tc>
        <w:tc>
          <w:tcPr>
            <w:tcW w:w="1025" w:type="pct"/>
            <w:vAlign w:val="center"/>
          </w:tcPr>
          <w:p w14:paraId="4020DEA2">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w:t>
            </w:r>
          </w:p>
        </w:tc>
        <w:tc>
          <w:tcPr>
            <w:tcW w:w="940" w:type="pct"/>
            <w:vAlign w:val="center"/>
          </w:tcPr>
          <w:p w14:paraId="3B4ACE51">
            <w:pPr>
              <w:spacing w:before="183" w:line="228" w:lineRule="auto"/>
              <w:jc w:val="center"/>
              <w:rPr>
                <w:rFonts w:hint="eastAsia" w:ascii="宋体" w:hAnsi="宋体" w:eastAsia="宋体" w:cs="宋体"/>
                <w:b/>
                <w:bCs/>
              </w:rPr>
            </w:pPr>
            <w:r>
              <w:rPr>
                <w:rFonts w:hint="eastAsia" w:ascii="宋体" w:hAnsi="宋体" w:eastAsia="宋体" w:cs="宋体"/>
                <w:b/>
                <w:bCs/>
                <w:spacing w:val="6"/>
              </w:rPr>
              <w:t>得</w:t>
            </w:r>
            <w:r>
              <w:rPr>
                <w:rFonts w:ascii="宋体" w:hAnsi="宋体" w:eastAsia="宋体" w:cs="宋体"/>
                <w:b/>
                <w:bCs/>
                <w:spacing w:val="6"/>
              </w:rPr>
              <w:t>分率</w:t>
            </w:r>
          </w:p>
        </w:tc>
      </w:tr>
      <w:tr w14:paraId="5BAD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8" w:type="pct"/>
          </w:tcPr>
          <w:p w14:paraId="0D0BDD4C">
            <w:pPr>
              <w:spacing w:before="176"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9"/>
              </w:rPr>
              <w:t xml:space="preserve"> </w:t>
            </w:r>
            <w:r>
              <w:rPr>
                <w:rFonts w:ascii="宋体" w:hAnsi="宋体" w:eastAsia="宋体" w:cs="宋体"/>
                <w:spacing w:val="8"/>
              </w:rPr>
              <w:t>过程</w:t>
            </w:r>
            <w:r>
              <w:rPr>
                <w:rFonts w:hint="eastAsia" w:ascii="宋体" w:hAnsi="宋体" w:eastAsia="宋体" w:cs="宋体"/>
                <w:spacing w:val="8"/>
              </w:rPr>
              <w:t>管理</w:t>
            </w:r>
          </w:p>
        </w:tc>
        <w:tc>
          <w:tcPr>
            <w:tcW w:w="897" w:type="pct"/>
            <w:vAlign w:val="center"/>
          </w:tcPr>
          <w:p w14:paraId="60623135">
            <w:pPr>
              <w:spacing w:before="208" w:line="190" w:lineRule="auto"/>
              <w:jc w:val="center"/>
              <w:rPr>
                <w:rFonts w:hint="eastAsia" w:ascii="宋体" w:hAnsi="宋体" w:eastAsia="宋体" w:cs="宋体"/>
              </w:rPr>
            </w:pPr>
            <w:r>
              <w:rPr>
                <w:rFonts w:hint="eastAsia" w:ascii="宋体" w:hAnsi="宋体" w:eastAsia="宋体" w:cs="宋体"/>
              </w:rPr>
              <w:t>25</w:t>
            </w:r>
          </w:p>
        </w:tc>
        <w:tc>
          <w:tcPr>
            <w:tcW w:w="1025" w:type="pct"/>
            <w:vAlign w:val="center"/>
          </w:tcPr>
          <w:p w14:paraId="185D3FCD">
            <w:pPr>
              <w:spacing w:before="208" w:line="190" w:lineRule="auto"/>
              <w:jc w:val="center"/>
              <w:rPr>
                <w:rFonts w:hint="eastAsia" w:ascii="宋体" w:hAnsi="宋体" w:eastAsia="宋体" w:cs="宋体"/>
              </w:rPr>
            </w:pPr>
            <w:r>
              <w:rPr>
                <w:rFonts w:hint="eastAsia" w:ascii="宋体" w:hAnsi="宋体" w:eastAsia="宋体" w:cs="宋体"/>
              </w:rPr>
              <w:t>18.37</w:t>
            </w:r>
          </w:p>
        </w:tc>
        <w:tc>
          <w:tcPr>
            <w:tcW w:w="940" w:type="pct"/>
            <w:vAlign w:val="center"/>
          </w:tcPr>
          <w:p w14:paraId="47EAD883">
            <w:pPr>
              <w:spacing w:before="208" w:line="190" w:lineRule="auto"/>
              <w:jc w:val="center"/>
              <w:rPr>
                <w:rFonts w:hint="eastAsia" w:ascii="宋体" w:hAnsi="宋体" w:eastAsia="宋体" w:cs="宋体"/>
              </w:rPr>
            </w:pPr>
            <w:r>
              <w:rPr>
                <w:rFonts w:hint="eastAsia" w:ascii="宋体" w:hAnsi="宋体" w:eastAsia="宋体" w:cs="宋体"/>
              </w:rPr>
              <w:t>73.48%</w:t>
            </w:r>
          </w:p>
        </w:tc>
      </w:tr>
      <w:tr w14:paraId="24B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8" w:type="pct"/>
          </w:tcPr>
          <w:p w14:paraId="0E53A2DE">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1</w:t>
            </w:r>
            <w:r>
              <w:rPr>
                <w:rFonts w:hint="eastAsia" w:ascii="宋体" w:hAnsi="宋体" w:eastAsia="宋体" w:cs="宋体"/>
                <w:spacing w:val="11"/>
              </w:rPr>
              <w:t xml:space="preserve"> </w:t>
            </w:r>
            <w:r>
              <w:rPr>
                <w:rFonts w:hint="eastAsia" w:ascii="宋体" w:hAnsi="宋体" w:eastAsia="宋体" w:cs="宋体"/>
                <w:spacing w:val="8"/>
              </w:rPr>
              <w:t>地方政府专项债券资金管理情况</w:t>
            </w:r>
          </w:p>
        </w:tc>
        <w:tc>
          <w:tcPr>
            <w:tcW w:w="897" w:type="pct"/>
            <w:vAlign w:val="center"/>
          </w:tcPr>
          <w:p w14:paraId="511892B3">
            <w:pPr>
              <w:spacing w:before="208" w:line="190" w:lineRule="auto"/>
              <w:jc w:val="center"/>
              <w:rPr>
                <w:rFonts w:hint="eastAsia" w:ascii="宋体" w:hAnsi="宋体" w:eastAsia="宋体" w:cs="宋体"/>
              </w:rPr>
            </w:pPr>
            <w:r>
              <w:rPr>
                <w:rFonts w:hint="eastAsia" w:ascii="宋体" w:hAnsi="宋体" w:eastAsia="宋体" w:cs="宋体"/>
              </w:rPr>
              <w:t>13</w:t>
            </w:r>
          </w:p>
        </w:tc>
        <w:tc>
          <w:tcPr>
            <w:tcW w:w="1025" w:type="pct"/>
            <w:vAlign w:val="center"/>
          </w:tcPr>
          <w:p w14:paraId="31EAD6B1">
            <w:pPr>
              <w:spacing w:before="208" w:line="190" w:lineRule="auto"/>
              <w:jc w:val="center"/>
              <w:rPr>
                <w:rFonts w:hint="eastAsia" w:ascii="宋体" w:hAnsi="宋体" w:eastAsia="宋体" w:cs="宋体"/>
              </w:rPr>
            </w:pPr>
            <w:r>
              <w:rPr>
                <w:rFonts w:hint="eastAsia" w:ascii="宋体" w:hAnsi="宋体" w:eastAsia="宋体" w:cs="宋体"/>
              </w:rPr>
              <w:t>8.37</w:t>
            </w:r>
          </w:p>
        </w:tc>
        <w:tc>
          <w:tcPr>
            <w:tcW w:w="940" w:type="pct"/>
            <w:vAlign w:val="center"/>
          </w:tcPr>
          <w:p w14:paraId="33C95300">
            <w:pPr>
              <w:spacing w:before="208" w:line="190" w:lineRule="auto"/>
              <w:jc w:val="center"/>
              <w:rPr>
                <w:rFonts w:hint="eastAsia" w:ascii="宋体" w:hAnsi="宋体" w:eastAsia="宋体" w:cs="宋体"/>
              </w:rPr>
            </w:pPr>
            <w:r>
              <w:rPr>
                <w:rFonts w:hint="eastAsia" w:ascii="宋体" w:hAnsi="宋体" w:eastAsia="宋体" w:cs="宋体"/>
              </w:rPr>
              <w:t>64.38%</w:t>
            </w:r>
          </w:p>
        </w:tc>
      </w:tr>
      <w:tr w14:paraId="3E4A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8" w:type="pct"/>
          </w:tcPr>
          <w:p w14:paraId="61E3FCD9">
            <w:pPr>
              <w:spacing w:before="176"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2</w:t>
            </w:r>
            <w:r>
              <w:rPr>
                <w:rFonts w:hint="eastAsia" w:ascii="宋体" w:hAnsi="宋体" w:eastAsia="宋体" w:cs="宋体"/>
                <w:spacing w:val="11"/>
              </w:rPr>
              <w:t xml:space="preserve"> </w:t>
            </w:r>
            <w:r>
              <w:rPr>
                <w:rFonts w:hint="eastAsia" w:ascii="宋体" w:hAnsi="宋体" w:eastAsia="宋体" w:cs="宋体"/>
                <w:spacing w:val="8"/>
              </w:rPr>
              <w:t>组织实施</w:t>
            </w:r>
          </w:p>
        </w:tc>
        <w:tc>
          <w:tcPr>
            <w:tcW w:w="897" w:type="pct"/>
            <w:vAlign w:val="center"/>
          </w:tcPr>
          <w:p w14:paraId="27A6972E">
            <w:pPr>
              <w:spacing w:before="208" w:line="190" w:lineRule="auto"/>
              <w:jc w:val="center"/>
              <w:rPr>
                <w:rFonts w:hint="eastAsia" w:ascii="宋体" w:hAnsi="宋体" w:eastAsia="宋体" w:cs="宋体"/>
              </w:rPr>
            </w:pPr>
            <w:r>
              <w:rPr>
                <w:rFonts w:hint="eastAsia" w:ascii="宋体" w:hAnsi="宋体" w:eastAsia="宋体" w:cs="宋体"/>
              </w:rPr>
              <w:t>4</w:t>
            </w:r>
          </w:p>
        </w:tc>
        <w:tc>
          <w:tcPr>
            <w:tcW w:w="1025" w:type="pct"/>
            <w:vAlign w:val="center"/>
          </w:tcPr>
          <w:p w14:paraId="2D277F2B">
            <w:pPr>
              <w:spacing w:before="208" w:line="190" w:lineRule="auto"/>
              <w:jc w:val="center"/>
              <w:rPr>
                <w:rFonts w:hint="eastAsia" w:ascii="宋体" w:hAnsi="宋体" w:eastAsia="宋体" w:cs="宋体"/>
              </w:rPr>
            </w:pPr>
            <w:r>
              <w:rPr>
                <w:rFonts w:hint="eastAsia" w:ascii="宋体" w:hAnsi="宋体" w:eastAsia="宋体" w:cs="宋体"/>
              </w:rPr>
              <w:t>4</w:t>
            </w:r>
          </w:p>
        </w:tc>
        <w:tc>
          <w:tcPr>
            <w:tcW w:w="940" w:type="pct"/>
            <w:vAlign w:val="center"/>
          </w:tcPr>
          <w:p w14:paraId="76755C6E">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56CD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8" w:type="pct"/>
          </w:tcPr>
          <w:p w14:paraId="2326ABE7">
            <w:pPr>
              <w:spacing w:before="179"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3</w:t>
            </w:r>
            <w:r>
              <w:rPr>
                <w:rFonts w:ascii="宋体" w:hAnsi="宋体" w:eastAsia="宋体" w:cs="宋体"/>
                <w:spacing w:val="8"/>
              </w:rPr>
              <w:t xml:space="preserve"> </w:t>
            </w:r>
            <w:r>
              <w:rPr>
                <w:rFonts w:hint="eastAsia" w:ascii="宋体" w:hAnsi="宋体" w:eastAsia="宋体" w:cs="宋体"/>
                <w:spacing w:val="8"/>
              </w:rPr>
              <w:t>资产管理</w:t>
            </w:r>
          </w:p>
        </w:tc>
        <w:tc>
          <w:tcPr>
            <w:tcW w:w="897" w:type="pct"/>
            <w:vAlign w:val="center"/>
          </w:tcPr>
          <w:p w14:paraId="1A46175A">
            <w:pPr>
              <w:spacing w:before="208" w:line="190" w:lineRule="auto"/>
              <w:jc w:val="center"/>
              <w:rPr>
                <w:rFonts w:hint="eastAsia" w:ascii="宋体" w:hAnsi="宋体" w:eastAsia="宋体" w:cs="宋体"/>
              </w:rPr>
            </w:pPr>
            <w:r>
              <w:rPr>
                <w:rFonts w:hint="eastAsia" w:ascii="宋体" w:hAnsi="宋体" w:eastAsia="宋体" w:cs="宋体"/>
              </w:rPr>
              <w:t>4</w:t>
            </w:r>
          </w:p>
        </w:tc>
        <w:tc>
          <w:tcPr>
            <w:tcW w:w="1025" w:type="pct"/>
            <w:vAlign w:val="center"/>
          </w:tcPr>
          <w:p w14:paraId="7B05D366">
            <w:pPr>
              <w:spacing w:before="208" w:line="190" w:lineRule="auto"/>
              <w:jc w:val="center"/>
              <w:rPr>
                <w:rFonts w:hint="eastAsia" w:ascii="宋体" w:hAnsi="宋体" w:eastAsia="宋体" w:cs="宋体"/>
              </w:rPr>
            </w:pPr>
            <w:r>
              <w:rPr>
                <w:rFonts w:hint="eastAsia" w:ascii="宋体" w:hAnsi="宋体" w:eastAsia="宋体" w:cs="宋体"/>
              </w:rPr>
              <w:t>4</w:t>
            </w:r>
          </w:p>
        </w:tc>
        <w:tc>
          <w:tcPr>
            <w:tcW w:w="940" w:type="pct"/>
            <w:vAlign w:val="center"/>
          </w:tcPr>
          <w:p w14:paraId="0EC07E70">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7677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8" w:type="pct"/>
          </w:tcPr>
          <w:p w14:paraId="70E5A022">
            <w:pPr>
              <w:spacing w:before="179"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w:t>
            </w:r>
            <w:r>
              <w:rPr>
                <w:rFonts w:ascii="宋体" w:hAnsi="宋体" w:eastAsia="宋体" w:cs="宋体"/>
                <w:spacing w:val="8"/>
              </w:rPr>
              <w:t xml:space="preserve"> </w:t>
            </w:r>
            <w:r>
              <w:rPr>
                <w:rFonts w:hint="eastAsia" w:ascii="宋体" w:hAnsi="宋体" w:eastAsia="宋体" w:cs="宋体"/>
                <w:spacing w:val="8"/>
              </w:rPr>
              <w:t>项目管理</w:t>
            </w:r>
          </w:p>
        </w:tc>
        <w:tc>
          <w:tcPr>
            <w:tcW w:w="897" w:type="pct"/>
            <w:vAlign w:val="center"/>
          </w:tcPr>
          <w:p w14:paraId="1CEEBFE6">
            <w:pPr>
              <w:spacing w:before="208" w:line="190" w:lineRule="auto"/>
              <w:jc w:val="center"/>
              <w:rPr>
                <w:rFonts w:hint="eastAsia" w:ascii="宋体" w:hAnsi="宋体" w:eastAsia="宋体" w:cs="宋体"/>
              </w:rPr>
            </w:pPr>
            <w:r>
              <w:rPr>
                <w:rFonts w:hint="eastAsia" w:ascii="宋体" w:hAnsi="宋体" w:eastAsia="宋体" w:cs="宋体"/>
              </w:rPr>
              <w:t>4</w:t>
            </w:r>
          </w:p>
        </w:tc>
        <w:tc>
          <w:tcPr>
            <w:tcW w:w="1025" w:type="pct"/>
            <w:vAlign w:val="center"/>
          </w:tcPr>
          <w:p w14:paraId="694FDD61">
            <w:pPr>
              <w:spacing w:before="208" w:line="190" w:lineRule="auto"/>
              <w:jc w:val="center"/>
              <w:rPr>
                <w:rFonts w:hint="eastAsia" w:ascii="宋体" w:hAnsi="宋体" w:eastAsia="宋体" w:cs="宋体"/>
              </w:rPr>
            </w:pPr>
            <w:r>
              <w:rPr>
                <w:rFonts w:hint="eastAsia" w:ascii="宋体" w:hAnsi="宋体" w:eastAsia="宋体" w:cs="宋体"/>
              </w:rPr>
              <w:t>2</w:t>
            </w:r>
          </w:p>
        </w:tc>
        <w:tc>
          <w:tcPr>
            <w:tcW w:w="940" w:type="pct"/>
            <w:vAlign w:val="center"/>
          </w:tcPr>
          <w:p w14:paraId="3F56743E">
            <w:pPr>
              <w:spacing w:before="208" w:line="190" w:lineRule="auto"/>
              <w:jc w:val="center"/>
              <w:rPr>
                <w:rFonts w:hint="eastAsia" w:ascii="宋体" w:hAnsi="宋体" w:eastAsia="宋体" w:cs="宋体"/>
              </w:rPr>
            </w:pPr>
            <w:r>
              <w:rPr>
                <w:rFonts w:hint="eastAsia" w:ascii="宋体" w:hAnsi="宋体" w:eastAsia="宋体" w:cs="宋体"/>
              </w:rPr>
              <w:t>50</w:t>
            </w:r>
            <w:r>
              <w:rPr>
                <w:rFonts w:hint="eastAsia" w:ascii="宋体" w:hAnsi="宋体" w:eastAsia="宋体" w:cs="宋体"/>
                <w:lang w:val="en-US" w:eastAsia="zh-CN"/>
              </w:rPr>
              <w:t>.00</w:t>
            </w:r>
            <w:r>
              <w:rPr>
                <w:rFonts w:hint="eastAsia" w:ascii="宋体" w:hAnsi="宋体" w:eastAsia="宋体" w:cs="宋体"/>
              </w:rPr>
              <w:t>%</w:t>
            </w:r>
          </w:p>
        </w:tc>
      </w:tr>
    </w:tbl>
    <w:p w14:paraId="5BA3FB7A">
      <w:pPr>
        <w:pStyle w:val="32"/>
        <w:numPr>
          <w:ilvl w:val="0"/>
          <w:numId w:val="13"/>
        </w:numPr>
        <w:spacing w:before="240" w:beforeLines="100" w:line="360" w:lineRule="auto"/>
        <w:ind w:left="0" w:firstLine="522"/>
        <w:jc w:val="both"/>
        <w:rPr>
          <w:b/>
          <w:bCs/>
        </w:rPr>
      </w:pPr>
      <w:r>
        <w:rPr>
          <w:b/>
          <w:bCs/>
        </w:rPr>
        <w:t>B1 地方政府专项债券资金管理情况</w:t>
      </w:r>
    </w:p>
    <w:p w14:paraId="794E69FC">
      <w:pPr>
        <w:pStyle w:val="32"/>
        <w:spacing w:line="360" w:lineRule="auto"/>
        <w:ind w:firstLine="520"/>
        <w:jc w:val="both"/>
      </w:pPr>
      <w:r>
        <w:t>“地方政府专项债券资金管理情况”指标考核资金到位率、资金使用率、专项债券资金使用合规性及债券资金跟踪机制健全性四个方面，指标的业绩值和绩效分值如下表所示：</w:t>
      </w:r>
    </w:p>
    <w:p w14:paraId="077C3CE0">
      <w:pPr>
        <w:pStyle w:val="32"/>
        <w:spacing w:before="120" w:beforeLines="50" w:after="120" w:afterLines="50"/>
        <w:ind w:firstLine="0" w:firstLineChars="0"/>
        <w:jc w:val="center"/>
      </w:pPr>
      <w:r>
        <w:t>“地方政府专项债券资金管理情况”指标业绩值及得分</w:t>
      </w:r>
    </w:p>
    <w:p w14:paraId="651DD7A0">
      <w:pPr>
        <w:spacing w:line="42" w:lineRule="exact"/>
        <w:jc w:val="both"/>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88"/>
        <w:gridCol w:w="1681"/>
        <w:gridCol w:w="1531"/>
        <w:gridCol w:w="1377"/>
      </w:tblGrid>
      <w:tr w14:paraId="7D7C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7878B1B4">
            <w:pPr>
              <w:spacing w:before="18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916" w:type="pct"/>
          </w:tcPr>
          <w:p w14:paraId="3E91D116">
            <w:pPr>
              <w:spacing w:before="182"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834" w:type="pct"/>
          </w:tcPr>
          <w:p w14:paraId="1261EDC9">
            <w:pPr>
              <w:spacing w:before="18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750" w:type="pct"/>
          </w:tcPr>
          <w:p w14:paraId="37345F46">
            <w:pPr>
              <w:spacing w:before="182" w:line="228" w:lineRule="auto"/>
              <w:jc w:val="center"/>
              <w:rPr>
                <w:rFonts w:hint="eastAsia" w:ascii="宋体" w:hAnsi="宋体" w:eastAsia="宋体" w:cs="宋体"/>
                <w:b/>
                <w:bCs/>
              </w:rPr>
            </w:pPr>
            <w:r>
              <w:rPr>
                <w:rFonts w:ascii="宋体" w:hAnsi="宋体" w:eastAsia="宋体" w:cs="宋体"/>
                <w:b/>
                <w:bCs/>
                <w:spacing w:val="6"/>
              </w:rPr>
              <w:t>得分率</w:t>
            </w:r>
          </w:p>
        </w:tc>
      </w:tr>
      <w:tr w14:paraId="28E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6C6C5EB0">
            <w:pPr>
              <w:spacing w:before="172"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1</w:t>
            </w:r>
            <w:r>
              <w:rPr>
                <w:rFonts w:hint="eastAsia" w:ascii="宋体" w:hAnsi="宋体" w:eastAsia="宋体" w:cs="宋体"/>
                <w:spacing w:val="11"/>
              </w:rPr>
              <w:t xml:space="preserve"> </w:t>
            </w:r>
            <w:r>
              <w:rPr>
                <w:rFonts w:hint="eastAsia" w:ascii="宋体" w:hAnsi="宋体" w:eastAsia="宋体" w:cs="宋体"/>
                <w:spacing w:val="8"/>
              </w:rPr>
              <w:t>地方政府专项债券资金管理情况</w:t>
            </w:r>
          </w:p>
        </w:tc>
        <w:tc>
          <w:tcPr>
            <w:tcW w:w="916" w:type="pct"/>
            <w:vAlign w:val="center"/>
          </w:tcPr>
          <w:p w14:paraId="6F4DD25B">
            <w:pPr>
              <w:spacing w:before="205" w:line="191" w:lineRule="auto"/>
              <w:jc w:val="center"/>
              <w:rPr>
                <w:rFonts w:hint="eastAsia" w:ascii="宋体" w:hAnsi="宋体" w:eastAsia="宋体" w:cs="宋体"/>
              </w:rPr>
            </w:pPr>
            <w:r>
              <w:rPr>
                <w:rFonts w:hint="eastAsia" w:ascii="宋体" w:hAnsi="宋体" w:eastAsia="宋体" w:cs="宋体"/>
                <w:spacing w:val="-8"/>
              </w:rPr>
              <w:t>13</w:t>
            </w:r>
          </w:p>
        </w:tc>
        <w:tc>
          <w:tcPr>
            <w:tcW w:w="834" w:type="pct"/>
            <w:vAlign w:val="center"/>
          </w:tcPr>
          <w:p w14:paraId="14D050CF">
            <w:pPr>
              <w:spacing w:before="205" w:line="191" w:lineRule="auto"/>
              <w:jc w:val="center"/>
              <w:rPr>
                <w:rFonts w:hint="eastAsia" w:ascii="宋体" w:hAnsi="宋体" w:eastAsia="宋体" w:cs="宋体"/>
                <w:spacing w:val="-8"/>
              </w:rPr>
            </w:pPr>
            <w:r>
              <w:rPr>
                <w:rFonts w:hint="eastAsia" w:ascii="宋体" w:hAnsi="宋体" w:eastAsia="宋体" w:cs="宋体"/>
                <w:spacing w:val="-8"/>
              </w:rPr>
              <w:t>8.37</w:t>
            </w:r>
          </w:p>
        </w:tc>
        <w:tc>
          <w:tcPr>
            <w:tcW w:w="750" w:type="pct"/>
            <w:vAlign w:val="center"/>
          </w:tcPr>
          <w:p w14:paraId="3CCF34BF">
            <w:pPr>
              <w:spacing w:before="205" w:line="191" w:lineRule="auto"/>
              <w:jc w:val="center"/>
              <w:rPr>
                <w:rFonts w:hint="eastAsia" w:ascii="宋体" w:hAnsi="宋体" w:eastAsia="宋体" w:cs="宋体"/>
                <w:spacing w:val="-8"/>
              </w:rPr>
            </w:pPr>
            <w:r>
              <w:rPr>
                <w:rFonts w:hint="eastAsia" w:ascii="宋体" w:hAnsi="宋体" w:eastAsia="宋体" w:cs="宋体"/>
                <w:spacing w:val="-8"/>
              </w:rPr>
              <w:t>64.38%</w:t>
            </w:r>
          </w:p>
        </w:tc>
      </w:tr>
      <w:tr w14:paraId="24E5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0DD0F86C">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6"/>
              </w:rPr>
              <w:t>1</w:t>
            </w:r>
            <w:r>
              <w:rPr>
                <w:rFonts w:ascii="宋体" w:hAnsi="宋体" w:eastAsia="宋体" w:cs="宋体"/>
                <w:spacing w:val="5"/>
              </w:rPr>
              <w:t>0</w:t>
            </w:r>
            <w:r>
              <w:rPr>
                <w:rFonts w:ascii="宋体" w:hAnsi="宋体" w:eastAsia="宋体" w:cs="宋体"/>
                <w:spacing w:val="3"/>
              </w:rPr>
              <w:t xml:space="preserve">1 </w:t>
            </w:r>
            <w:r>
              <w:rPr>
                <w:rFonts w:hint="eastAsia" w:ascii="宋体" w:hAnsi="宋体" w:eastAsia="宋体" w:cs="宋体"/>
                <w:spacing w:val="3"/>
              </w:rPr>
              <w:t>资金到位率</w:t>
            </w:r>
          </w:p>
        </w:tc>
        <w:tc>
          <w:tcPr>
            <w:tcW w:w="916" w:type="pct"/>
            <w:vAlign w:val="center"/>
          </w:tcPr>
          <w:p w14:paraId="1D54C188">
            <w:pPr>
              <w:spacing w:before="209" w:line="190" w:lineRule="auto"/>
              <w:jc w:val="center"/>
              <w:rPr>
                <w:rFonts w:hint="eastAsia" w:ascii="宋体" w:hAnsi="宋体" w:eastAsia="宋体" w:cs="宋体"/>
              </w:rPr>
            </w:pPr>
            <w:r>
              <w:rPr>
                <w:rFonts w:hint="eastAsia" w:ascii="宋体" w:hAnsi="宋体" w:eastAsia="宋体" w:cs="宋体"/>
              </w:rPr>
              <w:t>4</w:t>
            </w:r>
          </w:p>
        </w:tc>
        <w:tc>
          <w:tcPr>
            <w:tcW w:w="834" w:type="pct"/>
            <w:vAlign w:val="center"/>
          </w:tcPr>
          <w:p w14:paraId="101CC20A">
            <w:pPr>
              <w:spacing w:before="205" w:line="191" w:lineRule="auto"/>
              <w:jc w:val="center"/>
              <w:rPr>
                <w:rFonts w:hint="eastAsia" w:ascii="宋体" w:hAnsi="宋体" w:eastAsia="宋体" w:cs="宋体"/>
                <w:spacing w:val="-8"/>
              </w:rPr>
            </w:pPr>
            <w:r>
              <w:rPr>
                <w:rFonts w:hint="eastAsia" w:ascii="宋体" w:hAnsi="宋体" w:eastAsia="宋体" w:cs="宋体"/>
                <w:spacing w:val="-8"/>
              </w:rPr>
              <w:t>3.2</w:t>
            </w:r>
          </w:p>
        </w:tc>
        <w:tc>
          <w:tcPr>
            <w:tcW w:w="750" w:type="pct"/>
            <w:vAlign w:val="center"/>
          </w:tcPr>
          <w:p w14:paraId="6B9A1569">
            <w:pPr>
              <w:spacing w:before="205" w:line="191" w:lineRule="auto"/>
              <w:jc w:val="center"/>
              <w:rPr>
                <w:rFonts w:hint="eastAsia" w:ascii="宋体" w:hAnsi="宋体" w:eastAsia="宋体" w:cs="宋体"/>
                <w:spacing w:val="-8"/>
              </w:rPr>
            </w:pPr>
            <w:r>
              <w:rPr>
                <w:rFonts w:hint="eastAsia" w:ascii="宋体" w:hAnsi="宋体" w:eastAsia="宋体" w:cs="宋体"/>
                <w:spacing w:val="-8"/>
              </w:rPr>
              <w:t>80</w:t>
            </w:r>
            <w:r>
              <w:rPr>
                <w:rFonts w:hint="eastAsia" w:ascii="宋体" w:hAnsi="宋体" w:eastAsia="宋体" w:cs="宋体"/>
                <w:spacing w:val="-8"/>
                <w:lang w:val="en-US" w:eastAsia="zh-CN"/>
              </w:rPr>
              <w:t>.00</w:t>
            </w:r>
            <w:r>
              <w:rPr>
                <w:rFonts w:hint="eastAsia" w:ascii="宋体" w:hAnsi="宋体" w:eastAsia="宋体" w:cs="宋体"/>
                <w:spacing w:val="-8"/>
              </w:rPr>
              <w:t>%</w:t>
            </w:r>
          </w:p>
        </w:tc>
      </w:tr>
      <w:tr w14:paraId="40E1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361E5E9E">
            <w:pPr>
              <w:spacing w:before="176"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0"/>
              </w:rPr>
              <w:t>1</w:t>
            </w:r>
            <w:r>
              <w:rPr>
                <w:rFonts w:ascii="宋体" w:hAnsi="宋体" w:eastAsia="宋体" w:cs="宋体"/>
                <w:spacing w:val="7"/>
              </w:rPr>
              <w:t>0</w:t>
            </w:r>
            <w:r>
              <w:rPr>
                <w:rFonts w:ascii="宋体" w:hAnsi="宋体" w:eastAsia="宋体" w:cs="宋体"/>
                <w:spacing w:val="5"/>
              </w:rPr>
              <w:t xml:space="preserve">2 </w:t>
            </w:r>
            <w:r>
              <w:rPr>
                <w:rFonts w:hint="eastAsia" w:ascii="宋体" w:hAnsi="宋体" w:eastAsia="宋体" w:cs="宋体"/>
                <w:spacing w:val="5"/>
              </w:rPr>
              <w:t>资金使用率</w:t>
            </w:r>
          </w:p>
        </w:tc>
        <w:tc>
          <w:tcPr>
            <w:tcW w:w="916" w:type="pct"/>
            <w:vAlign w:val="center"/>
          </w:tcPr>
          <w:p w14:paraId="458FA88C">
            <w:pPr>
              <w:spacing w:before="209" w:line="190" w:lineRule="auto"/>
              <w:jc w:val="center"/>
              <w:rPr>
                <w:rFonts w:hint="eastAsia" w:ascii="宋体" w:hAnsi="宋体" w:eastAsia="宋体" w:cs="宋体"/>
              </w:rPr>
            </w:pPr>
            <w:r>
              <w:rPr>
                <w:rFonts w:hint="eastAsia" w:ascii="宋体" w:hAnsi="宋体" w:eastAsia="宋体" w:cs="宋体"/>
              </w:rPr>
              <w:t>4</w:t>
            </w:r>
          </w:p>
        </w:tc>
        <w:tc>
          <w:tcPr>
            <w:tcW w:w="834" w:type="pct"/>
            <w:vAlign w:val="center"/>
          </w:tcPr>
          <w:p w14:paraId="23C3A3C1">
            <w:pPr>
              <w:spacing w:before="205" w:line="191" w:lineRule="auto"/>
              <w:jc w:val="center"/>
              <w:rPr>
                <w:rFonts w:hint="eastAsia" w:ascii="宋体" w:hAnsi="宋体" w:eastAsia="宋体" w:cs="宋体"/>
                <w:spacing w:val="-8"/>
              </w:rPr>
            </w:pPr>
            <w:r>
              <w:rPr>
                <w:rFonts w:hint="eastAsia" w:ascii="宋体" w:hAnsi="宋体" w:eastAsia="宋体" w:cs="宋体"/>
                <w:spacing w:val="-8"/>
              </w:rPr>
              <w:t xml:space="preserve"> 3.17</w:t>
            </w:r>
          </w:p>
        </w:tc>
        <w:tc>
          <w:tcPr>
            <w:tcW w:w="750" w:type="pct"/>
            <w:vAlign w:val="center"/>
          </w:tcPr>
          <w:p w14:paraId="4E83F33A">
            <w:pPr>
              <w:spacing w:before="205" w:line="191" w:lineRule="auto"/>
              <w:jc w:val="center"/>
              <w:rPr>
                <w:rFonts w:hint="eastAsia" w:ascii="宋体" w:hAnsi="宋体" w:eastAsia="宋体" w:cs="宋体"/>
                <w:spacing w:val="-8"/>
              </w:rPr>
            </w:pPr>
            <w:r>
              <w:rPr>
                <w:rFonts w:hint="eastAsia" w:ascii="宋体" w:hAnsi="宋体" w:eastAsia="宋体" w:cs="宋体"/>
                <w:spacing w:val="-8"/>
              </w:rPr>
              <w:t>79.25%</w:t>
            </w:r>
          </w:p>
        </w:tc>
      </w:tr>
      <w:tr w14:paraId="654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4070A90B">
            <w:pPr>
              <w:spacing w:before="197"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1</w:t>
            </w:r>
            <w:r>
              <w:rPr>
                <w:rFonts w:ascii="宋体" w:hAnsi="宋体" w:eastAsia="宋体" w:cs="宋体"/>
                <w:spacing w:val="5"/>
              </w:rPr>
              <w:t xml:space="preserve">03 </w:t>
            </w:r>
            <w:r>
              <w:rPr>
                <w:rFonts w:hint="eastAsia" w:ascii="宋体" w:hAnsi="宋体" w:eastAsia="宋体" w:cs="宋体"/>
                <w:spacing w:val="5"/>
              </w:rPr>
              <w:t>专项债券资金使用合规性</w:t>
            </w:r>
          </w:p>
        </w:tc>
        <w:tc>
          <w:tcPr>
            <w:tcW w:w="916" w:type="pct"/>
            <w:vAlign w:val="center"/>
          </w:tcPr>
          <w:p w14:paraId="68F7FB90">
            <w:pPr>
              <w:spacing w:before="230" w:line="190" w:lineRule="auto"/>
              <w:jc w:val="center"/>
              <w:rPr>
                <w:rFonts w:hint="eastAsia" w:ascii="宋体" w:hAnsi="宋体" w:eastAsia="宋体" w:cs="宋体"/>
              </w:rPr>
            </w:pPr>
            <w:r>
              <w:rPr>
                <w:rFonts w:hint="eastAsia" w:ascii="宋体" w:hAnsi="宋体" w:eastAsia="宋体" w:cs="宋体"/>
              </w:rPr>
              <w:t>3</w:t>
            </w:r>
          </w:p>
        </w:tc>
        <w:tc>
          <w:tcPr>
            <w:tcW w:w="834" w:type="pct"/>
            <w:vAlign w:val="center"/>
          </w:tcPr>
          <w:p w14:paraId="79F64749">
            <w:pPr>
              <w:spacing w:before="205" w:line="191" w:lineRule="auto"/>
              <w:jc w:val="center"/>
              <w:rPr>
                <w:rFonts w:hint="eastAsia" w:ascii="宋体" w:hAnsi="宋体" w:eastAsia="宋体" w:cs="宋体"/>
                <w:spacing w:val="-8"/>
              </w:rPr>
            </w:pPr>
            <w:r>
              <w:rPr>
                <w:rFonts w:hint="eastAsia" w:ascii="宋体" w:hAnsi="宋体" w:eastAsia="宋体" w:cs="宋体"/>
                <w:spacing w:val="-8"/>
              </w:rPr>
              <w:t>2</w:t>
            </w:r>
          </w:p>
        </w:tc>
        <w:tc>
          <w:tcPr>
            <w:tcW w:w="750" w:type="pct"/>
            <w:vAlign w:val="center"/>
          </w:tcPr>
          <w:p w14:paraId="164AF2E6">
            <w:pPr>
              <w:spacing w:before="205" w:line="191" w:lineRule="auto"/>
              <w:jc w:val="center"/>
              <w:rPr>
                <w:rFonts w:hint="eastAsia" w:ascii="宋体" w:hAnsi="宋体" w:eastAsia="宋体" w:cs="宋体"/>
                <w:spacing w:val="-8"/>
              </w:rPr>
            </w:pPr>
            <w:r>
              <w:rPr>
                <w:rFonts w:hint="eastAsia" w:ascii="宋体" w:hAnsi="宋体" w:eastAsia="宋体" w:cs="宋体"/>
                <w:spacing w:val="-8"/>
              </w:rPr>
              <w:t>66.67%</w:t>
            </w:r>
          </w:p>
        </w:tc>
      </w:tr>
      <w:tr w14:paraId="59D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500" w:type="pct"/>
          </w:tcPr>
          <w:p w14:paraId="56B786EF">
            <w:pPr>
              <w:spacing w:before="197" w:line="227"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1</w:t>
            </w:r>
            <w:r>
              <w:rPr>
                <w:rFonts w:ascii="宋体" w:hAnsi="宋体" w:eastAsia="宋体" w:cs="宋体"/>
                <w:spacing w:val="5"/>
              </w:rPr>
              <w:t>0</w:t>
            </w:r>
            <w:r>
              <w:rPr>
                <w:rFonts w:hint="eastAsia" w:ascii="宋体" w:hAnsi="宋体" w:eastAsia="宋体" w:cs="宋体"/>
                <w:spacing w:val="5"/>
              </w:rPr>
              <w:t>4</w:t>
            </w:r>
            <w:r>
              <w:rPr>
                <w:rFonts w:ascii="宋体" w:hAnsi="宋体" w:eastAsia="宋体" w:cs="宋体"/>
                <w:spacing w:val="5"/>
              </w:rPr>
              <w:t xml:space="preserve"> </w:t>
            </w:r>
            <w:r>
              <w:rPr>
                <w:rFonts w:hint="eastAsia" w:ascii="宋体" w:hAnsi="宋体" w:eastAsia="宋体" w:cs="宋体"/>
                <w:spacing w:val="5"/>
              </w:rPr>
              <w:t>债券资金跟踪机制健全性</w:t>
            </w:r>
          </w:p>
        </w:tc>
        <w:tc>
          <w:tcPr>
            <w:tcW w:w="916" w:type="pct"/>
            <w:vAlign w:val="center"/>
          </w:tcPr>
          <w:p w14:paraId="72579A01">
            <w:pPr>
              <w:spacing w:before="230" w:line="190" w:lineRule="auto"/>
              <w:jc w:val="center"/>
              <w:rPr>
                <w:rFonts w:hint="eastAsia" w:ascii="宋体" w:hAnsi="宋体" w:eastAsia="宋体" w:cs="宋体"/>
              </w:rPr>
            </w:pPr>
            <w:r>
              <w:rPr>
                <w:rFonts w:hint="eastAsia" w:ascii="宋体" w:hAnsi="宋体" w:eastAsia="宋体" w:cs="宋体"/>
              </w:rPr>
              <w:t>2</w:t>
            </w:r>
          </w:p>
        </w:tc>
        <w:tc>
          <w:tcPr>
            <w:tcW w:w="834" w:type="pct"/>
            <w:vAlign w:val="center"/>
          </w:tcPr>
          <w:p w14:paraId="6CA0B36D">
            <w:pPr>
              <w:spacing w:before="205" w:line="191" w:lineRule="auto"/>
              <w:jc w:val="center"/>
              <w:rPr>
                <w:rFonts w:hint="eastAsia" w:ascii="宋体" w:hAnsi="宋体" w:eastAsia="宋体" w:cs="宋体"/>
                <w:spacing w:val="-8"/>
                <w:lang w:eastAsia="zh-CN"/>
              </w:rPr>
            </w:pPr>
            <w:r>
              <w:rPr>
                <w:rFonts w:hint="eastAsia" w:ascii="宋体" w:hAnsi="宋体" w:eastAsia="宋体" w:cs="宋体"/>
                <w:spacing w:val="-8"/>
                <w:lang w:val="en-US" w:eastAsia="zh-CN"/>
              </w:rPr>
              <w:t>0</w:t>
            </w:r>
          </w:p>
        </w:tc>
        <w:tc>
          <w:tcPr>
            <w:tcW w:w="750" w:type="pct"/>
            <w:vAlign w:val="center"/>
          </w:tcPr>
          <w:p w14:paraId="66D36959">
            <w:pPr>
              <w:spacing w:before="205" w:line="191" w:lineRule="auto"/>
              <w:jc w:val="center"/>
              <w:rPr>
                <w:rFonts w:hint="eastAsia" w:ascii="宋体" w:hAnsi="宋体" w:eastAsia="宋体" w:cs="宋体"/>
                <w:spacing w:val="-8"/>
              </w:rPr>
            </w:pPr>
            <w:r>
              <w:rPr>
                <w:rFonts w:hint="eastAsia" w:ascii="宋体" w:hAnsi="宋体" w:eastAsia="宋体" w:cs="宋体"/>
                <w:spacing w:val="-8"/>
              </w:rPr>
              <w:t>-</w:t>
            </w:r>
          </w:p>
        </w:tc>
      </w:tr>
    </w:tbl>
    <w:p w14:paraId="01192E24">
      <w:pPr>
        <w:pStyle w:val="32"/>
        <w:numPr>
          <w:ilvl w:val="0"/>
          <w:numId w:val="14"/>
        </w:numPr>
        <w:spacing w:before="240" w:beforeLines="100" w:line="360" w:lineRule="auto"/>
        <w:ind w:left="0" w:firstLine="520"/>
        <w:jc w:val="both"/>
      </w:pPr>
      <w:r>
        <w:t>B101 资金到位率</w:t>
      </w:r>
    </w:p>
    <w:p w14:paraId="04C58279">
      <w:pPr>
        <w:pStyle w:val="32"/>
        <w:spacing w:line="360" w:lineRule="auto"/>
        <w:ind w:firstLine="520"/>
        <w:jc w:val="both"/>
        <w:rPr>
          <w:color w:val="0000FF"/>
          <w:spacing w:val="12"/>
        </w:rPr>
      </w:pPr>
      <w:r>
        <w:rPr>
          <w:rStyle w:val="33"/>
        </w:rPr>
        <w:t>中韩（长春）国际合作示范区智能装备孵化基地项目资金分为自筹到位资金和专项债券资金到位率两部分，专项债券资金计划申请资金13</w:t>
      </w:r>
      <w:r>
        <w:rPr>
          <w:rStyle w:val="33"/>
          <w:rFonts w:hint="eastAsia"/>
          <w:lang w:val="en-US" w:eastAsia="zh-CN"/>
        </w:rPr>
        <w:t>,</w:t>
      </w:r>
      <w:r>
        <w:rPr>
          <w:rStyle w:val="33"/>
        </w:rPr>
        <w:t>200</w:t>
      </w:r>
      <w:r>
        <w:rPr>
          <w:rStyle w:val="33"/>
          <w:rFonts w:hint="eastAsia"/>
          <w:lang w:val="en-US" w:eastAsia="zh-CN"/>
        </w:rPr>
        <w:t>.00</w:t>
      </w:r>
      <w:r>
        <w:rPr>
          <w:rStyle w:val="33"/>
        </w:rPr>
        <w:t>万元，实际拨付资金13</w:t>
      </w:r>
      <w:r>
        <w:rPr>
          <w:rStyle w:val="33"/>
          <w:rFonts w:hint="eastAsia"/>
          <w:lang w:val="en-US" w:eastAsia="zh-CN"/>
        </w:rPr>
        <w:t>,</w:t>
      </w:r>
      <w:r>
        <w:rPr>
          <w:rStyle w:val="33"/>
        </w:rPr>
        <w:t>200</w:t>
      </w:r>
      <w:r>
        <w:rPr>
          <w:rStyle w:val="33"/>
          <w:rFonts w:hint="eastAsia"/>
          <w:lang w:val="en-US" w:eastAsia="zh-CN"/>
        </w:rPr>
        <w:t>.00</w:t>
      </w:r>
      <w:r>
        <w:rPr>
          <w:rStyle w:val="33"/>
        </w:rPr>
        <w:t>万元，专项债券资金到位率100</w:t>
      </w:r>
      <w:r>
        <w:rPr>
          <w:rStyle w:val="33"/>
          <w:rFonts w:hint="eastAsia"/>
          <w:lang w:val="en-US" w:eastAsia="zh-CN"/>
        </w:rPr>
        <w:t>.00</w:t>
      </w:r>
      <w:r>
        <w:rPr>
          <w:rStyle w:val="33"/>
        </w:rPr>
        <w:t>%，按评分标准得2分；自筹资金根据2022年绩效目标申报表计划投入自筹资金4</w:t>
      </w:r>
      <w:r>
        <w:rPr>
          <w:rStyle w:val="33"/>
          <w:rFonts w:hint="eastAsia"/>
          <w:lang w:val="en-US" w:eastAsia="zh-CN"/>
        </w:rPr>
        <w:t>,</w:t>
      </w:r>
      <w:r>
        <w:rPr>
          <w:rStyle w:val="33"/>
        </w:rPr>
        <w:t>000</w:t>
      </w:r>
      <w:r>
        <w:rPr>
          <w:rStyle w:val="33"/>
          <w:rFonts w:hint="eastAsia"/>
          <w:lang w:val="en-US" w:eastAsia="zh-CN"/>
        </w:rPr>
        <w:t>.00</w:t>
      </w:r>
      <w:r>
        <w:rPr>
          <w:rStyle w:val="33"/>
        </w:rPr>
        <w:t>万元（项目一期），</w:t>
      </w:r>
      <w:r>
        <w:rPr>
          <w:rStyle w:val="33"/>
          <w:lang w:eastAsia="zh-CN"/>
        </w:rPr>
        <w:t>截至</w:t>
      </w:r>
      <w:r>
        <w:rPr>
          <w:rStyle w:val="33"/>
        </w:rPr>
        <w:t>2024年末实际投入3</w:t>
      </w:r>
      <w:r>
        <w:rPr>
          <w:rStyle w:val="33"/>
          <w:rFonts w:hint="eastAsia"/>
          <w:lang w:val="en-US" w:eastAsia="zh-CN"/>
        </w:rPr>
        <w:t>,</w:t>
      </w:r>
      <w:r>
        <w:rPr>
          <w:rStyle w:val="33"/>
        </w:rPr>
        <w:t>599</w:t>
      </w:r>
      <w:r>
        <w:rPr>
          <w:rStyle w:val="33"/>
          <w:rFonts w:hint="eastAsia"/>
          <w:lang w:val="en-US" w:eastAsia="zh-CN"/>
        </w:rPr>
        <w:t>.00</w:t>
      </w:r>
      <w:r>
        <w:rPr>
          <w:rStyle w:val="33"/>
        </w:rPr>
        <w:t>万元，自筹资金到位率89.98%，按评分标准得1.2分。根据评分标准，此指标满分4分，得3.2分。</w:t>
      </w:r>
    </w:p>
    <w:p w14:paraId="364A70FA">
      <w:pPr>
        <w:pStyle w:val="32"/>
        <w:numPr>
          <w:ilvl w:val="0"/>
          <w:numId w:val="14"/>
        </w:numPr>
        <w:spacing w:line="360" w:lineRule="auto"/>
        <w:ind w:left="0" w:firstLine="520"/>
        <w:jc w:val="both"/>
      </w:pPr>
      <w:r>
        <w:t>B102 资金使用率</w:t>
      </w:r>
    </w:p>
    <w:p w14:paraId="1BB59EAF">
      <w:pPr>
        <w:pStyle w:val="32"/>
        <w:spacing w:line="360" w:lineRule="auto"/>
        <w:ind w:firstLine="520"/>
        <w:jc w:val="both"/>
        <w:rPr>
          <w:rStyle w:val="33"/>
        </w:rPr>
      </w:pPr>
      <w:r>
        <w:rPr>
          <w:rStyle w:val="33"/>
        </w:rPr>
        <w:t>中韩（长春）国际合作示范区智能装备孵化基地项目资金使用率</w:t>
      </w:r>
      <w:r>
        <w:rPr>
          <w:rStyle w:val="33"/>
          <w:lang w:eastAsia="zh-CN"/>
        </w:rPr>
        <w:t>分为</w:t>
      </w:r>
      <w:r>
        <w:rPr>
          <w:rStyle w:val="33"/>
        </w:rPr>
        <w:t>自筹资金使用率和专项债券资金使用率，自筹资金投入3</w:t>
      </w:r>
      <w:r>
        <w:rPr>
          <w:rStyle w:val="33"/>
          <w:rFonts w:hint="eastAsia"/>
          <w:lang w:val="en-US" w:eastAsia="zh-CN"/>
        </w:rPr>
        <w:t>,</w:t>
      </w:r>
      <w:r>
        <w:rPr>
          <w:rStyle w:val="33"/>
        </w:rPr>
        <w:t>599</w:t>
      </w:r>
      <w:r>
        <w:rPr>
          <w:rStyle w:val="33"/>
          <w:rFonts w:hint="eastAsia"/>
          <w:lang w:val="en-US" w:eastAsia="zh-CN"/>
        </w:rPr>
        <w:t>.00</w:t>
      </w:r>
      <w:r>
        <w:rPr>
          <w:rStyle w:val="33"/>
        </w:rPr>
        <w:t>万元，实际使用3</w:t>
      </w:r>
      <w:r>
        <w:rPr>
          <w:rStyle w:val="33"/>
          <w:rFonts w:hint="eastAsia"/>
          <w:lang w:val="en-US" w:eastAsia="zh-CN"/>
        </w:rPr>
        <w:t>,</w:t>
      </w:r>
      <w:r>
        <w:rPr>
          <w:rStyle w:val="33"/>
        </w:rPr>
        <w:t>599</w:t>
      </w:r>
      <w:r>
        <w:rPr>
          <w:rStyle w:val="33"/>
          <w:rFonts w:hint="eastAsia"/>
          <w:lang w:val="en-US" w:eastAsia="zh-CN"/>
        </w:rPr>
        <w:t>.00</w:t>
      </w:r>
      <w:r>
        <w:rPr>
          <w:rStyle w:val="33"/>
        </w:rPr>
        <w:t>万元，使用率100</w:t>
      </w:r>
      <w:r>
        <w:rPr>
          <w:rStyle w:val="33"/>
          <w:rFonts w:hint="eastAsia"/>
          <w:lang w:val="en-US" w:eastAsia="zh-CN"/>
        </w:rPr>
        <w:t>.00</w:t>
      </w:r>
      <w:r>
        <w:rPr>
          <w:rStyle w:val="33"/>
        </w:rPr>
        <w:t>%，按评分标准得2分；专项债资金13</w:t>
      </w:r>
      <w:r>
        <w:rPr>
          <w:rStyle w:val="33"/>
          <w:rFonts w:hint="eastAsia"/>
          <w:lang w:val="en-US" w:eastAsia="zh-CN"/>
        </w:rPr>
        <w:t>,</w:t>
      </w:r>
      <w:r>
        <w:rPr>
          <w:rStyle w:val="33"/>
        </w:rPr>
        <w:t>200</w:t>
      </w:r>
      <w:r>
        <w:rPr>
          <w:rStyle w:val="33"/>
          <w:rFonts w:hint="eastAsia"/>
          <w:lang w:val="en-US" w:eastAsia="zh-CN"/>
        </w:rPr>
        <w:t>.00</w:t>
      </w:r>
      <w:r>
        <w:rPr>
          <w:rStyle w:val="33"/>
        </w:rPr>
        <w:t>万元，实际使用11</w:t>
      </w:r>
      <w:r>
        <w:rPr>
          <w:rStyle w:val="33"/>
          <w:rFonts w:hint="eastAsia"/>
          <w:lang w:val="en-US" w:eastAsia="zh-CN"/>
        </w:rPr>
        <w:t>,</w:t>
      </w:r>
      <w:r>
        <w:rPr>
          <w:rStyle w:val="33"/>
        </w:rPr>
        <w:t>754.09万元，使用率89.05%，按评分标准得1.17分。根据评分标准，此指标满分4分，得3.17分。</w:t>
      </w:r>
    </w:p>
    <w:p w14:paraId="02AE8CD1">
      <w:pPr>
        <w:pStyle w:val="32"/>
        <w:numPr>
          <w:ilvl w:val="0"/>
          <w:numId w:val="14"/>
        </w:numPr>
        <w:spacing w:line="360" w:lineRule="auto"/>
        <w:ind w:left="0" w:firstLine="520"/>
        <w:jc w:val="both"/>
      </w:pPr>
      <w:r>
        <w:rPr>
          <w:rStyle w:val="33"/>
        </w:rPr>
        <w:t>B103 专项债券资金使用合规性</w:t>
      </w:r>
    </w:p>
    <w:p w14:paraId="07649C9F">
      <w:pPr>
        <w:pStyle w:val="32"/>
        <w:spacing w:line="360" w:lineRule="auto"/>
        <w:ind w:firstLine="520"/>
        <w:jc w:val="both"/>
        <w:rPr>
          <w:rStyle w:val="33"/>
        </w:rPr>
      </w:pPr>
      <w:r>
        <w:rPr>
          <w:rStyle w:val="33"/>
        </w:rPr>
        <w:t>中韩（长春）国际合作示范区智能装备孵化基地项目债券资金使用是否符合专用债券资金管理规定、专项债券资金使用规范。专项债券拨付手续合规，程序严谨。专项债未进行独立核算，扣1分。根据评分标准，此指标满分3分，得2分。</w:t>
      </w:r>
    </w:p>
    <w:p w14:paraId="28F7B712">
      <w:pPr>
        <w:pStyle w:val="32"/>
        <w:numPr>
          <w:ilvl w:val="0"/>
          <w:numId w:val="14"/>
        </w:numPr>
        <w:spacing w:line="360" w:lineRule="auto"/>
        <w:ind w:left="0" w:firstLine="520"/>
        <w:jc w:val="both"/>
      </w:pPr>
      <w:r>
        <w:t xml:space="preserve"> B104 债券资金跟踪机制健全性</w:t>
      </w:r>
    </w:p>
    <w:p w14:paraId="5DC1638D">
      <w:pPr>
        <w:pStyle w:val="32"/>
        <w:spacing w:line="360" w:lineRule="auto"/>
        <w:ind w:firstLine="520"/>
        <w:jc w:val="both"/>
        <w:rPr>
          <w:color w:val="0000FF"/>
        </w:rPr>
      </w:pPr>
      <w:r>
        <w:rPr>
          <w:rStyle w:val="33"/>
        </w:rPr>
        <w:t>中韩（长春）国际合作示范区智能装备孵化基地项目</w:t>
      </w:r>
      <w:bookmarkStart w:id="79" w:name="_Hlk169730013"/>
      <w:r>
        <w:rPr>
          <w:color w:val="auto"/>
        </w:rPr>
        <w:t>未建立项目运营期专项债券跟踪机制，未对专项债券资金使用情况及偿债付息情况进行动态跟踪</w:t>
      </w:r>
      <w:bookmarkEnd w:id="79"/>
      <w:r>
        <w:rPr>
          <w:color w:val="auto"/>
        </w:rPr>
        <w:t>。</w:t>
      </w:r>
      <w:r>
        <w:rPr>
          <w:rStyle w:val="33"/>
          <w:color w:val="auto"/>
        </w:rPr>
        <w:t>根据评分标准，此指标满分2分，得0分。</w:t>
      </w:r>
    </w:p>
    <w:p w14:paraId="1EF618FA">
      <w:pPr>
        <w:numPr>
          <w:ilvl w:val="0"/>
          <w:numId w:val="13"/>
        </w:numPr>
        <w:spacing w:line="360" w:lineRule="auto"/>
        <w:ind w:left="0" w:firstLine="552" w:firstLineChars="200"/>
        <w:jc w:val="both"/>
        <w:rPr>
          <w:rFonts w:hint="eastAsia" w:ascii="宋体" w:hAnsi="宋体" w:eastAsia="宋体" w:cs="宋体"/>
          <w:spacing w:val="23"/>
          <w:sz w:val="23"/>
          <w:szCs w:val="23"/>
        </w:rPr>
      </w:pPr>
      <w:r>
        <w:rPr>
          <w:rFonts w:hint="eastAsia" w:ascii="宋体" w:hAnsi="宋体" w:eastAsia="宋体" w:cs="宋体"/>
          <w:spacing w:val="23"/>
          <w:sz w:val="23"/>
          <w:szCs w:val="23"/>
        </w:rPr>
        <w:t>B2 组织实施</w:t>
      </w:r>
    </w:p>
    <w:p w14:paraId="2593D6E9">
      <w:pPr>
        <w:pStyle w:val="32"/>
        <w:spacing w:line="360" w:lineRule="auto"/>
        <w:ind w:firstLine="520"/>
        <w:jc w:val="both"/>
      </w:pPr>
      <w:r>
        <w:t>“组织实施”指标考核专项债券资金管理制度健全性及执</w:t>
      </w:r>
      <w:r>
        <w:rPr>
          <w:rFonts w:hint="eastAsia"/>
          <w:lang w:eastAsia="zh-CN"/>
        </w:rPr>
        <w:t>行的</w:t>
      </w:r>
      <w:r>
        <w:t>有效性和项目管理制度的完备性及执行的有效性两个方面。指标的业绩值和绩效分值如下表所示：</w:t>
      </w:r>
    </w:p>
    <w:p w14:paraId="79558B82">
      <w:pPr>
        <w:pStyle w:val="32"/>
        <w:spacing w:before="120" w:beforeLines="50" w:after="120" w:afterLines="50"/>
        <w:ind w:firstLine="0" w:firstLineChars="0"/>
        <w:jc w:val="center"/>
      </w:pPr>
      <w:r>
        <w:t>“组织实施”指标业绩值及得分</w:t>
      </w:r>
    </w:p>
    <w:p w14:paraId="2DDD7280">
      <w:pPr>
        <w:spacing w:line="42" w:lineRule="exact"/>
        <w:jc w:val="both"/>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2"/>
        <w:gridCol w:w="1667"/>
        <w:gridCol w:w="1213"/>
        <w:gridCol w:w="1215"/>
      </w:tblGrid>
      <w:tr w14:paraId="7645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2769" w:type="pct"/>
            <w:vAlign w:val="center"/>
          </w:tcPr>
          <w:p w14:paraId="2BD29320">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908" w:type="pct"/>
            <w:vAlign w:val="center"/>
          </w:tcPr>
          <w:p w14:paraId="0E571896">
            <w:pPr>
              <w:spacing w:before="183" w:line="228" w:lineRule="auto"/>
              <w:jc w:val="center"/>
              <w:rPr>
                <w:rFonts w:hint="eastAsia" w:ascii="宋体" w:hAnsi="宋体" w:eastAsia="宋体" w:cs="宋体"/>
                <w:b/>
                <w:bCs/>
              </w:rPr>
            </w:pPr>
            <w:r>
              <w:rPr>
                <w:rFonts w:hint="eastAsia" w:ascii="宋体" w:hAnsi="宋体" w:eastAsia="宋体" w:cs="宋体"/>
                <w:b/>
                <w:bCs/>
              </w:rPr>
              <w:t>指标分值</w:t>
            </w:r>
          </w:p>
        </w:tc>
        <w:tc>
          <w:tcPr>
            <w:tcW w:w="661" w:type="pct"/>
            <w:vAlign w:val="center"/>
          </w:tcPr>
          <w:p w14:paraId="65FF8FB9">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662" w:type="pct"/>
            <w:vAlign w:val="center"/>
          </w:tcPr>
          <w:p w14:paraId="1FF45907">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0BB1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69" w:type="pct"/>
            <w:vAlign w:val="center"/>
          </w:tcPr>
          <w:p w14:paraId="58A19BAA">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2</w:t>
            </w:r>
            <w:r>
              <w:rPr>
                <w:rFonts w:hint="eastAsia" w:ascii="宋体" w:hAnsi="宋体" w:eastAsia="宋体" w:cs="宋体"/>
                <w:spacing w:val="11"/>
              </w:rPr>
              <w:t xml:space="preserve"> </w:t>
            </w:r>
            <w:r>
              <w:rPr>
                <w:rFonts w:hint="eastAsia" w:ascii="宋体" w:hAnsi="宋体" w:eastAsia="宋体" w:cs="宋体"/>
                <w:spacing w:val="8"/>
              </w:rPr>
              <w:t>组织实施</w:t>
            </w:r>
          </w:p>
        </w:tc>
        <w:tc>
          <w:tcPr>
            <w:tcW w:w="908" w:type="pct"/>
            <w:vAlign w:val="center"/>
          </w:tcPr>
          <w:p w14:paraId="51537F27">
            <w:pPr>
              <w:spacing w:before="208" w:line="190" w:lineRule="auto"/>
              <w:jc w:val="center"/>
              <w:rPr>
                <w:rFonts w:hint="eastAsia" w:ascii="宋体" w:hAnsi="宋体" w:eastAsia="宋体" w:cs="宋体"/>
              </w:rPr>
            </w:pPr>
            <w:r>
              <w:rPr>
                <w:rFonts w:hint="eastAsia" w:ascii="宋体" w:hAnsi="宋体" w:eastAsia="宋体" w:cs="宋体"/>
              </w:rPr>
              <w:t>4</w:t>
            </w:r>
          </w:p>
        </w:tc>
        <w:tc>
          <w:tcPr>
            <w:tcW w:w="661" w:type="pct"/>
            <w:vAlign w:val="center"/>
          </w:tcPr>
          <w:p w14:paraId="65D821F8">
            <w:pPr>
              <w:spacing w:before="208" w:line="190" w:lineRule="auto"/>
              <w:jc w:val="center"/>
              <w:rPr>
                <w:rFonts w:hint="eastAsia" w:ascii="宋体" w:hAnsi="宋体" w:eastAsia="宋体" w:cs="宋体"/>
              </w:rPr>
            </w:pPr>
            <w:r>
              <w:rPr>
                <w:rFonts w:hint="eastAsia" w:ascii="宋体" w:hAnsi="宋体" w:eastAsia="宋体" w:cs="宋体"/>
              </w:rPr>
              <w:t>4</w:t>
            </w:r>
          </w:p>
        </w:tc>
        <w:tc>
          <w:tcPr>
            <w:tcW w:w="662" w:type="pct"/>
            <w:vAlign w:val="center"/>
          </w:tcPr>
          <w:p w14:paraId="1A3E16ED">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6C4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69" w:type="pct"/>
          </w:tcPr>
          <w:p w14:paraId="3CA50EBF">
            <w:pPr>
              <w:spacing w:before="174"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2</w:t>
            </w:r>
            <w:r>
              <w:rPr>
                <w:rFonts w:ascii="宋体" w:hAnsi="宋体" w:eastAsia="宋体" w:cs="宋体"/>
                <w:spacing w:val="6"/>
              </w:rPr>
              <w:t>0</w:t>
            </w:r>
            <w:r>
              <w:rPr>
                <w:rFonts w:ascii="宋体" w:hAnsi="宋体" w:eastAsia="宋体" w:cs="宋体"/>
                <w:spacing w:val="4"/>
              </w:rPr>
              <w:t xml:space="preserve">1 </w:t>
            </w:r>
            <w:r>
              <w:rPr>
                <w:rFonts w:hint="eastAsia" w:ascii="宋体" w:hAnsi="宋体" w:eastAsia="宋体" w:cs="宋体"/>
                <w:spacing w:val="4"/>
              </w:rPr>
              <w:t>专项债券资金管理制度健全性及执行有效性</w:t>
            </w:r>
          </w:p>
        </w:tc>
        <w:tc>
          <w:tcPr>
            <w:tcW w:w="908" w:type="pct"/>
            <w:vAlign w:val="center"/>
          </w:tcPr>
          <w:p w14:paraId="35C177F1">
            <w:pPr>
              <w:spacing w:before="208" w:line="190" w:lineRule="auto"/>
              <w:jc w:val="center"/>
              <w:rPr>
                <w:rFonts w:hint="eastAsia" w:ascii="宋体" w:hAnsi="宋体" w:eastAsia="宋体" w:cs="宋体"/>
              </w:rPr>
            </w:pPr>
            <w:r>
              <w:rPr>
                <w:rFonts w:hint="eastAsia" w:ascii="宋体" w:hAnsi="宋体" w:eastAsia="宋体" w:cs="宋体"/>
              </w:rPr>
              <w:t>2</w:t>
            </w:r>
          </w:p>
        </w:tc>
        <w:tc>
          <w:tcPr>
            <w:tcW w:w="661" w:type="pct"/>
            <w:vAlign w:val="center"/>
          </w:tcPr>
          <w:p w14:paraId="0254E018">
            <w:pPr>
              <w:spacing w:before="208" w:line="190" w:lineRule="auto"/>
              <w:jc w:val="center"/>
              <w:rPr>
                <w:rFonts w:hint="eastAsia" w:ascii="宋体" w:hAnsi="宋体" w:eastAsia="宋体" w:cs="宋体"/>
              </w:rPr>
            </w:pPr>
            <w:r>
              <w:rPr>
                <w:rFonts w:hint="eastAsia" w:ascii="宋体" w:hAnsi="宋体" w:eastAsia="宋体" w:cs="宋体"/>
              </w:rPr>
              <w:t>2</w:t>
            </w:r>
          </w:p>
        </w:tc>
        <w:tc>
          <w:tcPr>
            <w:tcW w:w="662" w:type="pct"/>
            <w:vAlign w:val="center"/>
          </w:tcPr>
          <w:p w14:paraId="736D3202">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644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69" w:type="pct"/>
          </w:tcPr>
          <w:p w14:paraId="47681197">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2</w:t>
            </w:r>
            <w:r>
              <w:rPr>
                <w:rFonts w:ascii="宋体" w:hAnsi="宋体" w:eastAsia="宋体" w:cs="宋体"/>
                <w:spacing w:val="6"/>
              </w:rPr>
              <w:t>0</w:t>
            </w:r>
            <w:r>
              <w:rPr>
                <w:rFonts w:ascii="宋体" w:hAnsi="宋体" w:eastAsia="宋体" w:cs="宋体"/>
                <w:spacing w:val="4"/>
              </w:rPr>
              <w:t xml:space="preserve">2 </w:t>
            </w:r>
            <w:r>
              <w:rPr>
                <w:rFonts w:hint="eastAsia" w:ascii="宋体" w:hAnsi="宋体" w:eastAsia="宋体" w:cs="宋体"/>
                <w:spacing w:val="4"/>
              </w:rPr>
              <w:t>项目管理制度的完备性及执行的有效性</w:t>
            </w:r>
          </w:p>
        </w:tc>
        <w:tc>
          <w:tcPr>
            <w:tcW w:w="908" w:type="pct"/>
            <w:vAlign w:val="center"/>
          </w:tcPr>
          <w:p w14:paraId="21A0FA6D">
            <w:pPr>
              <w:spacing w:before="208" w:line="190" w:lineRule="auto"/>
              <w:jc w:val="center"/>
              <w:rPr>
                <w:rFonts w:hint="eastAsia" w:ascii="宋体" w:hAnsi="宋体" w:eastAsia="宋体" w:cs="宋体"/>
              </w:rPr>
            </w:pPr>
            <w:r>
              <w:rPr>
                <w:rFonts w:hint="eastAsia" w:ascii="宋体" w:hAnsi="宋体" w:eastAsia="宋体" w:cs="宋体"/>
              </w:rPr>
              <w:t>2</w:t>
            </w:r>
          </w:p>
        </w:tc>
        <w:tc>
          <w:tcPr>
            <w:tcW w:w="661" w:type="pct"/>
            <w:vAlign w:val="center"/>
          </w:tcPr>
          <w:p w14:paraId="1022B1C2">
            <w:pPr>
              <w:spacing w:before="208" w:line="190" w:lineRule="auto"/>
              <w:jc w:val="center"/>
              <w:rPr>
                <w:rFonts w:hint="eastAsia" w:ascii="宋体" w:hAnsi="宋体" w:eastAsia="宋体" w:cs="宋体"/>
              </w:rPr>
            </w:pPr>
            <w:r>
              <w:rPr>
                <w:rFonts w:hint="eastAsia" w:ascii="宋体" w:hAnsi="宋体" w:eastAsia="宋体" w:cs="宋体"/>
              </w:rPr>
              <w:t>2</w:t>
            </w:r>
          </w:p>
        </w:tc>
        <w:tc>
          <w:tcPr>
            <w:tcW w:w="662" w:type="pct"/>
            <w:vAlign w:val="center"/>
          </w:tcPr>
          <w:p w14:paraId="71D1C928">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669F67D2">
      <w:pPr>
        <w:numPr>
          <w:ilvl w:val="0"/>
          <w:numId w:val="15"/>
        </w:numPr>
        <w:spacing w:before="240" w:beforeLines="100" w:line="360" w:lineRule="auto"/>
        <w:ind w:left="0" w:firstLine="560" w:firstLineChars="200"/>
        <w:jc w:val="both"/>
        <w:rPr>
          <w:rFonts w:hint="eastAsia" w:ascii="宋体" w:hAnsi="宋体" w:eastAsia="宋体" w:cs="宋体"/>
          <w:spacing w:val="20"/>
          <w:sz w:val="24"/>
          <w:szCs w:val="23"/>
        </w:rPr>
      </w:pPr>
      <w:r>
        <w:rPr>
          <w:rFonts w:hint="eastAsia" w:ascii="宋体" w:hAnsi="宋体" w:eastAsia="宋体" w:cs="宋体"/>
          <w:spacing w:val="20"/>
          <w:sz w:val="24"/>
          <w:szCs w:val="23"/>
        </w:rPr>
        <w:t>B201 专项债券资金管理制度健全性及执行有效性</w:t>
      </w:r>
    </w:p>
    <w:p w14:paraId="13CB797B">
      <w:pPr>
        <w:pStyle w:val="32"/>
        <w:spacing w:line="360" w:lineRule="auto"/>
        <w:ind w:firstLine="520"/>
        <w:jc w:val="both"/>
      </w:pPr>
      <w:r>
        <w:rPr>
          <w:rStyle w:val="33"/>
        </w:rPr>
        <w:t>中韩（长春）国际合作示范区智能装备孵化基地项目</w:t>
      </w:r>
      <w:r>
        <w:t>业务管理制度健全，符合法律和法规的相关规定，对项目顺利实施提供了保障。同时制定了详细的“施工组织管理制度”，项目管理制度健全。根据评分标准，此指标满分2分，得2分。</w:t>
      </w:r>
    </w:p>
    <w:p w14:paraId="4E4C717D">
      <w:pPr>
        <w:numPr>
          <w:ilvl w:val="0"/>
          <w:numId w:val="15"/>
        </w:numPr>
        <w:spacing w:line="360" w:lineRule="auto"/>
        <w:ind w:left="0" w:firstLine="560" w:firstLineChars="200"/>
        <w:jc w:val="both"/>
        <w:rPr>
          <w:rFonts w:hint="eastAsia" w:ascii="宋体" w:hAnsi="宋体" w:eastAsia="宋体" w:cs="宋体"/>
          <w:spacing w:val="20"/>
          <w:sz w:val="24"/>
          <w:szCs w:val="23"/>
        </w:rPr>
      </w:pPr>
      <w:r>
        <w:rPr>
          <w:rFonts w:hint="eastAsia" w:ascii="宋体" w:hAnsi="宋体" w:eastAsia="宋体" w:cs="宋体"/>
          <w:spacing w:val="20"/>
          <w:sz w:val="24"/>
          <w:szCs w:val="23"/>
        </w:rPr>
        <w:t xml:space="preserve"> B202 项目管理制度的完备性及执行的有效性</w:t>
      </w:r>
    </w:p>
    <w:p w14:paraId="119BA854">
      <w:pPr>
        <w:pStyle w:val="32"/>
        <w:spacing w:line="360" w:lineRule="auto"/>
        <w:ind w:firstLine="520"/>
        <w:jc w:val="both"/>
        <w:rPr>
          <w:rStyle w:val="33"/>
        </w:rPr>
      </w:pPr>
      <w:r>
        <w:rPr>
          <w:rStyle w:val="33"/>
        </w:rPr>
        <w:t>中韩（长春）国际合作示范区智能装备孵化基地项目财务管理制度健全，符合法律和法规的相关规定，财务制度的健全性对项目顺利实施提供保障。根据评分标准，此指标满分2分，得2分。</w:t>
      </w:r>
    </w:p>
    <w:p w14:paraId="2369A397">
      <w:pPr>
        <w:pStyle w:val="32"/>
        <w:spacing w:line="360" w:lineRule="auto"/>
        <w:ind w:firstLine="520"/>
        <w:jc w:val="both"/>
        <w:rPr>
          <w:rStyle w:val="33"/>
        </w:rPr>
      </w:pPr>
      <w:r>
        <w:rPr>
          <w:rStyle w:val="33"/>
        </w:rPr>
        <w:t>3.B3 资产管理</w:t>
      </w:r>
    </w:p>
    <w:p w14:paraId="64A05433">
      <w:pPr>
        <w:pStyle w:val="32"/>
        <w:spacing w:line="360" w:lineRule="auto"/>
        <w:ind w:firstLine="520"/>
        <w:jc w:val="both"/>
        <w:rPr>
          <w:rStyle w:val="33"/>
        </w:rPr>
      </w:pPr>
      <w:r>
        <w:rPr>
          <w:rStyle w:val="33"/>
        </w:rPr>
        <w:t>“资产管理”指标考核已完工项目资产确权及时性和已完工项目安全、完整性两个方面。指标的业绩值和绩效分值如下表所示：</w:t>
      </w:r>
    </w:p>
    <w:p w14:paraId="466CE5C5">
      <w:pPr>
        <w:pStyle w:val="32"/>
        <w:spacing w:line="360" w:lineRule="auto"/>
        <w:ind w:firstLine="520"/>
        <w:jc w:val="both"/>
        <w:rPr>
          <w:rStyle w:val="33"/>
        </w:rPr>
      </w:pPr>
    </w:p>
    <w:p w14:paraId="509BA6E6">
      <w:pPr>
        <w:pStyle w:val="32"/>
        <w:spacing w:line="360" w:lineRule="auto"/>
        <w:ind w:firstLine="520"/>
        <w:jc w:val="both"/>
        <w:rPr>
          <w:rStyle w:val="33"/>
        </w:rPr>
      </w:pPr>
    </w:p>
    <w:p w14:paraId="10746797">
      <w:pPr>
        <w:pStyle w:val="32"/>
        <w:spacing w:line="360" w:lineRule="auto"/>
        <w:ind w:firstLine="520"/>
        <w:jc w:val="both"/>
        <w:rPr>
          <w:rStyle w:val="33"/>
        </w:rPr>
      </w:pPr>
    </w:p>
    <w:tbl>
      <w:tblPr>
        <w:tblStyle w:val="21"/>
        <w:tblpPr w:leftFromText="180" w:rightFromText="180" w:vertAnchor="text" w:horzAnchor="margin" w:tblpXSpec="center" w:tblpY="7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9"/>
        <w:gridCol w:w="1622"/>
        <w:gridCol w:w="1461"/>
        <w:gridCol w:w="1865"/>
      </w:tblGrid>
      <w:tr w14:paraId="64B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0A7D8DF6">
            <w:pPr>
              <w:spacing w:before="22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84" w:type="pct"/>
          </w:tcPr>
          <w:p w14:paraId="0736EB68">
            <w:pPr>
              <w:spacing w:before="222"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796" w:type="pct"/>
          </w:tcPr>
          <w:p w14:paraId="54069350">
            <w:pPr>
              <w:spacing w:before="22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1016" w:type="pct"/>
          </w:tcPr>
          <w:p w14:paraId="458CD62B">
            <w:pPr>
              <w:spacing w:before="22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5774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4A907E6E">
            <w:pPr>
              <w:spacing w:before="213"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3</w:t>
            </w:r>
            <w:r>
              <w:rPr>
                <w:rFonts w:hint="eastAsia" w:ascii="宋体" w:hAnsi="宋体" w:eastAsia="宋体" w:cs="宋体"/>
                <w:spacing w:val="11"/>
              </w:rPr>
              <w:t xml:space="preserve"> </w:t>
            </w:r>
            <w:r>
              <w:rPr>
                <w:rFonts w:hint="eastAsia" w:ascii="宋体" w:hAnsi="宋体" w:eastAsia="宋体" w:cs="宋体"/>
                <w:spacing w:val="8"/>
              </w:rPr>
              <w:t>资产管理</w:t>
            </w:r>
          </w:p>
        </w:tc>
        <w:tc>
          <w:tcPr>
            <w:tcW w:w="884" w:type="pct"/>
            <w:vAlign w:val="center"/>
          </w:tcPr>
          <w:p w14:paraId="55A5F238">
            <w:pPr>
              <w:spacing w:before="246" w:line="190" w:lineRule="auto"/>
              <w:jc w:val="center"/>
              <w:rPr>
                <w:rFonts w:hint="eastAsia" w:ascii="宋体" w:hAnsi="宋体" w:eastAsia="宋体" w:cs="宋体"/>
              </w:rPr>
            </w:pPr>
            <w:r>
              <w:rPr>
                <w:rFonts w:hint="eastAsia" w:ascii="宋体" w:hAnsi="宋体" w:eastAsia="宋体" w:cs="宋体"/>
              </w:rPr>
              <w:t>4</w:t>
            </w:r>
          </w:p>
        </w:tc>
        <w:tc>
          <w:tcPr>
            <w:tcW w:w="796" w:type="pct"/>
            <w:vAlign w:val="center"/>
          </w:tcPr>
          <w:p w14:paraId="591B732E">
            <w:pPr>
              <w:spacing w:before="246" w:line="190" w:lineRule="auto"/>
              <w:jc w:val="center"/>
              <w:rPr>
                <w:rFonts w:hint="eastAsia" w:ascii="宋体" w:hAnsi="宋体" w:eastAsia="宋体" w:cs="宋体"/>
              </w:rPr>
            </w:pPr>
            <w:r>
              <w:rPr>
                <w:rFonts w:hint="eastAsia" w:ascii="宋体" w:hAnsi="宋体" w:eastAsia="宋体" w:cs="宋体"/>
              </w:rPr>
              <w:t>4</w:t>
            </w:r>
          </w:p>
        </w:tc>
        <w:tc>
          <w:tcPr>
            <w:tcW w:w="1016" w:type="pct"/>
            <w:vAlign w:val="center"/>
          </w:tcPr>
          <w:p w14:paraId="544D34A0">
            <w:pPr>
              <w:spacing w:before="24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45C2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01741E89">
            <w:pPr>
              <w:spacing w:before="213" w:line="229"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3</w:t>
            </w:r>
            <w:r>
              <w:rPr>
                <w:rFonts w:ascii="宋体" w:hAnsi="宋体" w:eastAsia="宋体" w:cs="宋体"/>
                <w:spacing w:val="8"/>
              </w:rPr>
              <w:t xml:space="preserve">01 </w:t>
            </w:r>
            <w:r>
              <w:rPr>
                <w:rFonts w:hint="eastAsia" w:ascii="宋体" w:hAnsi="宋体" w:eastAsia="宋体" w:cs="宋体"/>
                <w:spacing w:val="8"/>
              </w:rPr>
              <w:t>已完工项目资产确权及时性</w:t>
            </w:r>
          </w:p>
        </w:tc>
        <w:tc>
          <w:tcPr>
            <w:tcW w:w="884" w:type="pct"/>
            <w:vAlign w:val="center"/>
          </w:tcPr>
          <w:p w14:paraId="04F4AFF2">
            <w:pPr>
              <w:spacing w:before="246"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6E67F847">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472A4FD9">
            <w:pPr>
              <w:spacing w:before="24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4BFB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42D13EB7">
            <w:pPr>
              <w:spacing w:before="21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3</w:t>
            </w:r>
            <w:r>
              <w:rPr>
                <w:rFonts w:ascii="宋体" w:hAnsi="宋体" w:eastAsia="宋体" w:cs="宋体"/>
                <w:spacing w:val="8"/>
              </w:rPr>
              <w:t>02</w:t>
            </w:r>
            <w:r>
              <w:rPr>
                <w:rFonts w:hint="eastAsia" w:ascii="宋体" w:hAnsi="宋体" w:eastAsia="宋体" w:cs="宋体"/>
                <w:spacing w:val="8"/>
              </w:rPr>
              <w:t xml:space="preserve"> 已完工项目安全、完整性</w:t>
            </w:r>
          </w:p>
        </w:tc>
        <w:tc>
          <w:tcPr>
            <w:tcW w:w="884" w:type="pct"/>
            <w:vAlign w:val="center"/>
          </w:tcPr>
          <w:p w14:paraId="57E598F6">
            <w:pPr>
              <w:spacing w:before="249"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50A7E545">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47E575F0">
            <w:pPr>
              <w:spacing w:before="24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73EF9EA8">
      <w:pPr>
        <w:pStyle w:val="32"/>
        <w:spacing w:before="120" w:beforeLines="50" w:after="120" w:afterLines="50"/>
        <w:ind w:firstLine="520"/>
        <w:jc w:val="center"/>
      </w:pPr>
      <w:r>
        <w:t>“资产管理”指标业绩值及得分</w:t>
      </w:r>
    </w:p>
    <w:p w14:paraId="3D40E711">
      <w:pPr>
        <w:pStyle w:val="32"/>
        <w:spacing w:before="240" w:beforeLines="100" w:line="360" w:lineRule="auto"/>
        <w:ind w:firstLine="520"/>
        <w:jc w:val="both"/>
      </w:pPr>
      <w:r>
        <w:t>（1）B301 已完工项目资产确权及时性</w:t>
      </w:r>
    </w:p>
    <w:p w14:paraId="4768EA13">
      <w:pPr>
        <w:pStyle w:val="32"/>
        <w:spacing w:line="360" w:lineRule="auto"/>
        <w:ind w:firstLine="520"/>
        <w:jc w:val="both"/>
        <w:rPr>
          <w:b/>
          <w:bCs/>
        </w:rPr>
      </w:pPr>
      <w:r>
        <w:rPr>
          <w:rStyle w:val="33"/>
        </w:rPr>
        <w:t>中韩（长春）国际合作示范区智能装备孵化基地项目达到确权标准的资产4项，办完产权确认书的资产4项，已完工项目资产确权及时。</w:t>
      </w:r>
      <w:r>
        <w:t>根据评分标准，此指标满分2分，得2分。</w:t>
      </w:r>
    </w:p>
    <w:p w14:paraId="4F459DB3">
      <w:pPr>
        <w:pStyle w:val="32"/>
        <w:spacing w:line="360" w:lineRule="auto"/>
        <w:ind w:firstLine="520"/>
        <w:jc w:val="both"/>
      </w:pPr>
      <w:r>
        <w:t>（2）B302 已完工项目安全、完整性</w:t>
      </w:r>
    </w:p>
    <w:p w14:paraId="66F98EFF">
      <w:pPr>
        <w:pStyle w:val="32"/>
        <w:spacing w:line="360" w:lineRule="auto"/>
        <w:ind w:firstLine="520"/>
        <w:jc w:val="both"/>
        <w:rPr>
          <w:b/>
          <w:bCs/>
        </w:rPr>
      </w:pPr>
      <w:r>
        <w:rPr>
          <w:rStyle w:val="33"/>
        </w:rPr>
        <w:t>截至目前，未发现中韩（长春）国际合作示范区智能装备孵化基地项目中的资产被非法转移、对外抵押担保的情况，资产保持安全、完整。</w:t>
      </w:r>
      <w:r>
        <w:t>根据评分标准，此指标满分2分，得2分。</w:t>
      </w:r>
    </w:p>
    <w:p w14:paraId="0EA78C66">
      <w:pPr>
        <w:pStyle w:val="32"/>
        <w:spacing w:line="360" w:lineRule="auto"/>
        <w:ind w:firstLine="520"/>
        <w:jc w:val="both"/>
        <w:rPr>
          <w:rStyle w:val="33"/>
        </w:rPr>
      </w:pPr>
      <w:r>
        <w:rPr>
          <w:rStyle w:val="33"/>
        </w:rPr>
        <w:t>4.B4 项目管理</w:t>
      </w:r>
    </w:p>
    <w:p w14:paraId="61CD7D34">
      <w:pPr>
        <w:pStyle w:val="32"/>
        <w:spacing w:line="360" w:lineRule="auto"/>
        <w:ind w:firstLine="520"/>
        <w:jc w:val="both"/>
      </w:pPr>
      <w:r>
        <w:t>“项目管理”指标考核信息系统管理使用情况和及时办理工程结算和工程决算两个方面。指标的业绩值和绩效分值如下表所示：</w:t>
      </w:r>
    </w:p>
    <w:tbl>
      <w:tblPr>
        <w:tblStyle w:val="21"/>
        <w:tblpPr w:leftFromText="180" w:rightFromText="180" w:vertAnchor="text" w:horzAnchor="margin" w:tblpXSpec="center" w:tblpY="7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29"/>
        <w:gridCol w:w="1622"/>
        <w:gridCol w:w="1461"/>
        <w:gridCol w:w="1865"/>
      </w:tblGrid>
      <w:tr w14:paraId="2C1C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vAlign w:val="center"/>
          </w:tcPr>
          <w:p w14:paraId="041376B2">
            <w:pPr>
              <w:spacing w:before="22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84" w:type="pct"/>
            <w:vAlign w:val="center"/>
          </w:tcPr>
          <w:p w14:paraId="68E30ED8">
            <w:pPr>
              <w:spacing w:before="222"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796" w:type="pct"/>
            <w:vAlign w:val="center"/>
          </w:tcPr>
          <w:p w14:paraId="6F07E667">
            <w:pPr>
              <w:spacing w:before="22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1016" w:type="pct"/>
            <w:vAlign w:val="center"/>
          </w:tcPr>
          <w:p w14:paraId="324CC5F9">
            <w:pPr>
              <w:spacing w:before="22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11B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59739C07">
            <w:pPr>
              <w:spacing w:before="213"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 项目</w:t>
            </w:r>
            <w:r>
              <w:rPr>
                <w:rFonts w:hint="eastAsia" w:ascii="宋体" w:hAnsi="宋体" w:eastAsia="宋体" w:cs="宋体"/>
                <w:spacing w:val="8"/>
              </w:rPr>
              <w:t>管理</w:t>
            </w:r>
          </w:p>
        </w:tc>
        <w:tc>
          <w:tcPr>
            <w:tcW w:w="884" w:type="pct"/>
            <w:vAlign w:val="center"/>
          </w:tcPr>
          <w:p w14:paraId="00FC83E9">
            <w:pPr>
              <w:spacing w:before="246" w:line="190" w:lineRule="auto"/>
              <w:jc w:val="center"/>
              <w:rPr>
                <w:rFonts w:hint="eastAsia" w:ascii="宋体" w:hAnsi="宋体" w:eastAsia="宋体" w:cs="宋体"/>
              </w:rPr>
            </w:pPr>
            <w:r>
              <w:rPr>
                <w:rFonts w:hint="eastAsia" w:ascii="宋体" w:hAnsi="宋体" w:eastAsia="宋体" w:cs="宋体"/>
              </w:rPr>
              <w:t>4</w:t>
            </w:r>
          </w:p>
        </w:tc>
        <w:tc>
          <w:tcPr>
            <w:tcW w:w="796" w:type="pct"/>
            <w:vAlign w:val="center"/>
          </w:tcPr>
          <w:p w14:paraId="443910C6">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454D4360">
            <w:pPr>
              <w:spacing w:before="246" w:line="190" w:lineRule="auto"/>
              <w:jc w:val="center"/>
              <w:rPr>
                <w:rFonts w:hint="eastAsia" w:ascii="宋体" w:hAnsi="宋体" w:eastAsia="宋体" w:cs="宋体"/>
              </w:rPr>
            </w:pPr>
            <w:r>
              <w:rPr>
                <w:rFonts w:hint="eastAsia" w:ascii="宋体" w:hAnsi="宋体" w:eastAsia="宋体" w:cs="宋体"/>
              </w:rPr>
              <w:t>50</w:t>
            </w:r>
            <w:r>
              <w:rPr>
                <w:rFonts w:hint="eastAsia" w:ascii="宋体" w:hAnsi="宋体" w:eastAsia="宋体" w:cs="宋体"/>
                <w:lang w:val="en-US" w:eastAsia="zh-CN"/>
              </w:rPr>
              <w:t>.00</w:t>
            </w:r>
            <w:r>
              <w:rPr>
                <w:rFonts w:hint="eastAsia" w:ascii="宋体" w:hAnsi="宋体" w:eastAsia="宋体" w:cs="宋体"/>
              </w:rPr>
              <w:t>%</w:t>
            </w:r>
          </w:p>
        </w:tc>
      </w:tr>
      <w:tr w14:paraId="79C3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342113ED">
            <w:pPr>
              <w:spacing w:before="213" w:line="229"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w:t>
            </w:r>
            <w:r>
              <w:rPr>
                <w:rFonts w:ascii="宋体" w:hAnsi="宋体" w:eastAsia="宋体" w:cs="宋体"/>
                <w:spacing w:val="8"/>
              </w:rPr>
              <w:t>01</w:t>
            </w:r>
            <w:r>
              <w:rPr>
                <w:rFonts w:hint="eastAsia" w:ascii="宋体" w:hAnsi="宋体" w:eastAsia="宋体" w:cs="宋体"/>
                <w:spacing w:val="8"/>
              </w:rPr>
              <w:t xml:space="preserve"> 信息系统管理使用情况</w:t>
            </w:r>
          </w:p>
        </w:tc>
        <w:tc>
          <w:tcPr>
            <w:tcW w:w="884" w:type="pct"/>
            <w:vAlign w:val="center"/>
          </w:tcPr>
          <w:p w14:paraId="1018A0FE">
            <w:pPr>
              <w:spacing w:before="246"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7E3D24DD">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3C4F66F7">
            <w:pPr>
              <w:spacing w:before="246" w:line="190" w:lineRule="auto"/>
              <w:jc w:val="center"/>
              <w:rPr>
                <w:rFonts w:hint="eastAsia" w:ascii="宋体" w:hAnsi="宋体" w:eastAsia="宋体" w:cs="宋体"/>
              </w:rPr>
            </w:pPr>
            <w:r>
              <w:rPr>
                <w:rFonts w:hint="eastAsia" w:ascii="宋体" w:hAnsi="宋体" w:eastAsia="宋体" w:cs="宋体"/>
              </w:rPr>
              <w:t>100%</w:t>
            </w:r>
          </w:p>
        </w:tc>
      </w:tr>
      <w:tr w14:paraId="75C1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05C507FC">
            <w:pPr>
              <w:spacing w:before="215"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w:t>
            </w:r>
            <w:r>
              <w:rPr>
                <w:rFonts w:ascii="宋体" w:hAnsi="宋体" w:eastAsia="宋体" w:cs="宋体"/>
                <w:spacing w:val="8"/>
              </w:rPr>
              <w:t>02</w:t>
            </w:r>
            <w:r>
              <w:rPr>
                <w:rFonts w:hint="eastAsia" w:ascii="宋体" w:hAnsi="宋体" w:eastAsia="宋体" w:cs="宋体"/>
                <w:spacing w:val="8"/>
              </w:rPr>
              <w:t xml:space="preserve"> 及时办理工程结算和工程决算</w:t>
            </w:r>
          </w:p>
        </w:tc>
        <w:tc>
          <w:tcPr>
            <w:tcW w:w="884" w:type="pct"/>
            <w:vAlign w:val="center"/>
          </w:tcPr>
          <w:p w14:paraId="5F3DC707">
            <w:pPr>
              <w:spacing w:before="249"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4F16F028">
            <w:pPr>
              <w:spacing w:before="246" w:line="190" w:lineRule="auto"/>
              <w:jc w:val="center"/>
              <w:rPr>
                <w:rFonts w:hint="eastAsia" w:ascii="宋体" w:hAnsi="宋体" w:eastAsia="宋体" w:cs="宋体"/>
              </w:rPr>
            </w:pPr>
            <w:r>
              <w:rPr>
                <w:rFonts w:hint="eastAsia" w:ascii="宋体" w:hAnsi="宋体" w:eastAsia="宋体" w:cs="宋体"/>
              </w:rPr>
              <w:t>0</w:t>
            </w:r>
          </w:p>
        </w:tc>
        <w:tc>
          <w:tcPr>
            <w:tcW w:w="1016" w:type="pct"/>
            <w:vAlign w:val="center"/>
          </w:tcPr>
          <w:p w14:paraId="3925BFFD">
            <w:pPr>
              <w:spacing w:before="246" w:line="190" w:lineRule="auto"/>
              <w:jc w:val="center"/>
              <w:rPr>
                <w:rFonts w:hint="eastAsia" w:ascii="宋体" w:hAnsi="宋体" w:eastAsia="宋体" w:cs="宋体"/>
              </w:rPr>
            </w:pPr>
            <w:r>
              <w:rPr>
                <w:rFonts w:hint="eastAsia" w:ascii="宋体" w:hAnsi="宋体" w:eastAsia="宋体" w:cs="宋体"/>
                <w:spacing w:val="-8"/>
              </w:rPr>
              <w:t>-</w:t>
            </w:r>
          </w:p>
        </w:tc>
      </w:tr>
    </w:tbl>
    <w:p w14:paraId="7017148E">
      <w:pPr>
        <w:pStyle w:val="32"/>
        <w:spacing w:before="120" w:beforeLines="50" w:after="120" w:afterLines="50"/>
        <w:ind w:firstLine="520"/>
        <w:jc w:val="center"/>
      </w:pPr>
      <w:r>
        <w:t>“项目管理”指标业绩值及得分</w:t>
      </w:r>
    </w:p>
    <w:p w14:paraId="3CFB8984">
      <w:pPr>
        <w:pStyle w:val="32"/>
        <w:adjustRightInd/>
        <w:spacing w:before="240" w:beforeLines="100" w:line="360" w:lineRule="auto"/>
        <w:ind w:firstLine="520"/>
        <w:jc w:val="both"/>
      </w:pPr>
      <w:r>
        <w:t>（1）B401 信息系统管理使用情况</w:t>
      </w:r>
    </w:p>
    <w:p w14:paraId="27D9BE1C">
      <w:pPr>
        <w:pStyle w:val="32"/>
        <w:spacing w:line="360" w:lineRule="auto"/>
        <w:ind w:firstLine="520"/>
        <w:jc w:val="both"/>
      </w:pPr>
      <w:r>
        <w:rPr>
          <w:rStyle w:val="33"/>
        </w:rPr>
        <w:t>中韩（长春）国际合作示范区智能装备孵化基地项目</w:t>
      </w:r>
      <w:r>
        <w:t>按规定披露发行债券信息，按规定披露第三方评估信息。根据评分标准，此指标满分2分，得2分。</w:t>
      </w:r>
    </w:p>
    <w:p w14:paraId="44386B27">
      <w:pPr>
        <w:pStyle w:val="32"/>
        <w:spacing w:line="360" w:lineRule="auto"/>
        <w:ind w:firstLine="520"/>
        <w:jc w:val="both"/>
      </w:pPr>
      <w:r>
        <w:t>（2）B402 及时办理工程结算和工程决算</w:t>
      </w:r>
    </w:p>
    <w:p w14:paraId="39D41A6A">
      <w:pPr>
        <w:pStyle w:val="32"/>
        <w:spacing w:line="360" w:lineRule="auto"/>
        <w:ind w:firstLine="520"/>
        <w:jc w:val="both"/>
        <w:rPr>
          <w:b/>
          <w:bCs/>
        </w:rPr>
      </w:pPr>
      <w:r>
        <w:rPr>
          <w:rStyle w:val="33"/>
        </w:rPr>
        <w:t>中韩（长春）国际合作示范区智能装备孵化基地项目</w:t>
      </w:r>
      <w:r>
        <w:t>财务已转入固定资产核算，但已完工项目尚未进行工程结算和决算，工程结算和决算滞后，根据评分标准，此指标满分2分，得0分。</w:t>
      </w:r>
    </w:p>
    <w:p w14:paraId="75294C29">
      <w:pPr>
        <w:pStyle w:val="32"/>
        <w:spacing w:line="360" w:lineRule="auto"/>
        <w:ind w:firstLine="522"/>
        <w:jc w:val="both"/>
        <w:rPr>
          <w:b/>
          <w:bCs/>
        </w:rPr>
      </w:pPr>
      <w:r>
        <w:rPr>
          <w:b/>
          <w:bCs/>
        </w:rPr>
        <w:t>C．产出</w:t>
      </w:r>
    </w:p>
    <w:p w14:paraId="626F70F9">
      <w:pPr>
        <w:pStyle w:val="32"/>
        <w:spacing w:line="360" w:lineRule="auto"/>
        <w:ind w:firstLine="520"/>
        <w:jc w:val="both"/>
      </w:pPr>
      <w:r>
        <w:t>“产出”类指标分产出数量、产出质量、产出时效和产出成本四个方面进行考核。指标的业绩值和绩效分值如下表所示：</w:t>
      </w:r>
    </w:p>
    <w:p w14:paraId="29C2ABB1">
      <w:pPr>
        <w:pStyle w:val="32"/>
        <w:spacing w:before="120" w:beforeLines="50" w:after="120" w:afterLines="50"/>
        <w:ind w:firstLine="0" w:firstLineChars="0"/>
        <w:jc w:val="center"/>
      </w:pPr>
      <w:r>
        <w:t>“产出”类指标业绩值及得分</w:t>
      </w:r>
    </w:p>
    <w:p w14:paraId="5846B1E1">
      <w:pPr>
        <w:spacing w:line="42" w:lineRule="exact"/>
        <w:jc w:val="both"/>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48"/>
        <w:gridCol w:w="2226"/>
        <w:gridCol w:w="1369"/>
        <w:gridCol w:w="2434"/>
      </w:tblGrid>
      <w:tr w14:paraId="79FD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vAlign w:val="center"/>
          </w:tcPr>
          <w:p w14:paraId="4FC6CFF6">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213" w:type="pct"/>
            <w:vAlign w:val="center"/>
          </w:tcPr>
          <w:p w14:paraId="62EA43C3">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指标值</w:t>
            </w:r>
          </w:p>
        </w:tc>
        <w:tc>
          <w:tcPr>
            <w:tcW w:w="746" w:type="pct"/>
            <w:vAlign w:val="center"/>
          </w:tcPr>
          <w:p w14:paraId="280F40F9">
            <w:pPr>
              <w:spacing w:before="183" w:line="228" w:lineRule="auto"/>
              <w:jc w:val="center"/>
              <w:rPr>
                <w:rFonts w:hint="eastAsia" w:ascii="宋体" w:hAnsi="宋体" w:eastAsia="宋体" w:cs="宋体"/>
                <w:b/>
                <w:bCs/>
              </w:rPr>
            </w:pPr>
            <w:r>
              <w:rPr>
                <w:rFonts w:ascii="宋体" w:hAnsi="宋体" w:eastAsia="宋体" w:cs="宋体"/>
                <w:b/>
                <w:bCs/>
                <w:spacing w:val="-6"/>
              </w:rPr>
              <w:t>得分</w:t>
            </w:r>
          </w:p>
        </w:tc>
        <w:tc>
          <w:tcPr>
            <w:tcW w:w="1326" w:type="pct"/>
            <w:vAlign w:val="center"/>
          </w:tcPr>
          <w:p w14:paraId="47D935C5">
            <w:pPr>
              <w:spacing w:before="183" w:line="228" w:lineRule="auto"/>
              <w:jc w:val="center"/>
              <w:rPr>
                <w:rFonts w:hint="eastAsia" w:ascii="宋体" w:hAnsi="宋体" w:eastAsia="宋体" w:cs="宋体"/>
                <w:b/>
                <w:bCs/>
              </w:rPr>
            </w:pPr>
            <w:r>
              <w:rPr>
                <w:rFonts w:hint="eastAsia" w:ascii="宋体" w:hAnsi="宋体" w:eastAsia="宋体" w:cs="宋体"/>
                <w:b/>
                <w:bCs/>
                <w:spacing w:val="7"/>
              </w:rPr>
              <w:t>得分率</w:t>
            </w:r>
          </w:p>
        </w:tc>
      </w:tr>
      <w:tr w14:paraId="57E2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2A22BC49">
            <w:pPr>
              <w:spacing w:before="174" w:line="228" w:lineRule="auto"/>
              <w:ind w:left="108"/>
              <w:jc w:val="both"/>
              <w:rPr>
                <w:rFonts w:hint="eastAsia" w:ascii="宋体" w:hAnsi="宋体" w:eastAsia="宋体" w:cs="宋体"/>
              </w:rPr>
            </w:pPr>
            <w:r>
              <w:rPr>
                <w:rFonts w:ascii="宋体" w:hAnsi="宋体" w:eastAsia="宋体" w:cs="宋体"/>
              </w:rPr>
              <w:t>C</w:t>
            </w:r>
            <w:r>
              <w:rPr>
                <w:rFonts w:ascii="宋体" w:hAnsi="宋体" w:eastAsia="宋体" w:cs="宋体"/>
                <w:spacing w:val="8"/>
              </w:rPr>
              <w:t xml:space="preserve"> </w:t>
            </w:r>
            <w:r>
              <w:rPr>
                <w:rFonts w:ascii="宋体" w:hAnsi="宋体" w:eastAsia="宋体" w:cs="宋体"/>
                <w:spacing w:val="7"/>
              </w:rPr>
              <w:t>产出</w:t>
            </w:r>
          </w:p>
        </w:tc>
        <w:tc>
          <w:tcPr>
            <w:tcW w:w="1213" w:type="pct"/>
            <w:vAlign w:val="center"/>
          </w:tcPr>
          <w:p w14:paraId="0AEFE922">
            <w:pPr>
              <w:spacing w:before="208" w:line="190" w:lineRule="auto"/>
              <w:jc w:val="center"/>
              <w:rPr>
                <w:rFonts w:hint="eastAsia" w:ascii="宋体" w:hAnsi="宋体" w:eastAsia="宋体" w:cs="宋体"/>
              </w:rPr>
            </w:pPr>
            <w:r>
              <w:rPr>
                <w:rFonts w:hint="eastAsia" w:ascii="宋体" w:hAnsi="宋体" w:eastAsia="宋体" w:cs="宋体"/>
                <w:spacing w:val="-1"/>
              </w:rPr>
              <w:t>30</w:t>
            </w:r>
          </w:p>
        </w:tc>
        <w:tc>
          <w:tcPr>
            <w:tcW w:w="746" w:type="pct"/>
            <w:vAlign w:val="center"/>
          </w:tcPr>
          <w:p w14:paraId="1FC8DDCE">
            <w:pPr>
              <w:spacing w:before="208" w:line="190" w:lineRule="auto"/>
              <w:jc w:val="center"/>
              <w:rPr>
                <w:rFonts w:hint="eastAsia" w:ascii="宋体" w:hAnsi="宋体" w:eastAsia="宋体" w:cs="宋体"/>
                <w:spacing w:val="-1"/>
              </w:rPr>
            </w:pPr>
            <w:r>
              <w:rPr>
                <w:rFonts w:hint="eastAsia" w:ascii="宋体" w:hAnsi="宋体" w:eastAsia="宋体" w:cs="宋体"/>
                <w:spacing w:val="-1"/>
              </w:rPr>
              <w:t>30</w:t>
            </w:r>
          </w:p>
        </w:tc>
        <w:tc>
          <w:tcPr>
            <w:tcW w:w="1326" w:type="pct"/>
            <w:vAlign w:val="center"/>
          </w:tcPr>
          <w:p w14:paraId="091C864F">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6AE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63714902">
            <w:pPr>
              <w:spacing w:before="174" w:line="228" w:lineRule="auto"/>
              <w:ind w:left="108"/>
              <w:jc w:val="both"/>
              <w:rPr>
                <w:rFonts w:hint="eastAsia" w:ascii="宋体" w:hAnsi="宋体" w:eastAsia="宋体" w:cs="宋体"/>
              </w:rPr>
            </w:pPr>
            <w:r>
              <w:rPr>
                <w:rFonts w:ascii="宋体" w:hAnsi="宋体" w:eastAsia="宋体" w:cs="宋体"/>
              </w:rPr>
              <w:t>C</w:t>
            </w:r>
            <w:r>
              <w:rPr>
                <w:rFonts w:ascii="宋体" w:hAnsi="宋体" w:eastAsia="宋体" w:cs="宋体"/>
                <w:spacing w:val="8"/>
              </w:rPr>
              <w:t>1 产出数量</w:t>
            </w:r>
          </w:p>
        </w:tc>
        <w:tc>
          <w:tcPr>
            <w:tcW w:w="1213" w:type="pct"/>
            <w:vAlign w:val="center"/>
          </w:tcPr>
          <w:p w14:paraId="40DF8FB7">
            <w:pPr>
              <w:spacing w:before="208" w:line="190" w:lineRule="auto"/>
              <w:jc w:val="center"/>
              <w:rPr>
                <w:rFonts w:hint="eastAsia" w:ascii="宋体" w:hAnsi="宋体" w:eastAsia="宋体" w:cs="宋体"/>
                <w:spacing w:val="-1"/>
              </w:rPr>
            </w:pPr>
            <w:r>
              <w:rPr>
                <w:rFonts w:hint="eastAsia" w:ascii="宋体" w:hAnsi="宋体" w:eastAsia="宋体" w:cs="宋体"/>
                <w:spacing w:val="-1"/>
              </w:rPr>
              <w:t>9</w:t>
            </w:r>
          </w:p>
        </w:tc>
        <w:tc>
          <w:tcPr>
            <w:tcW w:w="746" w:type="pct"/>
            <w:vAlign w:val="center"/>
          </w:tcPr>
          <w:p w14:paraId="6D29164F">
            <w:pPr>
              <w:spacing w:before="208" w:line="190" w:lineRule="auto"/>
              <w:jc w:val="center"/>
              <w:rPr>
                <w:rFonts w:hint="eastAsia" w:ascii="宋体" w:hAnsi="宋体" w:eastAsia="宋体" w:cs="宋体"/>
                <w:spacing w:val="-1"/>
              </w:rPr>
            </w:pPr>
            <w:r>
              <w:rPr>
                <w:rFonts w:hint="eastAsia" w:ascii="宋体" w:hAnsi="宋体" w:eastAsia="宋体" w:cs="宋体"/>
                <w:spacing w:val="-1"/>
              </w:rPr>
              <w:t>9</w:t>
            </w:r>
          </w:p>
        </w:tc>
        <w:tc>
          <w:tcPr>
            <w:tcW w:w="1326" w:type="pct"/>
            <w:vAlign w:val="center"/>
          </w:tcPr>
          <w:p w14:paraId="059949FE">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34FB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3B0F5EFC">
            <w:pPr>
              <w:spacing w:before="175"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2 产出质量</w:t>
            </w:r>
          </w:p>
        </w:tc>
        <w:tc>
          <w:tcPr>
            <w:tcW w:w="1213" w:type="pct"/>
            <w:vAlign w:val="center"/>
          </w:tcPr>
          <w:p w14:paraId="0DB8B3C6">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746" w:type="pct"/>
            <w:vAlign w:val="center"/>
          </w:tcPr>
          <w:p w14:paraId="2782E14D">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1326" w:type="pct"/>
            <w:vAlign w:val="center"/>
          </w:tcPr>
          <w:p w14:paraId="69D6268E">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653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715" w:type="pct"/>
          </w:tcPr>
          <w:p w14:paraId="1BBD1A17">
            <w:pPr>
              <w:spacing w:before="175"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3</w:t>
            </w:r>
            <w:r>
              <w:rPr>
                <w:rFonts w:ascii="宋体" w:hAnsi="宋体" w:eastAsia="宋体" w:cs="宋体"/>
                <w:spacing w:val="8"/>
              </w:rPr>
              <w:t xml:space="preserve"> 产出时效</w:t>
            </w:r>
          </w:p>
        </w:tc>
        <w:tc>
          <w:tcPr>
            <w:tcW w:w="1213" w:type="pct"/>
            <w:vAlign w:val="center"/>
          </w:tcPr>
          <w:p w14:paraId="282E2249">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746" w:type="pct"/>
            <w:vAlign w:val="center"/>
          </w:tcPr>
          <w:p w14:paraId="6FECFF56">
            <w:pPr>
              <w:spacing w:before="208" w:line="190" w:lineRule="auto"/>
              <w:jc w:val="center"/>
              <w:rPr>
                <w:rFonts w:hint="eastAsia" w:ascii="宋体" w:hAnsi="宋体" w:eastAsia="宋体" w:cs="宋体"/>
                <w:spacing w:val="-1"/>
              </w:rPr>
            </w:pPr>
            <w:r>
              <w:rPr>
                <w:rFonts w:hint="eastAsia" w:ascii="宋体" w:hAnsi="宋体" w:eastAsia="宋体" w:cs="宋体"/>
                <w:spacing w:val="-1"/>
              </w:rPr>
              <w:t>4</w:t>
            </w:r>
          </w:p>
        </w:tc>
        <w:tc>
          <w:tcPr>
            <w:tcW w:w="1326" w:type="pct"/>
            <w:vAlign w:val="center"/>
          </w:tcPr>
          <w:p w14:paraId="0B904B46">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233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468987A8">
            <w:pPr>
              <w:spacing w:before="178" w:line="227"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4</w:t>
            </w:r>
            <w:r>
              <w:rPr>
                <w:rFonts w:ascii="宋体" w:hAnsi="宋体" w:eastAsia="宋体" w:cs="宋体"/>
                <w:spacing w:val="8"/>
              </w:rPr>
              <w:t xml:space="preserve"> 产出成本</w:t>
            </w:r>
          </w:p>
        </w:tc>
        <w:tc>
          <w:tcPr>
            <w:tcW w:w="1213" w:type="pct"/>
            <w:vAlign w:val="center"/>
          </w:tcPr>
          <w:p w14:paraId="5CB3A76E">
            <w:pPr>
              <w:spacing w:before="208" w:line="190" w:lineRule="auto"/>
              <w:jc w:val="center"/>
              <w:rPr>
                <w:rFonts w:hint="eastAsia" w:ascii="宋体" w:hAnsi="宋体" w:eastAsia="宋体" w:cs="宋体"/>
                <w:spacing w:val="-1"/>
              </w:rPr>
            </w:pPr>
            <w:r>
              <w:rPr>
                <w:rFonts w:hint="eastAsia" w:ascii="宋体" w:hAnsi="宋体" w:eastAsia="宋体" w:cs="宋体"/>
                <w:spacing w:val="-1"/>
              </w:rPr>
              <w:t>5</w:t>
            </w:r>
          </w:p>
        </w:tc>
        <w:tc>
          <w:tcPr>
            <w:tcW w:w="746" w:type="pct"/>
            <w:vAlign w:val="center"/>
          </w:tcPr>
          <w:p w14:paraId="3ABBE3DB">
            <w:pPr>
              <w:spacing w:before="208" w:line="190" w:lineRule="auto"/>
              <w:jc w:val="center"/>
              <w:rPr>
                <w:rFonts w:hint="eastAsia" w:ascii="宋体" w:hAnsi="宋体" w:eastAsia="宋体" w:cs="宋体"/>
                <w:spacing w:val="-1"/>
              </w:rPr>
            </w:pPr>
            <w:r>
              <w:rPr>
                <w:rFonts w:hint="eastAsia" w:ascii="宋体" w:hAnsi="宋体" w:eastAsia="宋体" w:cs="宋体"/>
                <w:spacing w:val="-1"/>
              </w:rPr>
              <w:t>9</w:t>
            </w:r>
          </w:p>
        </w:tc>
        <w:tc>
          <w:tcPr>
            <w:tcW w:w="1326" w:type="pct"/>
            <w:vAlign w:val="center"/>
          </w:tcPr>
          <w:p w14:paraId="37B8B0B2">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bl>
    <w:p w14:paraId="62545A6A">
      <w:pPr>
        <w:numPr>
          <w:ilvl w:val="0"/>
          <w:numId w:val="16"/>
        </w:numPr>
        <w:spacing w:before="240" w:beforeLines="100"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C1 产出数量</w:t>
      </w:r>
    </w:p>
    <w:p w14:paraId="0508AF50">
      <w:pPr>
        <w:pStyle w:val="32"/>
        <w:spacing w:line="360" w:lineRule="auto"/>
        <w:ind w:firstLine="520"/>
        <w:jc w:val="both"/>
      </w:pPr>
      <w:r>
        <w:t>“产出数量”指标项目完工后实际出租面积占实际使用面积的比例：</w:t>
      </w:r>
    </w:p>
    <w:p w14:paraId="09FB9833">
      <w:pPr>
        <w:spacing w:before="120" w:beforeLines="50" w:after="120" w:afterLines="50" w:line="360" w:lineRule="auto"/>
        <w:ind w:left="2801" w:firstLine="280" w:firstLineChars="100"/>
        <w:jc w:val="both"/>
        <w:rPr>
          <w:rFonts w:hint="eastAsia" w:ascii="宋体" w:hAnsi="宋体" w:eastAsia="宋体" w:cs="宋体"/>
          <w:spacing w:val="20"/>
          <w:sz w:val="24"/>
          <w:szCs w:val="23"/>
        </w:rPr>
      </w:pPr>
      <w:r>
        <w:rPr>
          <w:rFonts w:hint="eastAsia" w:ascii="宋体" w:hAnsi="宋体" w:eastAsia="宋体" w:cs="宋体"/>
          <w:spacing w:val="20"/>
          <w:sz w:val="24"/>
          <w:szCs w:val="23"/>
        </w:rPr>
        <w:t>“产出数量”指标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2397"/>
        <w:gridCol w:w="1877"/>
        <w:gridCol w:w="1878"/>
      </w:tblGrid>
      <w:tr w14:paraId="0BBF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1" w:type="pct"/>
            <w:shd w:val="clear" w:color="auto" w:fill="auto"/>
            <w:vAlign w:val="center"/>
          </w:tcPr>
          <w:p w14:paraId="140A867D">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  标</w:t>
            </w:r>
          </w:p>
        </w:tc>
        <w:tc>
          <w:tcPr>
            <w:tcW w:w="1277" w:type="pct"/>
            <w:shd w:val="clear" w:color="auto" w:fill="auto"/>
            <w:vAlign w:val="center"/>
          </w:tcPr>
          <w:p w14:paraId="72D63875">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指标分值</w:t>
            </w:r>
          </w:p>
        </w:tc>
        <w:tc>
          <w:tcPr>
            <w:tcW w:w="1000" w:type="pct"/>
            <w:shd w:val="clear" w:color="auto" w:fill="auto"/>
            <w:vAlign w:val="center"/>
          </w:tcPr>
          <w:p w14:paraId="1F40D28C">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w:t>
            </w:r>
          </w:p>
        </w:tc>
        <w:tc>
          <w:tcPr>
            <w:tcW w:w="1000" w:type="pct"/>
            <w:shd w:val="clear" w:color="auto" w:fill="auto"/>
            <w:vAlign w:val="center"/>
          </w:tcPr>
          <w:p w14:paraId="14DA0A05">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得分率</w:t>
            </w:r>
          </w:p>
        </w:tc>
      </w:tr>
      <w:tr w14:paraId="52B1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1" w:type="pct"/>
            <w:shd w:val="clear" w:color="auto" w:fill="auto"/>
            <w:vAlign w:val="center"/>
          </w:tcPr>
          <w:p w14:paraId="4063A49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 产出数量</w:t>
            </w:r>
          </w:p>
        </w:tc>
        <w:tc>
          <w:tcPr>
            <w:tcW w:w="1277" w:type="pct"/>
            <w:shd w:val="clear" w:color="auto" w:fill="auto"/>
            <w:vAlign w:val="center"/>
          </w:tcPr>
          <w:p w14:paraId="49AE3522">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9</w:t>
            </w:r>
          </w:p>
        </w:tc>
        <w:tc>
          <w:tcPr>
            <w:tcW w:w="1000" w:type="pct"/>
            <w:shd w:val="clear" w:color="auto" w:fill="auto"/>
            <w:vAlign w:val="center"/>
          </w:tcPr>
          <w:p w14:paraId="3B3931F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9</w:t>
            </w:r>
          </w:p>
        </w:tc>
        <w:tc>
          <w:tcPr>
            <w:tcW w:w="1000" w:type="pct"/>
            <w:shd w:val="clear" w:color="auto" w:fill="auto"/>
            <w:vAlign w:val="center"/>
          </w:tcPr>
          <w:p w14:paraId="1C3FB28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p>
        </w:tc>
      </w:tr>
      <w:tr w14:paraId="0B39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1" w:type="pct"/>
            <w:shd w:val="clear" w:color="auto" w:fill="auto"/>
            <w:vAlign w:val="center"/>
          </w:tcPr>
          <w:p w14:paraId="76E7804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C101 租赁率</w:t>
            </w:r>
          </w:p>
        </w:tc>
        <w:tc>
          <w:tcPr>
            <w:tcW w:w="1277" w:type="pct"/>
            <w:shd w:val="clear" w:color="auto" w:fill="auto"/>
            <w:vAlign w:val="center"/>
          </w:tcPr>
          <w:p w14:paraId="2A325ACD">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9</w:t>
            </w:r>
          </w:p>
        </w:tc>
        <w:tc>
          <w:tcPr>
            <w:tcW w:w="1000" w:type="pct"/>
            <w:shd w:val="clear" w:color="auto" w:fill="auto"/>
            <w:vAlign w:val="center"/>
          </w:tcPr>
          <w:p w14:paraId="68D226F0">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9</w:t>
            </w:r>
          </w:p>
        </w:tc>
        <w:tc>
          <w:tcPr>
            <w:tcW w:w="1000" w:type="pct"/>
            <w:shd w:val="clear" w:color="auto" w:fill="auto"/>
            <w:vAlign w:val="center"/>
          </w:tcPr>
          <w:p w14:paraId="612CB56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p>
        </w:tc>
      </w:tr>
    </w:tbl>
    <w:p w14:paraId="2A92C76B">
      <w:pPr>
        <w:pStyle w:val="32"/>
        <w:spacing w:before="240" w:beforeLines="100" w:line="360" w:lineRule="auto"/>
        <w:ind w:firstLine="520"/>
        <w:jc w:val="both"/>
      </w:pPr>
      <w:r>
        <w:t>产出数量指标方面，根据验收资料，项目工程交付使用总用地面积60</w:t>
      </w:r>
      <w:r>
        <w:rPr>
          <w:rFonts w:hint="eastAsia"/>
          <w:lang w:val="en-US" w:eastAsia="zh-CN"/>
        </w:rPr>
        <w:t>,</w:t>
      </w:r>
      <w:r>
        <w:t>000</w:t>
      </w:r>
      <w:r>
        <w:rPr>
          <w:rFonts w:hint="eastAsia"/>
          <w:lang w:val="en-US" w:eastAsia="zh-CN"/>
        </w:rPr>
        <w:t>.00</w:t>
      </w:r>
      <w:r>
        <w:t>平方米，总建筑面积为35</w:t>
      </w:r>
      <w:r>
        <w:rPr>
          <w:rFonts w:hint="eastAsia"/>
          <w:lang w:val="en-US" w:eastAsia="zh-CN"/>
        </w:rPr>
        <w:t>,</w:t>
      </w:r>
      <w:r>
        <w:t>165.26平方米，地上13栋建筑物，根据租赁合同，资产已全部租赁。</w:t>
      </w:r>
    </w:p>
    <w:p w14:paraId="7A49ECC2">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2</w:t>
      </w:r>
      <w:r>
        <w:rPr>
          <w:rFonts w:ascii="宋体" w:hAnsi="宋体" w:eastAsia="宋体" w:cs="宋体"/>
          <w:spacing w:val="9"/>
          <w:sz w:val="23"/>
          <w:szCs w:val="23"/>
        </w:rPr>
        <w:t xml:space="preserve"> 产出</w:t>
      </w:r>
      <w:r>
        <w:rPr>
          <w:rFonts w:hint="eastAsia" w:ascii="宋体" w:hAnsi="宋体" w:eastAsia="宋体" w:cs="宋体"/>
          <w:spacing w:val="9"/>
          <w:sz w:val="23"/>
          <w:szCs w:val="23"/>
        </w:rPr>
        <w:t>质量</w:t>
      </w:r>
    </w:p>
    <w:p w14:paraId="07683DAE">
      <w:pPr>
        <w:pStyle w:val="2"/>
        <w:spacing w:line="360" w:lineRule="auto"/>
        <w:ind w:firstLine="480" w:firstLineChars="200"/>
        <w:jc w:val="both"/>
        <w:outlineLvl w:val="9"/>
        <w:rPr>
          <w:b w:val="0"/>
          <w:bCs w:val="0"/>
          <w:sz w:val="24"/>
          <w:szCs w:val="24"/>
        </w:rPr>
      </w:pPr>
      <w:r>
        <w:rPr>
          <w:rFonts w:hint="eastAsia"/>
          <w:b w:val="0"/>
          <w:bCs w:val="0"/>
          <w:sz w:val="24"/>
          <w:szCs w:val="24"/>
        </w:rPr>
        <w:t>“产出质量”指标考核项目质量、安全施工方面和竣工项目验收合格率两个方面情况。指标的业绩值和绩效分值如下表所示：</w:t>
      </w:r>
    </w:p>
    <w:p w14:paraId="5B817091">
      <w:pPr>
        <w:spacing w:line="360" w:lineRule="auto"/>
        <w:jc w:val="center"/>
        <w:rPr>
          <w:rFonts w:hint="eastAsia" w:ascii="宋体" w:hAnsi="宋体" w:eastAsia="宋体" w:cs="宋体"/>
          <w:spacing w:val="20"/>
          <w:sz w:val="24"/>
          <w:szCs w:val="23"/>
        </w:rPr>
      </w:pPr>
      <w:r>
        <w:rPr>
          <w:rFonts w:hint="eastAsia" w:ascii="宋体" w:hAnsi="宋体" w:eastAsia="宋体" w:cs="宋体"/>
          <w:spacing w:val="20"/>
          <w:sz w:val="24"/>
          <w:szCs w:val="23"/>
        </w:rPr>
        <w:t>“产出质量”指标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2397"/>
        <w:gridCol w:w="1877"/>
        <w:gridCol w:w="1878"/>
      </w:tblGrid>
      <w:tr w14:paraId="43E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1" w:type="pct"/>
            <w:shd w:val="clear" w:color="auto" w:fill="auto"/>
            <w:vAlign w:val="center"/>
          </w:tcPr>
          <w:p w14:paraId="0FC83EAC">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  标</w:t>
            </w:r>
          </w:p>
        </w:tc>
        <w:tc>
          <w:tcPr>
            <w:tcW w:w="1277" w:type="pct"/>
            <w:shd w:val="clear" w:color="auto" w:fill="auto"/>
            <w:vAlign w:val="center"/>
          </w:tcPr>
          <w:p w14:paraId="101917B7">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指标分值</w:t>
            </w:r>
          </w:p>
        </w:tc>
        <w:tc>
          <w:tcPr>
            <w:tcW w:w="1000" w:type="pct"/>
            <w:shd w:val="clear" w:color="auto" w:fill="auto"/>
            <w:vAlign w:val="center"/>
          </w:tcPr>
          <w:p w14:paraId="2DAF890B">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w:t>
            </w:r>
          </w:p>
        </w:tc>
        <w:tc>
          <w:tcPr>
            <w:tcW w:w="1000" w:type="pct"/>
            <w:shd w:val="clear" w:color="auto" w:fill="auto"/>
            <w:vAlign w:val="center"/>
          </w:tcPr>
          <w:p w14:paraId="4229425D">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得分率</w:t>
            </w:r>
          </w:p>
        </w:tc>
      </w:tr>
      <w:tr w14:paraId="174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1" w:type="pct"/>
            <w:shd w:val="clear" w:color="auto" w:fill="auto"/>
            <w:vAlign w:val="center"/>
          </w:tcPr>
          <w:p w14:paraId="12A3F08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 产出质量</w:t>
            </w:r>
          </w:p>
        </w:tc>
        <w:tc>
          <w:tcPr>
            <w:tcW w:w="1277" w:type="pct"/>
            <w:shd w:val="clear" w:color="auto" w:fill="auto"/>
            <w:vAlign w:val="center"/>
          </w:tcPr>
          <w:p w14:paraId="364E6D17">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79BBD83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3663373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napToGrid/>
              </w:rPr>
              <w:t>%</w:t>
            </w:r>
          </w:p>
        </w:tc>
      </w:tr>
      <w:tr w14:paraId="7BE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1" w:type="pct"/>
            <w:shd w:val="clear" w:color="auto" w:fill="auto"/>
            <w:vAlign w:val="center"/>
          </w:tcPr>
          <w:p w14:paraId="078E725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C201 厂房及设备完好率</w:t>
            </w:r>
          </w:p>
        </w:tc>
        <w:tc>
          <w:tcPr>
            <w:tcW w:w="1277" w:type="pct"/>
            <w:shd w:val="clear" w:color="auto" w:fill="auto"/>
            <w:vAlign w:val="center"/>
          </w:tcPr>
          <w:p w14:paraId="7EC66992">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1CCCF5AF">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7DFA06EC">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napToGrid/>
              </w:rPr>
              <w:t>%</w:t>
            </w:r>
          </w:p>
        </w:tc>
      </w:tr>
    </w:tbl>
    <w:p w14:paraId="658AD7A8">
      <w:pPr>
        <w:spacing w:before="240" w:beforeLines="100" w:line="360" w:lineRule="auto"/>
        <w:ind w:firstLine="508" w:firstLineChars="200"/>
        <w:jc w:val="both"/>
        <w:rPr>
          <w:rFonts w:hint="eastAsia" w:ascii="宋体" w:hAnsi="宋体" w:eastAsia="宋体" w:cs="宋体"/>
          <w:spacing w:val="12"/>
          <w:sz w:val="23"/>
          <w:szCs w:val="23"/>
        </w:rPr>
      </w:pPr>
      <w:r>
        <w:rPr>
          <w:rFonts w:hint="eastAsia" w:ascii="宋体" w:hAnsi="宋体" w:eastAsia="宋体" w:cs="宋体"/>
          <w:spacing w:val="12"/>
          <w:sz w:val="23"/>
          <w:szCs w:val="23"/>
        </w:rPr>
        <w:t>（1）C</w:t>
      </w:r>
      <w:r>
        <w:rPr>
          <w:rFonts w:ascii="宋体" w:hAnsi="宋体" w:eastAsia="宋体" w:cs="宋体"/>
          <w:spacing w:val="12"/>
          <w:sz w:val="23"/>
          <w:szCs w:val="23"/>
        </w:rPr>
        <w:t xml:space="preserve">201 </w:t>
      </w:r>
      <w:r>
        <w:rPr>
          <w:rFonts w:hint="eastAsia" w:ascii="宋体" w:hAnsi="宋体" w:eastAsia="宋体" w:cs="宋体"/>
          <w:spacing w:val="12"/>
          <w:sz w:val="23"/>
          <w:szCs w:val="23"/>
        </w:rPr>
        <w:t>厂房及设备完好率</w:t>
      </w:r>
    </w:p>
    <w:p w14:paraId="4833A01A">
      <w:pPr>
        <w:pStyle w:val="32"/>
        <w:spacing w:line="360" w:lineRule="auto"/>
        <w:ind w:firstLine="520"/>
        <w:jc w:val="both"/>
        <w:rPr>
          <w:spacing w:val="9"/>
          <w:sz w:val="23"/>
        </w:rPr>
      </w:pPr>
      <w:r>
        <w:rPr>
          <w:rStyle w:val="33"/>
        </w:rPr>
        <w:t>中韩（长春）国际合作示范区智能装备孵化基地项目</w:t>
      </w:r>
      <w:r>
        <w:t>在2024年期间未受到相关部门因项目质量、安全施工方面的处罚。根据对项目单位巡检报告及维护支出</w:t>
      </w:r>
      <w:r>
        <w:rPr>
          <w:rFonts w:hint="eastAsia"/>
          <w:lang w:eastAsia="zh-CN"/>
        </w:rPr>
        <w:t>明细账</w:t>
      </w:r>
      <w:r>
        <w:t>调阅，未</w:t>
      </w:r>
      <w:r>
        <w:rPr>
          <w:rFonts w:hint="eastAsia"/>
          <w:lang w:eastAsia="zh-CN"/>
        </w:rPr>
        <w:t>发现</w:t>
      </w:r>
      <w:r>
        <w:t>后期大修情况。根据评分标准，此指标满分8分，得8分</w:t>
      </w:r>
    </w:p>
    <w:p w14:paraId="53C79C30">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3</w:t>
      </w:r>
      <w:r>
        <w:rPr>
          <w:rFonts w:ascii="宋体" w:hAnsi="宋体" w:eastAsia="宋体" w:cs="宋体"/>
          <w:spacing w:val="9"/>
          <w:sz w:val="23"/>
          <w:szCs w:val="23"/>
        </w:rPr>
        <w:t xml:space="preserve"> 产出时效</w:t>
      </w:r>
    </w:p>
    <w:p w14:paraId="324BCCC0">
      <w:pPr>
        <w:pStyle w:val="32"/>
        <w:spacing w:line="360" w:lineRule="auto"/>
        <w:ind w:firstLine="520"/>
        <w:jc w:val="both"/>
      </w:pPr>
      <w:r>
        <w:t>“产出时效”指标考核项目开工及时性和项目按计划完工及时率两个方面情况。指标的业绩值和绩效分值如下表所示：</w:t>
      </w:r>
    </w:p>
    <w:p w14:paraId="0A251D6B">
      <w:pPr>
        <w:spacing w:before="120" w:beforeLines="50" w:after="120" w:afterLines="50" w:line="360" w:lineRule="auto"/>
        <w:jc w:val="center"/>
        <w:rPr>
          <w:rFonts w:hint="eastAsia"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0"/>
          <w:sz w:val="23"/>
          <w:szCs w:val="23"/>
        </w:rPr>
        <w:t>产出时效”指标业绩值及得分</w:t>
      </w:r>
    </w:p>
    <w:p w14:paraId="10DA560B">
      <w:pPr>
        <w:spacing w:line="43" w:lineRule="exact"/>
        <w:jc w:val="both"/>
      </w:pPr>
    </w:p>
    <w:tbl>
      <w:tblPr>
        <w:tblStyle w:val="21"/>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86"/>
        <w:gridCol w:w="1533"/>
        <w:gridCol w:w="1531"/>
        <w:gridCol w:w="1836"/>
      </w:tblGrid>
      <w:tr w14:paraId="79DB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vAlign w:val="center"/>
          </w:tcPr>
          <w:p w14:paraId="78AFB00A">
            <w:pPr>
              <w:spacing w:before="18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34" w:type="pct"/>
            <w:vAlign w:val="center"/>
          </w:tcPr>
          <w:p w14:paraId="6431437B">
            <w:pPr>
              <w:spacing w:before="182" w:line="228" w:lineRule="auto"/>
              <w:jc w:val="center"/>
              <w:rPr>
                <w:rFonts w:hint="eastAsia" w:ascii="宋体" w:hAnsi="宋体" w:eastAsia="宋体" w:cs="宋体"/>
                <w:b/>
                <w:bCs/>
              </w:rPr>
            </w:pPr>
            <w:r>
              <w:rPr>
                <w:rFonts w:hint="eastAsia" w:ascii="宋体" w:hAnsi="宋体" w:eastAsia="宋体" w:cs="宋体"/>
                <w:b/>
                <w:bCs/>
                <w:spacing w:val="5"/>
              </w:rPr>
              <w:t>指</w:t>
            </w:r>
            <w:r>
              <w:rPr>
                <w:rFonts w:ascii="宋体" w:hAnsi="宋体" w:eastAsia="宋体" w:cs="宋体"/>
                <w:b/>
                <w:bCs/>
                <w:spacing w:val="5"/>
              </w:rPr>
              <w:t>标分值</w:t>
            </w:r>
          </w:p>
        </w:tc>
        <w:tc>
          <w:tcPr>
            <w:tcW w:w="833" w:type="pct"/>
            <w:vAlign w:val="center"/>
          </w:tcPr>
          <w:p w14:paraId="7AAF1AEE">
            <w:pPr>
              <w:spacing w:before="18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99" w:type="pct"/>
            <w:vAlign w:val="center"/>
          </w:tcPr>
          <w:p w14:paraId="6A0A37C0">
            <w:pPr>
              <w:spacing w:before="18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563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tcPr>
          <w:p w14:paraId="5828B48E">
            <w:pPr>
              <w:spacing w:before="174"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rPr>
              <w:t>3</w:t>
            </w:r>
            <w:r>
              <w:rPr>
                <w:rFonts w:ascii="宋体" w:hAnsi="宋体" w:eastAsia="宋体" w:cs="宋体"/>
                <w:spacing w:val="8"/>
              </w:rPr>
              <w:t xml:space="preserve"> 产出时效</w:t>
            </w:r>
          </w:p>
        </w:tc>
        <w:tc>
          <w:tcPr>
            <w:tcW w:w="834" w:type="pct"/>
            <w:vAlign w:val="center"/>
          </w:tcPr>
          <w:p w14:paraId="05BE160C">
            <w:pPr>
              <w:spacing w:before="209" w:line="189" w:lineRule="auto"/>
              <w:jc w:val="center"/>
              <w:rPr>
                <w:rFonts w:hint="eastAsia" w:ascii="宋体" w:hAnsi="宋体" w:eastAsia="宋体" w:cs="宋体"/>
              </w:rPr>
            </w:pPr>
            <w:r>
              <w:rPr>
                <w:rFonts w:hint="eastAsia" w:ascii="宋体" w:hAnsi="宋体" w:eastAsia="宋体" w:cs="宋体"/>
              </w:rPr>
              <w:t>8</w:t>
            </w:r>
          </w:p>
        </w:tc>
        <w:tc>
          <w:tcPr>
            <w:tcW w:w="833" w:type="pct"/>
            <w:vAlign w:val="center"/>
          </w:tcPr>
          <w:p w14:paraId="4F995BBB">
            <w:pPr>
              <w:spacing w:before="209" w:line="189" w:lineRule="auto"/>
              <w:jc w:val="center"/>
              <w:rPr>
                <w:rFonts w:hint="eastAsia" w:ascii="宋体" w:hAnsi="宋体" w:eastAsia="宋体" w:cs="宋体"/>
              </w:rPr>
            </w:pPr>
            <w:r>
              <w:rPr>
                <w:rFonts w:hint="eastAsia" w:ascii="宋体" w:hAnsi="宋体" w:eastAsia="宋体" w:cs="宋体"/>
              </w:rPr>
              <w:t>8</w:t>
            </w:r>
          </w:p>
        </w:tc>
        <w:tc>
          <w:tcPr>
            <w:tcW w:w="999" w:type="pct"/>
            <w:vAlign w:val="center"/>
          </w:tcPr>
          <w:p w14:paraId="36E6A1DA">
            <w:pPr>
              <w:spacing w:before="209" w:line="189"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59C4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tcPr>
          <w:p w14:paraId="78D790A1">
            <w:pPr>
              <w:spacing w:before="176"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rPr>
              <w:t>3</w:t>
            </w:r>
            <w:r>
              <w:rPr>
                <w:rFonts w:ascii="宋体" w:hAnsi="宋体" w:eastAsia="宋体" w:cs="宋体"/>
                <w:spacing w:val="3"/>
              </w:rPr>
              <w:t xml:space="preserve">01 </w:t>
            </w:r>
            <w:r>
              <w:rPr>
                <w:rFonts w:hint="eastAsia" w:ascii="宋体" w:hAnsi="宋体" w:eastAsia="宋体" w:cs="宋体"/>
                <w:spacing w:val="3"/>
              </w:rPr>
              <w:t>租金收缴及时性</w:t>
            </w:r>
          </w:p>
        </w:tc>
        <w:tc>
          <w:tcPr>
            <w:tcW w:w="834" w:type="pct"/>
            <w:vAlign w:val="center"/>
          </w:tcPr>
          <w:p w14:paraId="7F9CC4D9">
            <w:pPr>
              <w:spacing w:before="208" w:line="192" w:lineRule="auto"/>
              <w:jc w:val="center"/>
              <w:rPr>
                <w:rFonts w:hint="eastAsia" w:ascii="宋体" w:hAnsi="宋体" w:eastAsia="宋体" w:cs="宋体"/>
              </w:rPr>
            </w:pPr>
            <w:r>
              <w:rPr>
                <w:rFonts w:hint="eastAsia" w:ascii="宋体" w:hAnsi="宋体" w:eastAsia="宋体" w:cs="宋体"/>
              </w:rPr>
              <w:t>8</w:t>
            </w:r>
          </w:p>
        </w:tc>
        <w:tc>
          <w:tcPr>
            <w:tcW w:w="833" w:type="pct"/>
            <w:vAlign w:val="center"/>
          </w:tcPr>
          <w:p w14:paraId="2FBC35D0">
            <w:pPr>
              <w:spacing w:before="209" w:line="189" w:lineRule="auto"/>
              <w:jc w:val="center"/>
              <w:rPr>
                <w:rFonts w:hint="eastAsia" w:ascii="宋体" w:hAnsi="宋体" w:eastAsia="宋体" w:cs="宋体"/>
              </w:rPr>
            </w:pPr>
            <w:r>
              <w:rPr>
                <w:rFonts w:hint="eastAsia" w:ascii="宋体" w:hAnsi="宋体" w:eastAsia="宋体" w:cs="宋体"/>
              </w:rPr>
              <w:t>8</w:t>
            </w:r>
          </w:p>
        </w:tc>
        <w:tc>
          <w:tcPr>
            <w:tcW w:w="999" w:type="pct"/>
            <w:vAlign w:val="center"/>
          </w:tcPr>
          <w:p w14:paraId="30708961">
            <w:pPr>
              <w:spacing w:before="209" w:line="189"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bl>
    <w:p w14:paraId="188D4877">
      <w:pPr>
        <w:pStyle w:val="32"/>
        <w:spacing w:before="240" w:beforeLines="100" w:line="360" w:lineRule="auto"/>
        <w:ind w:firstLine="520"/>
        <w:jc w:val="both"/>
      </w:pPr>
      <w:r>
        <w:t>（1）C201 项目开工及时性</w:t>
      </w:r>
    </w:p>
    <w:p w14:paraId="17E87B33">
      <w:pPr>
        <w:pStyle w:val="32"/>
        <w:spacing w:line="360" w:lineRule="auto"/>
        <w:ind w:firstLine="520"/>
        <w:jc w:val="both"/>
      </w:pPr>
      <w:r>
        <w:rPr>
          <w:rStyle w:val="33"/>
        </w:rPr>
        <w:t>中韩（长春）国际合作示范区智能装备孵化基地项目</w:t>
      </w:r>
      <w:r>
        <w:rPr>
          <w:rStyle w:val="33"/>
          <w:lang w:eastAsia="zh-CN"/>
        </w:rPr>
        <w:t>租赁合同</w:t>
      </w:r>
      <w:r>
        <w:rPr>
          <w:rStyle w:val="33"/>
        </w:rPr>
        <w:t>约定收租日为，实际租金</w:t>
      </w:r>
      <w:r>
        <w:rPr>
          <w:rStyle w:val="33"/>
          <w:lang w:eastAsia="zh-CN"/>
        </w:rPr>
        <w:t>入账日</w:t>
      </w:r>
      <w:r>
        <w:rPr>
          <w:rStyle w:val="33"/>
        </w:rPr>
        <w:t>为。</w:t>
      </w:r>
      <w:r>
        <w:t>此项指标满分8分，得8分。</w:t>
      </w:r>
    </w:p>
    <w:p w14:paraId="56170AF2">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4</w:t>
      </w:r>
      <w:r>
        <w:rPr>
          <w:rFonts w:ascii="宋体" w:hAnsi="宋体" w:eastAsia="宋体" w:cs="宋体"/>
          <w:spacing w:val="9"/>
          <w:sz w:val="23"/>
          <w:szCs w:val="23"/>
        </w:rPr>
        <w:t xml:space="preserve"> 产出成本</w:t>
      </w:r>
    </w:p>
    <w:p w14:paraId="75093A4C">
      <w:pPr>
        <w:pStyle w:val="32"/>
        <w:spacing w:line="360" w:lineRule="auto"/>
        <w:ind w:firstLine="520"/>
        <w:jc w:val="both"/>
      </w:pPr>
      <w:r>
        <w:t>“产出成本”指标考核</w:t>
      </w:r>
      <w:r>
        <w:rPr>
          <w:rStyle w:val="33"/>
        </w:rPr>
        <w:t>中韩（长春）国际合作示范区智能装备孵化基地项目</w:t>
      </w:r>
      <w:r>
        <w:t>成本控制情况。指标的业绩值和绩效分值如下表所示：</w:t>
      </w:r>
    </w:p>
    <w:p w14:paraId="0A59BA77">
      <w:pPr>
        <w:pStyle w:val="32"/>
        <w:spacing w:before="120" w:beforeLines="50" w:after="120" w:afterLines="50"/>
        <w:ind w:firstLine="0" w:firstLineChars="0"/>
        <w:jc w:val="center"/>
      </w:pPr>
      <w:r>
        <w:t>“产出成本”指标业绩值及得分</w:t>
      </w:r>
    </w:p>
    <w:p w14:paraId="04270096">
      <w:pPr>
        <w:spacing w:line="191" w:lineRule="exact"/>
        <w:jc w:val="both"/>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21"/>
        <w:gridCol w:w="2144"/>
        <w:gridCol w:w="1531"/>
        <w:gridCol w:w="1681"/>
      </w:tblGrid>
      <w:tr w14:paraId="41E3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blHeader/>
        </w:trPr>
        <w:tc>
          <w:tcPr>
            <w:tcW w:w="2082" w:type="pct"/>
            <w:vAlign w:val="center"/>
          </w:tcPr>
          <w:p w14:paraId="73B94529">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168" w:type="pct"/>
            <w:vAlign w:val="center"/>
          </w:tcPr>
          <w:p w14:paraId="1062A7A7">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834" w:type="pct"/>
            <w:vAlign w:val="center"/>
          </w:tcPr>
          <w:p w14:paraId="0306F069">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17" w:type="pct"/>
            <w:vAlign w:val="center"/>
          </w:tcPr>
          <w:p w14:paraId="687CB414">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4B0E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2082" w:type="pct"/>
          </w:tcPr>
          <w:p w14:paraId="0B678581">
            <w:pPr>
              <w:spacing w:before="176" w:line="227" w:lineRule="auto"/>
              <w:ind w:left="108"/>
              <w:jc w:val="both"/>
              <w:rPr>
                <w:rFonts w:hint="eastAsia" w:ascii="宋体" w:hAnsi="宋体" w:eastAsia="宋体" w:cs="宋体"/>
              </w:rPr>
            </w:pPr>
            <w:r>
              <w:rPr>
                <w:rFonts w:hint="eastAsia" w:ascii="宋体" w:hAnsi="宋体" w:eastAsia="宋体" w:cs="宋体"/>
              </w:rPr>
              <w:t>C4 产出成本</w:t>
            </w:r>
          </w:p>
        </w:tc>
        <w:tc>
          <w:tcPr>
            <w:tcW w:w="1168" w:type="pct"/>
            <w:vAlign w:val="center"/>
          </w:tcPr>
          <w:p w14:paraId="63768E29">
            <w:pPr>
              <w:spacing w:before="209" w:line="190" w:lineRule="auto"/>
              <w:jc w:val="center"/>
              <w:rPr>
                <w:rFonts w:hint="eastAsia" w:ascii="宋体" w:hAnsi="宋体" w:eastAsia="宋体" w:cs="宋体"/>
              </w:rPr>
            </w:pPr>
            <w:r>
              <w:rPr>
                <w:rFonts w:hint="eastAsia" w:ascii="宋体" w:hAnsi="宋体" w:eastAsia="宋体" w:cs="宋体"/>
              </w:rPr>
              <w:t>9</w:t>
            </w:r>
          </w:p>
        </w:tc>
        <w:tc>
          <w:tcPr>
            <w:tcW w:w="834" w:type="pct"/>
            <w:vAlign w:val="center"/>
          </w:tcPr>
          <w:p w14:paraId="067B7489">
            <w:pPr>
              <w:spacing w:before="209" w:line="190" w:lineRule="auto"/>
              <w:jc w:val="center"/>
              <w:rPr>
                <w:rFonts w:hint="eastAsia" w:ascii="宋体" w:hAnsi="宋体" w:eastAsia="宋体" w:cs="宋体"/>
              </w:rPr>
            </w:pPr>
            <w:r>
              <w:rPr>
                <w:rFonts w:hint="eastAsia" w:ascii="宋体" w:hAnsi="宋体" w:eastAsia="宋体" w:cs="宋体"/>
              </w:rPr>
              <w:t>9</w:t>
            </w:r>
          </w:p>
        </w:tc>
        <w:tc>
          <w:tcPr>
            <w:tcW w:w="917" w:type="pct"/>
            <w:vAlign w:val="center"/>
          </w:tcPr>
          <w:p w14:paraId="3C6DB5DC">
            <w:pPr>
              <w:spacing w:before="209"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025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2082" w:type="pct"/>
          </w:tcPr>
          <w:p w14:paraId="5B7EBAE8">
            <w:pPr>
              <w:spacing w:before="176" w:line="227" w:lineRule="auto"/>
              <w:ind w:left="108"/>
              <w:jc w:val="both"/>
              <w:rPr>
                <w:rFonts w:hint="eastAsia" w:ascii="宋体" w:hAnsi="宋体" w:eastAsia="宋体" w:cs="宋体"/>
              </w:rPr>
            </w:pPr>
            <w:r>
              <w:rPr>
                <w:rFonts w:hint="eastAsia" w:ascii="宋体" w:hAnsi="宋体" w:eastAsia="宋体" w:cs="宋体"/>
              </w:rPr>
              <w:t>C401 运营成本节约率</w:t>
            </w:r>
          </w:p>
        </w:tc>
        <w:tc>
          <w:tcPr>
            <w:tcW w:w="1168" w:type="pct"/>
            <w:vAlign w:val="center"/>
          </w:tcPr>
          <w:p w14:paraId="398DE535">
            <w:pPr>
              <w:spacing w:before="209" w:line="190" w:lineRule="auto"/>
              <w:jc w:val="center"/>
              <w:rPr>
                <w:rFonts w:hint="eastAsia" w:ascii="宋体" w:hAnsi="宋体" w:eastAsia="宋体" w:cs="宋体"/>
              </w:rPr>
            </w:pPr>
            <w:r>
              <w:rPr>
                <w:rFonts w:hint="eastAsia" w:ascii="宋体" w:hAnsi="宋体" w:eastAsia="宋体" w:cs="宋体"/>
              </w:rPr>
              <w:t>9</w:t>
            </w:r>
          </w:p>
        </w:tc>
        <w:tc>
          <w:tcPr>
            <w:tcW w:w="834" w:type="pct"/>
            <w:vAlign w:val="center"/>
          </w:tcPr>
          <w:p w14:paraId="471C9CA6">
            <w:pPr>
              <w:spacing w:before="209" w:line="190" w:lineRule="auto"/>
              <w:jc w:val="center"/>
              <w:rPr>
                <w:rFonts w:hint="eastAsia" w:ascii="宋体" w:hAnsi="宋体" w:eastAsia="宋体" w:cs="宋体"/>
              </w:rPr>
            </w:pPr>
            <w:r>
              <w:rPr>
                <w:rFonts w:hint="eastAsia" w:ascii="宋体" w:hAnsi="宋体" w:eastAsia="宋体" w:cs="宋体"/>
              </w:rPr>
              <w:t>9</w:t>
            </w:r>
          </w:p>
        </w:tc>
        <w:tc>
          <w:tcPr>
            <w:tcW w:w="917" w:type="pct"/>
            <w:vAlign w:val="center"/>
          </w:tcPr>
          <w:p w14:paraId="329D801B">
            <w:pPr>
              <w:spacing w:before="209"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bl>
    <w:p w14:paraId="4532EC0E">
      <w:pPr>
        <w:spacing w:line="99" w:lineRule="exact"/>
        <w:jc w:val="both"/>
      </w:pPr>
    </w:p>
    <w:p w14:paraId="381A29EB">
      <w:pPr>
        <w:pStyle w:val="32"/>
        <w:spacing w:before="240" w:beforeLines="100" w:line="360" w:lineRule="auto"/>
        <w:ind w:firstLine="520"/>
        <w:contextualSpacing/>
        <w:jc w:val="both"/>
      </w:pPr>
      <w:r>
        <w:rPr>
          <w:rFonts w:hint="eastAsia"/>
          <w:lang w:eastAsia="zh-CN"/>
        </w:rPr>
        <w:t>2024</w:t>
      </w:r>
      <w:r>
        <w:t>年产出成本未超出计划成本。根据评分标准，此指标满分9分，得9分。</w:t>
      </w:r>
    </w:p>
    <w:p w14:paraId="345A21A9">
      <w:pPr>
        <w:pStyle w:val="32"/>
        <w:spacing w:line="360" w:lineRule="auto"/>
        <w:ind w:firstLine="522"/>
        <w:jc w:val="both"/>
        <w:rPr>
          <w:b/>
          <w:bCs/>
        </w:rPr>
      </w:pPr>
      <w:r>
        <w:rPr>
          <w:b/>
          <w:bCs/>
        </w:rPr>
        <w:t>D．效益</w:t>
      </w:r>
    </w:p>
    <w:p w14:paraId="39824C80">
      <w:pPr>
        <w:pStyle w:val="32"/>
        <w:spacing w:line="360" w:lineRule="auto"/>
        <w:ind w:firstLine="520"/>
        <w:jc w:val="both"/>
      </w:pPr>
      <w:r>
        <w:t>“效益”指标考核经济效益指标、社会效益指标、生态效益指标、可持续影响指标和满意度指标五个方面情况。指标的业绩值和绩效分值如下表所示：</w:t>
      </w:r>
    </w:p>
    <w:p w14:paraId="692A794F">
      <w:pPr>
        <w:pStyle w:val="32"/>
        <w:spacing w:before="120" w:beforeLines="50" w:after="120" w:afterLines="50"/>
        <w:ind w:firstLine="520"/>
        <w:jc w:val="center"/>
      </w:pPr>
    </w:p>
    <w:p w14:paraId="480A9408">
      <w:pPr>
        <w:pStyle w:val="32"/>
        <w:spacing w:before="120" w:beforeLines="50" w:after="120" w:afterLines="50"/>
        <w:ind w:firstLine="520"/>
        <w:jc w:val="center"/>
      </w:pPr>
      <w:r>
        <w:t>“效益”指标业绩值及得分</w:t>
      </w:r>
    </w:p>
    <w:tbl>
      <w:tblPr>
        <w:tblStyle w:val="21"/>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8"/>
        <w:gridCol w:w="2098"/>
        <w:gridCol w:w="1796"/>
        <w:gridCol w:w="1684"/>
      </w:tblGrid>
      <w:tr w14:paraId="1551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blHeader/>
          <w:jc w:val="center"/>
        </w:trPr>
        <w:tc>
          <w:tcPr>
            <w:tcW w:w="1963" w:type="pct"/>
            <w:vAlign w:val="center"/>
          </w:tcPr>
          <w:p w14:paraId="5BDC4FD6">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141" w:type="pct"/>
            <w:vAlign w:val="center"/>
          </w:tcPr>
          <w:p w14:paraId="79FD19B5">
            <w:pPr>
              <w:spacing w:before="183" w:line="228" w:lineRule="auto"/>
              <w:jc w:val="center"/>
              <w:rPr>
                <w:rFonts w:hint="eastAsia" w:ascii="宋体" w:hAnsi="宋体" w:eastAsia="宋体" w:cs="宋体"/>
                <w:b/>
                <w:bCs/>
              </w:rPr>
            </w:pPr>
            <w:r>
              <w:rPr>
                <w:rFonts w:ascii="宋体" w:hAnsi="宋体" w:eastAsia="宋体" w:cs="宋体"/>
                <w:b/>
                <w:bCs/>
                <w:spacing w:val="5"/>
              </w:rPr>
              <w:t>标分值</w:t>
            </w:r>
          </w:p>
        </w:tc>
        <w:tc>
          <w:tcPr>
            <w:tcW w:w="977" w:type="pct"/>
            <w:vAlign w:val="center"/>
          </w:tcPr>
          <w:p w14:paraId="17207E72">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16" w:type="pct"/>
            <w:vAlign w:val="center"/>
          </w:tcPr>
          <w:p w14:paraId="246B4D49">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65B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63" w:type="pct"/>
          </w:tcPr>
          <w:p w14:paraId="4CEA17BD">
            <w:pPr>
              <w:spacing w:before="174" w:line="228"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9"/>
              </w:rPr>
              <w:t xml:space="preserve"> </w:t>
            </w:r>
            <w:r>
              <w:rPr>
                <w:rFonts w:hint="eastAsia" w:ascii="宋体" w:hAnsi="宋体" w:eastAsia="宋体" w:cs="宋体"/>
                <w:spacing w:val="9"/>
              </w:rPr>
              <w:t>效益</w:t>
            </w:r>
          </w:p>
        </w:tc>
        <w:tc>
          <w:tcPr>
            <w:tcW w:w="1141" w:type="pct"/>
            <w:vAlign w:val="center"/>
          </w:tcPr>
          <w:p w14:paraId="46F097AA">
            <w:pPr>
              <w:spacing w:before="208" w:line="190" w:lineRule="auto"/>
              <w:jc w:val="center"/>
              <w:rPr>
                <w:rFonts w:hint="eastAsia" w:ascii="宋体" w:hAnsi="宋体" w:eastAsia="宋体" w:cs="宋体"/>
              </w:rPr>
            </w:pPr>
            <w:r>
              <w:rPr>
                <w:rFonts w:hint="eastAsia" w:ascii="宋体" w:hAnsi="宋体" w:eastAsia="宋体" w:cs="宋体"/>
                <w:spacing w:val="-1"/>
              </w:rPr>
              <w:t>25</w:t>
            </w:r>
          </w:p>
        </w:tc>
        <w:tc>
          <w:tcPr>
            <w:tcW w:w="977" w:type="pct"/>
            <w:vAlign w:val="center"/>
          </w:tcPr>
          <w:p w14:paraId="0D5DAD6D">
            <w:pPr>
              <w:spacing w:before="208" w:line="190" w:lineRule="auto"/>
              <w:jc w:val="center"/>
              <w:rPr>
                <w:rFonts w:hint="eastAsia" w:ascii="宋体" w:hAnsi="宋体" w:eastAsia="宋体" w:cs="宋体"/>
                <w:spacing w:val="-1"/>
              </w:rPr>
            </w:pPr>
            <w:r>
              <w:rPr>
                <w:rFonts w:hint="eastAsia" w:ascii="宋体" w:hAnsi="宋体" w:eastAsia="宋体" w:cs="宋体"/>
                <w:spacing w:val="-1"/>
              </w:rPr>
              <w:t>24</w:t>
            </w:r>
          </w:p>
        </w:tc>
        <w:tc>
          <w:tcPr>
            <w:tcW w:w="916" w:type="pct"/>
            <w:vAlign w:val="center"/>
          </w:tcPr>
          <w:p w14:paraId="0F7F28ED">
            <w:pPr>
              <w:spacing w:before="208" w:line="190" w:lineRule="auto"/>
              <w:jc w:val="center"/>
              <w:rPr>
                <w:rFonts w:hint="eastAsia" w:ascii="宋体" w:hAnsi="宋体" w:eastAsia="宋体" w:cs="宋体"/>
                <w:spacing w:val="-1"/>
              </w:rPr>
            </w:pPr>
            <w:r>
              <w:rPr>
                <w:rFonts w:hint="eastAsia" w:ascii="宋体" w:hAnsi="宋体" w:eastAsia="宋体" w:cs="宋体"/>
                <w:spacing w:val="-1"/>
              </w:rPr>
              <w:t>96</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17B0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963" w:type="pct"/>
          </w:tcPr>
          <w:p w14:paraId="0A4066FE">
            <w:pPr>
              <w:spacing w:before="174" w:line="227"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1"/>
              </w:rPr>
              <w:t xml:space="preserve">1 </w:t>
            </w:r>
            <w:r>
              <w:rPr>
                <w:rFonts w:hint="eastAsia" w:ascii="宋体" w:hAnsi="宋体" w:eastAsia="宋体" w:cs="宋体"/>
                <w:spacing w:val="-1"/>
              </w:rPr>
              <w:t>经济效益指标</w:t>
            </w:r>
          </w:p>
        </w:tc>
        <w:tc>
          <w:tcPr>
            <w:tcW w:w="1141" w:type="pct"/>
            <w:vAlign w:val="center"/>
          </w:tcPr>
          <w:p w14:paraId="1423B36F">
            <w:pPr>
              <w:spacing w:before="207" w:line="192" w:lineRule="auto"/>
              <w:jc w:val="center"/>
              <w:rPr>
                <w:rFonts w:hint="eastAsia" w:ascii="宋体" w:hAnsi="宋体" w:eastAsia="宋体" w:cs="宋体"/>
              </w:rPr>
            </w:pPr>
            <w:r>
              <w:rPr>
                <w:rFonts w:hint="eastAsia" w:ascii="宋体" w:hAnsi="宋体" w:eastAsia="宋体" w:cs="宋体"/>
              </w:rPr>
              <w:t>9</w:t>
            </w:r>
          </w:p>
        </w:tc>
        <w:tc>
          <w:tcPr>
            <w:tcW w:w="977" w:type="pct"/>
            <w:vAlign w:val="center"/>
          </w:tcPr>
          <w:p w14:paraId="3E6CD3F9">
            <w:pPr>
              <w:spacing w:before="208" w:line="190" w:lineRule="auto"/>
              <w:jc w:val="center"/>
              <w:rPr>
                <w:rFonts w:hint="eastAsia" w:ascii="宋体" w:hAnsi="宋体" w:eastAsia="宋体" w:cs="宋体"/>
                <w:spacing w:val="-1"/>
              </w:rPr>
            </w:pPr>
            <w:r>
              <w:rPr>
                <w:rFonts w:hint="eastAsia" w:ascii="宋体" w:hAnsi="宋体" w:eastAsia="宋体" w:cs="宋体"/>
                <w:spacing w:val="-1"/>
              </w:rPr>
              <w:t>9</w:t>
            </w:r>
          </w:p>
        </w:tc>
        <w:tc>
          <w:tcPr>
            <w:tcW w:w="916" w:type="pct"/>
            <w:vAlign w:val="center"/>
          </w:tcPr>
          <w:p w14:paraId="6A4E5936">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4D7B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963" w:type="pct"/>
          </w:tcPr>
          <w:p w14:paraId="7DA529C9">
            <w:pPr>
              <w:spacing w:before="175" w:line="228"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3"/>
              </w:rPr>
              <w:t>2</w:t>
            </w:r>
            <w:r>
              <w:rPr>
                <w:rFonts w:ascii="宋体" w:hAnsi="宋体" w:eastAsia="宋体" w:cs="宋体"/>
                <w:spacing w:val="2"/>
              </w:rPr>
              <w:t xml:space="preserve"> </w:t>
            </w:r>
            <w:r>
              <w:rPr>
                <w:rFonts w:hint="eastAsia" w:ascii="宋体" w:hAnsi="宋体" w:eastAsia="宋体" w:cs="宋体"/>
                <w:spacing w:val="2"/>
              </w:rPr>
              <w:t>社会效益指标</w:t>
            </w:r>
          </w:p>
        </w:tc>
        <w:tc>
          <w:tcPr>
            <w:tcW w:w="1141" w:type="pct"/>
            <w:vAlign w:val="center"/>
          </w:tcPr>
          <w:p w14:paraId="4651567C">
            <w:pPr>
              <w:spacing w:before="208" w:line="192" w:lineRule="auto"/>
              <w:jc w:val="center"/>
              <w:rPr>
                <w:rFonts w:hint="eastAsia" w:ascii="宋体" w:hAnsi="宋体" w:eastAsia="宋体" w:cs="宋体"/>
              </w:rPr>
            </w:pPr>
            <w:r>
              <w:rPr>
                <w:rFonts w:hint="eastAsia" w:ascii="宋体" w:hAnsi="宋体" w:eastAsia="宋体" w:cs="宋体"/>
              </w:rPr>
              <w:t>8</w:t>
            </w:r>
          </w:p>
        </w:tc>
        <w:tc>
          <w:tcPr>
            <w:tcW w:w="977" w:type="pct"/>
            <w:vAlign w:val="center"/>
          </w:tcPr>
          <w:p w14:paraId="408457C9">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916" w:type="pct"/>
            <w:vAlign w:val="center"/>
          </w:tcPr>
          <w:p w14:paraId="18A5F7DE">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56F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63" w:type="pct"/>
          </w:tcPr>
          <w:p w14:paraId="001AB27E">
            <w:pPr>
              <w:spacing w:before="178" w:line="229" w:lineRule="auto"/>
              <w:ind w:left="105"/>
              <w:jc w:val="both"/>
              <w:rPr>
                <w:rFonts w:hint="eastAsia" w:ascii="宋体" w:hAnsi="宋体" w:eastAsia="宋体" w:cs="宋体"/>
                <w:spacing w:val="-2"/>
              </w:rPr>
            </w:pPr>
            <w:r>
              <w:rPr>
                <w:rFonts w:hint="eastAsia" w:ascii="宋体" w:hAnsi="宋体" w:eastAsia="宋体" w:cs="宋体"/>
                <w:spacing w:val="-2"/>
              </w:rPr>
              <w:t>D3  生态效益指标</w:t>
            </w:r>
          </w:p>
        </w:tc>
        <w:tc>
          <w:tcPr>
            <w:tcW w:w="1141" w:type="pct"/>
            <w:vAlign w:val="center"/>
          </w:tcPr>
          <w:p w14:paraId="4254DDA5">
            <w:pPr>
              <w:spacing w:before="211" w:line="190" w:lineRule="auto"/>
              <w:jc w:val="center"/>
              <w:rPr>
                <w:rFonts w:hint="eastAsia" w:ascii="宋体" w:hAnsi="宋体" w:eastAsia="宋体" w:cs="宋体"/>
              </w:rPr>
            </w:pPr>
            <w:r>
              <w:rPr>
                <w:rFonts w:hint="eastAsia" w:ascii="宋体" w:hAnsi="宋体" w:eastAsia="宋体" w:cs="宋体"/>
              </w:rPr>
              <w:t>3</w:t>
            </w:r>
          </w:p>
        </w:tc>
        <w:tc>
          <w:tcPr>
            <w:tcW w:w="977" w:type="pct"/>
            <w:vAlign w:val="center"/>
          </w:tcPr>
          <w:p w14:paraId="25A02992">
            <w:pPr>
              <w:spacing w:before="208" w:line="190" w:lineRule="auto"/>
              <w:jc w:val="center"/>
              <w:rPr>
                <w:rFonts w:hint="eastAsia" w:ascii="宋体" w:hAnsi="宋体" w:eastAsia="宋体" w:cs="宋体"/>
                <w:spacing w:val="-1"/>
              </w:rPr>
            </w:pPr>
            <w:r>
              <w:rPr>
                <w:rFonts w:hint="eastAsia" w:ascii="宋体" w:hAnsi="宋体" w:eastAsia="宋体" w:cs="宋体"/>
                <w:spacing w:val="-1"/>
              </w:rPr>
              <w:t>3</w:t>
            </w:r>
          </w:p>
        </w:tc>
        <w:tc>
          <w:tcPr>
            <w:tcW w:w="916" w:type="pct"/>
            <w:vAlign w:val="center"/>
          </w:tcPr>
          <w:p w14:paraId="0E12141C">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4D25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63" w:type="pct"/>
          </w:tcPr>
          <w:p w14:paraId="68A00ED5">
            <w:pPr>
              <w:spacing w:before="178" w:line="229" w:lineRule="auto"/>
              <w:ind w:left="105"/>
              <w:jc w:val="both"/>
              <w:rPr>
                <w:rFonts w:hint="eastAsia" w:ascii="宋体" w:hAnsi="宋体" w:eastAsia="宋体" w:cs="宋体"/>
              </w:rPr>
            </w:pPr>
            <w:r>
              <w:rPr>
                <w:rFonts w:ascii="宋体" w:hAnsi="宋体" w:eastAsia="宋体" w:cs="宋体"/>
                <w:spacing w:val="-2"/>
              </w:rPr>
              <w:t>D</w:t>
            </w:r>
            <w:r>
              <w:rPr>
                <w:rFonts w:hint="eastAsia" w:ascii="宋体" w:hAnsi="宋体" w:eastAsia="宋体" w:cs="宋体"/>
                <w:spacing w:val="-2"/>
              </w:rPr>
              <w:t>4</w:t>
            </w:r>
            <w:r>
              <w:rPr>
                <w:rFonts w:ascii="宋体" w:hAnsi="宋体" w:eastAsia="宋体" w:cs="宋体"/>
                <w:spacing w:val="-2"/>
              </w:rPr>
              <w:t xml:space="preserve"> </w:t>
            </w:r>
            <w:r>
              <w:rPr>
                <w:rFonts w:hint="eastAsia" w:ascii="宋体" w:hAnsi="宋体" w:eastAsia="宋体" w:cs="宋体"/>
                <w:spacing w:val="-2"/>
              </w:rPr>
              <w:t>可持续影响指标</w:t>
            </w:r>
          </w:p>
        </w:tc>
        <w:tc>
          <w:tcPr>
            <w:tcW w:w="1141" w:type="pct"/>
            <w:vAlign w:val="center"/>
          </w:tcPr>
          <w:p w14:paraId="3D90A3D8">
            <w:pPr>
              <w:spacing w:before="211" w:line="190" w:lineRule="auto"/>
              <w:jc w:val="center"/>
              <w:rPr>
                <w:rFonts w:hint="eastAsia" w:ascii="宋体" w:hAnsi="宋体" w:eastAsia="宋体" w:cs="宋体"/>
              </w:rPr>
            </w:pPr>
            <w:r>
              <w:rPr>
                <w:rFonts w:hint="eastAsia" w:ascii="宋体" w:hAnsi="宋体" w:eastAsia="宋体" w:cs="宋体"/>
              </w:rPr>
              <w:t>5</w:t>
            </w:r>
          </w:p>
        </w:tc>
        <w:tc>
          <w:tcPr>
            <w:tcW w:w="977" w:type="pct"/>
            <w:vAlign w:val="center"/>
          </w:tcPr>
          <w:p w14:paraId="27B3184C">
            <w:pPr>
              <w:spacing w:before="208" w:line="190" w:lineRule="auto"/>
              <w:jc w:val="center"/>
              <w:rPr>
                <w:rFonts w:hint="eastAsia" w:ascii="宋体" w:hAnsi="宋体" w:eastAsia="宋体" w:cs="宋体"/>
                <w:spacing w:val="-1"/>
              </w:rPr>
            </w:pPr>
            <w:r>
              <w:rPr>
                <w:rFonts w:hint="eastAsia" w:ascii="宋体" w:hAnsi="宋体" w:eastAsia="宋体" w:cs="宋体"/>
                <w:spacing w:val="-1"/>
              </w:rPr>
              <w:t>5</w:t>
            </w:r>
          </w:p>
        </w:tc>
        <w:tc>
          <w:tcPr>
            <w:tcW w:w="916" w:type="pct"/>
            <w:vAlign w:val="center"/>
          </w:tcPr>
          <w:p w14:paraId="7F21B30D">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bl>
    <w:p w14:paraId="548508FE">
      <w:pPr>
        <w:pStyle w:val="32"/>
        <w:numPr>
          <w:ilvl w:val="0"/>
          <w:numId w:val="17"/>
        </w:numPr>
        <w:spacing w:before="240" w:beforeLines="100" w:line="360" w:lineRule="auto"/>
        <w:ind w:left="0" w:firstLine="520"/>
        <w:jc w:val="both"/>
      </w:pPr>
      <w:r>
        <w:t>D1 经济效益指标</w:t>
      </w:r>
    </w:p>
    <w:p w14:paraId="2B07A728">
      <w:pPr>
        <w:pStyle w:val="32"/>
        <w:spacing w:line="360" w:lineRule="auto"/>
        <w:ind w:firstLine="520"/>
        <w:jc w:val="both"/>
      </w:pPr>
      <w:r>
        <w:t>“经济效益指标”指标考核项目带动社会有效投资情况和项目综合收益情况两个方面情况。指标的业绩值和绩效分值如下表所示：</w:t>
      </w:r>
    </w:p>
    <w:p w14:paraId="2572D9B1">
      <w:pPr>
        <w:spacing w:before="120" w:beforeLines="50" w:after="120" w:afterLines="50" w:line="360" w:lineRule="auto"/>
        <w:jc w:val="center"/>
        <w:rPr>
          <w:rFonts w:hint="eastAsia" w:ascii="宋体" w:hAnsi="宋体" w:eastAsia="宋体" w:cs="宋体"/>
          <w:sz w:val="23"/>
          <w:szCs w:val="23"/>
        </w:rPr>
      </w:pPr>
      <w:r>
        <w:rPr>
          <w:rFonts w:ascii="宋体" w:hAnsi="宋体" w:eastAsia="宋体" w:cs="宋体"/>
          <w:spacing w:val="12"/>
          <w:sz w:val="23"/>
          <w:szCs w:val="23"/>
        </w:rPr>
        <w:t>“</w:t>
      </w:r>
      <w:r>
        <w:rPr>
          <w:rFonts w:hint="eastAsia" w:ascii="宋体" w:hAnsi="宋体" w:eastAsia="宋体" w:cs="宋体"/>
          <w:spacing w:val="12"/>
          <w:sz w:val="23"/>
          <w:szCs w:val="23"/>
        </w:rPr>
        <w:t>经济效益指标</w:t>
      </w:r>
      <w:r>
        <w:rPr>
          <w:rFonts w:ascii="宋体" w:hAnsi="宋体" w:eastAsia="宋体" w:cs="宋体"/>
          <w:spacing w:val="10"/>
          <w:sz w:val="23"/>
          <w:szCs w:val="23"/>
        </w:rPr>
        <w:t>”指标业绩值及得分</w:t>
      </w:r>
    </w:p>
    <w:p w14:paraId="09A9BFB5">
      <w:pPr>
        <w:spacing w:line="43" w:lineRule="exact"/>
        <w:jc w:val="both"/>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22"/>
        <w:gridCol w:w="1714"/>
        <w:gridCol w:w="1859"/>
        <w:gridCol w:w="1682"/>
      </w:tblGrid>
      <w:tr w14:paraId="0D7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37" w:type="pct"/>
            <w:vAlign w:val="center"/>
          </w:tcPr>
          <w:p w14:paraId="0BE25328">
            <w:pPr>
              <w:spacing w:before="18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934" w:type="pct"/>
            <w:vAlign w:val="center"/>
          </w:tcPr>
          <w:p w14:paraId="61CB5E9E">
            <w:pPr>
              <w:spacing w:before="182" w:line="228" w:lineRule="auto"/>
              <w:jc w:val="center"/>
              <w:rPr>
                <w:rFonts w:hint="eastAsia" w:ascii="宋体" w:hAnsi="宋体" w:eastAsia="宋体" w:cs="宋体"/>
                <w:b/>
                <w:bCs/>
              </w:rPr>
            </w:pPr>
            <w:r>
              <w:rPr>
                <w:rFonts w:hint="eastAsia" w:ascii="宋体" w:hAnsi="宋体" w:eastAsia="宋体" w:cs="宋体"/>
                <w:b/>
                <w:bCs/>
                <w:spacing w:val="5"/>
              </w:rPr>
              <w:t>指</w:t>
            </w:r>
            <w:r>
              <w:rPr>
                <w:rFonts w:ascii="宋体" w:hAnsi="宋体" w:eastAsia="宋体" w:cs="宋体"/>
                <w:b/>
                <w:bCs/>
                <w:spacing w:val="5"/>
              </w:rPr>
              <w:t>标分值</w:t>
            </w:r>
          </w:p>
        </w:tc>
        <w:tc>
          <w:tcPr>
            <w:tcW w:w="1013" w:type="pct"/>
            <w:vAlign w:val="center"/>
          </w:tcPr>
          <w:p w14:paraId="34FE8849">
            <w:pPr>
              <w:spacing w:before="18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16" w:type="pct"/>
            <w:vAlign w:val="center"/>
          </w:tcPr>
          <w:p w14:paraId="7990588B">
            <w:pPr>
              <w:spacing w:before="18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7E6B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37" w:type="pct"/>
          </w:tcPr>
          <w:p w14:paraId="21D46E21">
            <w:pPr>
              <w:spacing w:before="174" w:line="228" w:lineRule="auto"/>
              <w:ind w:left="108"/>
              <w:jc w:val="both"/>
              <w:rPr>
                <w:rFonts w:hint="eastAsia" w:ascii="宋体" w:hAnsi="宋体" w:eastAsia="宋体" w:cs="宋体"/>
              </w:rPr>
            </w:pPr>
            <w:r>
              <w:rPr>
                <w:rFonts w:hint="eastAsia" w:ascii="宋体" w:hAnsi="宋体" w:eastAsia="宋体" w:cs="宋体"/>
              </w:rPr>
              <w:t>D</w:t>
            </w:r>
            <w:r>
              <w:rPr>
                <w:rFonts w:hint="eastAsia" w:ascii="宋体" w:hAnsi="宋体" w:eastAsia="宋体" w:cs="宋体"/>
                <w:spacing w:val="8"/>
              </w:rPr>
              <w:t>1</w:t>
            </w:r>
            <w:r>
              <w:rPr>
                <w:rFonts w:ascii="宋体" w:hAnsi="宋体" w:eastAsia="宋体" w:cs="宋体"/>
                <w:spacing w:val="8"/>
              </w:rPr>
              <w:t xml:space="preserve"> </w:t>
            </w:r>
            <w:r>
              <w:rPr>
                <w:rFonts w:hint="eastAsia" w:ascii="宋体" w:hAnsi="宋体" w:eastAsia="宋体" w:cs="宋体"/>
                <w:spacing w:val="8"/>
              </w:rPr>
              <w:t>经济效益指标</w:t>
            </w:r>
          </w:p>
        </w:tc>
        <w:tc>
          <w:tcPr>
            <w:tcW w:w="934" w:type="pct"/>
            <w:vAlign w:val="center"/>
          </w:tcPr>
          <w:p w14:paraId="3683051F">
            <w:pPr>
              <w:spacing w:before="209" w:line="189" w:lineRule="auto"/>
              <w:jc w:val="center"/>
              <w:rPr>
                <w:rFonts w:hint="eastAsia" w:ascii="宋体" w:hAnsi="宋体" w:eastAsia="宋体" w:cs="宋体"/>
              </w:rPr>
            </w:pPr>
            <w:r>
              <w:rPr>
                <w:rFonts w:hint="eastAsia" w:ascii="宋体" w:hAnsi="宋体" w:eastAsia="宋体" w:cs="宋体"/>
              </w:rPr>
              <w:t>8</w:t>
            </w:r>
          </w:p>
        </w:tc>
        <w:tc>
          <w:tcPr>
            <w:tcW w:w="1013" w:type="pct"/>
            <w:vAlign w:val="center"/>
          </w:tcPr>
          <w:p w14:paraId="0038F237">
            <w:pPr>
              <w:spacing w:before="209" w:line="189" w:lineRule="auto"/>
              <w:jc w:val="center"/>
              <w:rPr>
                <w:rFonts w:hint="eastAsia" w:ascii="宋体" w:hAnsi="宋体" w:eastAsia="宋体" w:cs="宋体"/>
              </w:rPr>
            </w:pPr>
            <w:r>
              <w:rPr>
                <w:rFonts w:hint="eastAsia" w:ascii="宋体" w:hAnsi="宋体" w:eastAsia="宋体" w:cs="宋体"/>
              </w:rPr>
              <w:t>8</w:t>
            </w:r>
          </w:p>
        </w:tc>
        <w:tc>
          <w:tcPr>
            <w:tcW w:w="916" w:type="pct"/>
            <w:vAlign w:val="center"/>
          </w:tcPr>
          <w:p w14:paraId="0CFBFC56">
            <w:pPr>
              <w:spacing w:before="209" w:line="189"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3EBF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37" w:type="pct"/>
          </w:tcPr>
          <w:p w14:paraId="7DD79DD8">
            <w:pPr>
              <w:spacing w:before="176" w:line="228" w:lineRule="auto"/>
              <w:ind w:left="108"/>
              <w:jc w:val="both"/>
              <w:rPr>
                <w:rFonts w:hint="eastAsia" w:ascii="宋体" w:hAnsi="宋体" w:eastAsia="宋体" w:cs="宋体"/>
              </w:rPr>
            </w:pPr>
            <w:r>
              <w:rPr>
                <w:rFonts w:hint="eastAsia" w:ascii="宋体" w:hAnsi="宋体" w:eastAsia="宋体" w:cs="宋体"/>
              </w:rPr>
              <w:t>D</w:t>
            </w:r>
            <w:r>
              <w:rPr>
                <w:rFonts w:hint="eastAsia" w:ascii="宋体" w:hAnsi="宋体" w:eastAsia="宋体" w:cs="宋体"/>
                <w:spacing w:val="5"/>
              </w:rPr>
              <w:t>1</w:t>
            </w:r>
            <w:r>
              <w:rPr>
                <w:rFonts w:ascii="宋体" w:hAnsi="宋体" w:eastAsia="宋体" w:cs="宋体"/>
                <w:spacing w:val="3"/>
              </w:rPr>
              <w:t xml:space="preserve">01 </w:t>
            </w:r>
            <w:r>
              <w:rPr>
                <w:rFonts w:hint="eastAsia" w:ascii="宋体" w:hAnsi="宋体" w:eastAsia="宋体" w:cs="宋体"/>
                <w:spacing w:val="3"/>
              </w:rPr>
              <w:t>项目带动社会有效投资情况</w:t>
            </w:r>
          </w:p>
        </w:tc>
        <w:tc>
          <w:tcPr>
            <w:tcW w:w="934" w:type="pct"/>
            <w:vAlign w:val="center"/>
          </w:tcPr>
          <w:p w14:paraId="44E57DD7">
            <w:pPr>
              <w:spacing w:before="208" w:line="192" w:lineRule="auto"/>
              <w:jc w:val="center"/>
              <w:rPr>
                <w:rFonts w:hint="eastAsia" w:ascii="宋体" w:hAnsi="宋体" w:eastAsia="宋体" w:cs="宋体"/>
              </w:rPr>
            </w:pPr>
            <w:r>
              <w:rPr>
                <w:rFonts w:hint="eastAsia" w:ascii="宋体" w:hAnsi="宋体" w:eastAsia="宋体" w:cs="宋体"/>
              </w:rPr>
              <w:t>4</w:t>
            </w:r>
          </w:p>
        </w:tc>
        <w:tc>
          <w:tcPr>
            <w:tcW w:w="1013" w:type="pct"/>
            <w:vAlign w:val="center"/>
          </w:tcPr>
          <w:p w14:paraId="4B9A6089">
            <w:pPr>
              <w:spacing w:before="209" w:line="189" w:lineRule="auto"/>
              <w:jc w:val="center"/>
              <w:rPr>
                <w:rFonts w:hint="eastAsia" w:ascii="宋体" w:hAnsi="宋体" w:eastAsia="宋体" w:cs="宋体"/>
              </w:rPr>
            </w:pPr>
            <w:r>
              <w:rPr>
                <w:rFonts w:hint="eastAsia" w:ascii="宋体" w:hAnsi="宋体" w:eastAsia="宋体" w:cs="宋体"/>
              </w:rPr>
              <w:t>4</w:t>
            </w:r>
          </w:p>
        </w:tc>
        <w:tc>
          <w:tcPr>
            <w:tcW w:w="916" w:type="pct"/>
            <w:vAlign w:val="center"/>
          </w:tcPr>
          <w:p w14:paraId="42F69E8E">
            <w:pPr>
              <w:spacing w:before="209" w:line="189"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7ECD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137" w:type="pct"/>
          </w:tcPr>
          <w:p w14:paraId="4B8A1902">
            <w:pPr>
              <w:spacing w:before="176" w:line="228" w:lineRule="auto"/>
              <w:ind w:left="108"/>
              <w:jc w:val="both"/>
              <w:rPr>
                <w:rFonts w:hint="eastAsia" w:ascii="宋体" w:hAnsi="宋体" w:eastAsia="宋体" w:cs="宋体"/>
              </w:rPr>
            </w:pPr>
            <w:r>
              <w:rPr>
                <w:rFonts w:hint="eastAsia" w:ascii="宋体" w:hAnsi="宋体" w:eastAsia="宋体" w:cs="宋体"/>
              </w:rPr>
              <w:t>D</w:t>
            </w:r>
            <w:r>
              <w:rPr>
                <w:rFonts w:hint="eastAsia" w:ascii="宋体" w:hAnsi="宋体" w:eastAsia="宋体" w:cs="宋体"/>
                <w:spacing w:val="5"/>
              </w:rPr>
              <w:t>1</w:t>
            </w:r>
            <w:r>
              <w:rPr>
                <w:rFonts w:ascii="宋体" w:hAnsi="宋体" w:eastAsia="宋体" w:cs="宋体"/>
                <w:spacing w:val="3"/>
              </w:rPr>
              <w:t xml:space="preserve">02 </w:t>
            </w:r>
            <w:r>
              <w:rPr>
                <w:rFonts w:hint="eastAsia" w:ascii="宋体" w:hAnsi="宋体" w:eastAsia="宋体" w:cs="宋体"/>
                <w:spacing w:val="3"/>
              </w:rPr>
              <w:t>项目综合收益情况</w:t>
            </w:r>
          </w:p>
        </w:tc>
        <w:tc>
          <w:tcPr>
            <w:tcW w:w="934" w:type="pct"/>
            <w:vAlign w:val="center"/>
          </w:tcPr>
          <w:p w14:paraId="7A3288D6">
            <w:pPr>
              <w:spacing w:before="210" w:line="190" w:lineRule="auto"/>
              <w:jc w:val="center"/>
              <w:rPr>
                <w:rFonts w:hint="eastAsia" w:ascii="宋体" w:hAnsi="宋体" w:eastAsia="宋体" w:cs="宋体"/>
              </w:rPr>
            </w:pPr>
            <w:r>
              <w:rPr>
                <w:rFonts w:hint="eastAsia" w:ascii="宋体" w:hAnsi="宋体" w:eastAsia="宋体" w:cs="宋体"/>
              </w:rPr>
              <w:t>4</w:t>
            </w:r>
          </w:p>
        </w:tc>
        <w:tc>
          <w:tcPr>
            <w:tcW w:w="1013" w:type="pct"/>
            <w:vAlign w:val="center"/>
          </w:tcPr>
          <w:p w14:paraId="6FE5408D">
            <w:pPr>
              <w:spacing w:before="209" w:line="189" w:lineRule="auto"/>
              <w:jc w:val="center"/>
              <w:rPr>
                <w:rFonts w:hint="eastAsia" w:ascii="宋体" w:hAnsi="宋体" w:eastAsia="宋体" w:cs="宋体"/>
              </w:rPr>
            </w:pPr>
            <w:r>
              <w:rPr>
                <w:rFonts w:hint="eastAsia" w:ascii="宋体" w:hAnsi="宋体" w:eastAsia="宋体" w:cs="宋体"/>
              </w:rPr>
              <w:t>4</w:t>
            </w:r>
          </w:p>
        </w:tc>
        <w:tc>
          <w:tcPr>
            <w:tcW w:w="916" w:type="pct"/>
            <w:vAlign w:val="center"/>
          </w:tcPr>
          <w:p w14:paraId="317E99B1">
            <w:pPr>
              <w:spacing w:before="209" w:line="189"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bl>
    <w:p w14:paraId="4C7A6128">
      <w:pPr>
        <w:pStyle w:val="32"/>
        <w:numPr>
          <w:ilvl w:val="0"/>
          <w:numId w:val="18"/>
        </w:numPr>
        <w:spacing w:before="240" w:beforeLines="100" w:line="360" w:lineRule="auto"/>
        <w:ind w:firstLine="520"/>
        <w:jc w:val="both"/>
      </w:pPr>
      <w:r>
        <w:t>项目带动社会有效投资情况</w:t>
      </w:r>
    </w:p>
    <w:p w14:paraId="0FEFD273">
      <w:pPr>
        <w:pStyle w:val="32"/>
        <w:spacing w:line="360" w:lineRule="auto"/>
        <w:ind w:firstLine="520"/>
        <w:jc w:val="both"/>
      </w:pPr>
      <w:r>
        <w:rPr>
          <w:rStyle w:val="33"/>
        </w:rPr>
        <w:t>中韩（长春）国际合作示范区智能装备孵化基地项目</w:t>
      </w:r>
      <w:r>
        <w:t>带动社会投资3</w:t>
      </w:r>
      <w:r>
        <w:rPr>
          <w:rFonts w:hint="eastAsia"/>
          <w:lang w:val="en-US" w:eastAsia="zh-CN"/>
        </w:rPr>
        <w:t>,</w:t>
      </w:r>
      <w:r>
        <w:t>599.06万元。根据评分标准，此指标满分4分，得4分。</w:t>
      </w:r>
    </w:p>
    <w:p w14:paraId="26813918">
      <w:pPr>
        <w:pStyle w:val="32"/>
        <w:numPr>
          <w:ilvl w:val="0"/>
          <w:numId w:val="18"/>
        </w:numPr>
        <w:spacing w:line="360" w:lineRule="auto"/>
        <w:ind w:firstLine="520"/>
        <w:jc w:val="both"/>
      </w:pPr>
      <w:r>
        <w:t>项目综合收益情况</w:t>
      </w:r>
    </w:p>
    <w:p w14:paraId="32CD6196">
      <w:pPr>
        <w:pStyle w:val="32"/>
        <w:spacing w:line="360" w:lineRule="auto"/>
        <w:ind w:firstLine="520"/>
        <w:jc w:val="both"/>
      </w:pPr>
      <w:r>
        <w:t>一期项目综合收益与发债时测算的收益相符。根据评分标准，此指标满分4分，得4分。</w:t>
      </w:r>
    </w:p>
    <w:p w14:paraId="2A1F0FD8">
      <w:pPr>
        <w:pStyle w:val="32"/>
        <w:numPr>
          <w:ilvl w:val="0"/>
          <w:numId w:val="17"/>
        </w:numPr>
        <w:spacing w:line="360" w:lineRule="auto"/>
        <w:ind w:left="0" w:firstLine="520"/>
        <w:jc w:val="both"/>
      </w:pPr>
      <w:r>
        <w:t>D2 社会效益指标</w:t>
      </w:r>
    </w:p>
    <w:p w14:paraId="3358BBE9">
      <w:pPr>
        <w:pStyle w:val="32"/>
        <w:spacing w:line="360" w:lineRule="auto"/>
        <w:ind w:firstLine="520"/>
        <w:jc w:val="both"/>
      </w:pPr>
      <w:r>
        <w:t xml:space="preserve">  根据</w:t>
      </w:r>
      <w:r>
        <w:rPr>
          <w:rStyle w:val="33"/>
        </w:rPr>
        <w:t>中韩（长春）国际合作示范区智能装备孵化基地承租单位安波福电气系统有限公司对外公布的经营数据，共有带动就业人数千人，年纳税额千万元，根据评分标准，得满分。</w:t>
      </w:r>
    </w:p>
    <w:p w14:paraId="46CC7AE4">
      <w:pPr>
        <w:pStyle w:val="32"/>
        <w:numPr>
          <w:ilvl w:val="0"/>
          <w:numId w:val="17"/>
        </w:numPr>
        <w:spacing w:line="360" w:lineRule="auto"/>
        <w:ind w:left="0" w:firstLine="520"/>
        <w:jc w:val="both"/>
      </w:pPr>
      <w:r>
        <w:t>D3 生态效益指标</w:t>
      </w:r>
    </w:p>
    <w:p w14:paraId="48285A0D">
      <w:pPr>
        <w:pStyle w:val="32"/>
        <w:spacing w:line="360" w:lineRule="auto"/>
        <w:ind w:firstLine="520"/>
        <w:jc w:val="both"/>
      </w:pPr>
      <w:r>
        <w:rPr>
          <w:rStyle w:val="33"/>
        </w:rPr>
        <w:t>中韩（长春）国际合作示范区智能装备孵化基地项目</w:t>
      </w:r>
      <w:r>
        <w:t>在建</w:t>
      </w:r>
      <w:bookmarkStart w:id="99" w:name="_GoBack"/>
      <w:bookmarkEnd w:id="99"/>
      <w:r>
        <w:t>设期间未对当地生态环境带来直接或间接的负面影响。根据评分标准，此指标满分3分，得3分。</w:t>
      </w:r>
    </w:p>
    <w:p w14:paraId="7C8F405B">
      <w:pPr>
        <w:pStyle w:val="32"/>
        <w:numPr>
          <w:ilvl w:val="0"/>
          <w:numId w:val="17"/>
        </w:numPr>
        <w:spacing w:line="360" w:lineRule="auto"/>
        <w:ind w:left="0" w:firstLine="520"/>
        <w:jc w:val="both"/>
      </w:pPr>
      <w:r>
        <w:t>D4 可持续影响指标</w:t>
      </w:r>
    </w:p>
    <w:p w14:paraId="5DE2401A">
      <w:pPr>
        <w:pStyle w:val="32"/>
        <w:spacing w:line="360" w:lineRule="auto"/>
        <w:ind w:firstLine="520"/>
        <w:jc w:val="both"/>
      </w:pPr>
      <w:r>
        <w:t xml:space="preserve">  债券存续期内，项目收入能够完全覆盖专项债利息，根据评分标准得满分。</w:t>
      </w:r>
    </w:p>
    <w:p w14:paraId="0F293607">
      <w:pPr>
        <w:pStyle w:val="30"/>
        <w:spacing w:line="360" w:lineRule="auto"/>
        <w:ind w:firstLine="490" w:firstLineChars="200"/>
        <w:jc w:val="both"/>
        <w:rPr>
          <w:sz w:val="24"/>
          <w:szCs w:val="24"/>
        </w:rPr>
      </w:pPr>
      <w:bookmarkStart w:id="80" w:name="_Toc201739198"/>
      <w:bookmarkStart w:id="81" w:name="_Toc16204"/>
      <w:bookmarkStart w:id="82" w:name="_Toc30804"/>
      <w:r>
        <w:rPr>
          <w:sz w:val="24"/>
          <w:szCs w:val="24"/>
        </w:rPr>
        <w:t>存在的问题</w:t>
      </w:r>
      <w:bookmarkEnd w:id="80"/>
      <w:bookmarkEnd w:id="81"/>
      <w:bookmarkEnd w:id="82"/>
    </w:p>
    <w:p w14:paraId="4EAB67E1">
      <w:pPr>
        <w:pStyle w:val="29"/>
        <w:numPr>
          <w:ilvl w:val="0"/>
          <w:numId w:val="0"/>
        </w:numPr>
        <w:spacing w:line="360" w:lineRule="auto"/>
        <w:ind w:firstLine="490" w:firstLineChars="200"/>
        <w:jc w:val="both"/>
        <w:outlineLvl w:val="9"/>
        <w:rPr>
          <w:b/>
          <w:bCs/>
        </w:rPr>
      </w:pPr>
      <w:r>
        <w:rPr>
          <w:b/>
          <w:bCs/>
        </w:rPr>
        <w:t>专项债券管理方面</w:t>
      </w:r>
    </w:p>
    <w:p w14:paraId="20C44692">
      <w:pPr>
        <w:pStyle w:val="32"/>
        <w:spacing w:line="360" w:lineRule="auto"/>
        <w:ind w:firstLine="520"/>
        <w:jc w:val="both"/>
      </w:pPr>
      <w:r>
        <w:t>（一）未建立项目运营期的债券追踪机制</w:t>
      </w:r>
    </w:p>
    <w:p w14:paraId="1DB42A8B">
      <w:pPr>
        <w:pStyle w:val="29"/>
        <w:numPr>
          <w:ilvl w:val="0"/>
          <w:numId w:val="0"/>
        </w:numPr>
        <w:spacing w:line="360" w:lineRule="auto"/>
        <w:ind w:firstLine="488" w:firstLineChars="200"/>
        <w:jc w:val="both"/>
        <w:outlineLvl w:val="9"/>
      </w:pPr>
      <w:r>
        <w:t xml:space="preserve"> 中韩（长春）国际合作示范区智能装备孵化基地项目</w:t>
      </w:r>
      <w:r>
        <w:rPr>
          <w:color w:val="auto"/>
        </w:rPr>
        <w:t>未建立项目运营期专项债券跟踪机制，未对专项债券资金使用情况及偿债付息情况进行动态跟踪。</w:t>
      </w:r>
    </w:p>
    <w:p w14:paraId="666D73C6">
      <w:pPr>
        <w:pStyle w:val="29"/>
        <w:numPr>
          <w:ilvl w:val="0"/>
          <w:numId w:val="0"/>
        </w:numPr>
        <w:spacing w:line="360" w:lineRule="auto"/>
        <w:ind w:firstLine="560" w:firstLineChars="200"/>
        <w:jc w:val="both"/>
        <w:outlineLvl w:val="9"/>
        <w:rPr>
          <w:spacing w:val="20"/>
          <w:szCs w:val="23"/>
        </w:rPr>
      </w:pPr>
      <w:r>
        <w:rPr>
          <w:spacing w:val="20"/>
          <w:szCs w:val="23"/>
        </w:rPr>
        <w:t>上述行为违反了财政部印</w:t>
      </w:r>
      <w:r>
        <w:rPr>
          <w:rFonts w:hint="eastAsia"/>
          <w:spacing w:val="20"/>
          <w:szCs w:val="23"/>
          <w:lang w:eastAsia="zh-CN"/>
        </w:rPr>
        <w:t>发的</w:t>
      </w:r>
      <w:r>
        <w:rPr>
          <w:spacing w:val="20"/>
          <w:szCs w:val="23"/>
        </w:rPr>
        <w:t>《地方政府专项债券项目资金绩效管理办法》（财预〔2021〕61号）“第十二条 项目主管部门和项目单位应当建立专项债券项目资金绩效跟踪监测机制，对绩效目标实现程度进行动态监控，发现问题及时纠正并告知同级财政部门，提高专项债券资金使用效益，确保绩效目标如期实现。”的规定。</w:t>
      </w:r>
    </w:p>
    <w:p w14:paraId="599AD026">
      <w:pPr>
        <w:pStyle w:val="29"/>
        <w:numPr>
          <w:ilvl w:val="0"/>
          <w:numId w:val="0"/>
        </w:numPr>
        <w:spacing w:line="360" w:lineRule="auto"/>
        <w:ind w:firstLine="562" w:firstLineChars="200"/>
        <w:jc w:val="both"/>
        <w:outlineLvl w:val="9"/>
        <w:rPr>
          <w:b/>
          <w:bCs/>
          <w:spacing w:val="20"/>
          <w:szCs w:val="23"/>
        </w:rPr>
      </w:pPr>
      <w:r>
        <w:rPr>
          <w:b/>
          <w:bCs/>
          <w:spacing w:val="20"/>
          <w:szCs w:val="23"/>
        </w:rPr>
        <w:t>工程管理方面</w:t>
      </w:r>
    </w:p>
    <w:p w14:paraId="067C7CBC">
      <w:pPr>
        <w:pStyle w:val="29"/>
        <w:numPr>
          <w:ilvl w:val="0"/>
          <w:numId w:val="0"/>
        </w:numPr>
        <w:spacing w:line="360" w:lineRule="auto"/>
        <w:ind w:firstLine="488" w:firstLineChars="200"/>
        <w:jc w:val="both"/>
        <w:outlineLvl w:val="9"/>
      </w:pPr>
      <w:r>
        <w:t>（二）项目前期准备工作欠缺</w:t>
      </w:r>
    </w:p>
    <w:p w14:paraId="01487188">
      <w:pPr>
        <w:pStyle w:val="29"/>
        <w:numPr>
          <w:ilvl w:val="0"/>
          <w:numId w:val="0"/>
        </w:numPr>
        <w:spacing w:line="360" w:lineRule="auto"/>
        <w:ind w:firstLine="560" w:firstLineChars="200"/>
        <w:jc w:val="both"/>
        <w:outlineLvl w:val="9"/>
      </w:pPr>
      <w:r>
        <w:rPr>
          <w:rFonts w:eastAsiaTheme="minorEastAsia"/>
          <w:snapToGrid/>
          <w:spacing w:val="20"/>
          <w:szCs w:val="23"/>
        </w:rPr>
        <w:t>中韩（长春）国际合作示范区智能装备孵化基地项目在初步设计审批未完成的情况下进行了总承包项目发包，另项目施工日期早于施工许可证下发的时间。</w:t>
      </w:r>
    </w:p>
    <w:p w14:paraId="1B37C117">
      <w:pPr>
        <w:pStyle w:val="29"/>
        <w:numPr>
          <w:ilvl w:val="0"/>
          <w:numId w:val="0"/>
        </w:numPr>
        <w:spacing w:line="360" w:lineRule="auto"/>
        <w:ind w:firstLine="488" w:firstLineChars="200"/>
        <w:jc w:val="both"/>
        <w:outlineLvl w:val="9"/>
        <w:rPr>
          <w:spacing w:val="20"/>
          <w:szCs w:val="23"/>
        </w:rPr>
      </w:pPr>
      <w:r>
        <w:t>上述行为违反了《</w:t>
      </w:r>
      <w:r>
        <w:rPr>
          <w:rFonts w:hint="eastAsia"/>
          <w:lang w:eastAsia="zh-CN"/>
        </w:rPr>
        <w:t>住房</w:t>
      </w:r>
      <w:r>
        <w:t>和城乡建设部、国家发展改革委关于印发房屋建筑和市政基础设施项目工程总承包管理办法的通知》建市规</w:t>
      </w:r>
      <w:r>
        <w:rPr>
          <w:rFonts w:hint="eastAsia"/>
          <w:lang w:eastAsia="zh-CN"/>
        </w:rPr>
        <w:t>〔2019〕12号</w:t>
      </w:r>
      <w:r>
        <w:t>文件中规</w:t>
      </w:r>
      <w:r>
        <w:rPr>
          <w:rFonts w:hint="eastAsia"/>
          <w:lang w:eastAsia="zh-CN"/>
        </w:rPr>
        <w:t>定的</w:t>
      </w:r>
      <w:r>
        <w:t>“采用工程总承包方式的政府投资项目，原则上应当在初步设计审批完成后进行工程总承包项目发包”的规定。</w:t>
      </w:r>
    </w:p>
    <w:p w14:paraId="4C25CF0E">
      <w:pPr>
        <w:pStyle w:val="32"/>
        <w:spacing w:line="360" w:lineRule="auto"/>
        <w:ind w:firstLine="520"/>
        <w:jc w:val="both"/>
      </w:pPr>
      <w:r>
        <w:t>（三）一期项目未办理竣工财务决算</w:t>
      </w:r>
    </w:p>
    <w:p w14:paraId="518FAB79">
      <w:pPr>
        <w:pStyle w:val="32"/>
        <w:spacing w:line="360" w:lineRule="auto"/>
        <w:ind w:firstLine="520"/>
        <w:jc w:val="both"/>
      </w:pPr>
      <w:r>
        <w:t>截至现场审计时，</w:t>
      </w:r>
      <w:r>
        <w:rPr>
          <w:rStyle w:val="33"/>
        </w:rPr>
        <w:t>中韩（长春）国际合作示范区智能装备孵化基地项目（一期）已由在建工程</w:t>
      </w:r>
      <w:r>
        <w:t>转入固定资产，工程未办理竣工决算。</w:t>
      </w:r>
    </w:p>
    <w:p w14:paraId="6EA86D2E">
      <w:pPr>
        <w:pStyle w:val="32"/>
        <w:spacing w:line="360" w:lineRule="auto"/>
        <w:ind w:firstLine="520"/>
        <w:jc w:val="both"/>
      </w:pPr>
      <w:r>
        <w:t>上述行为违反了财政部《基本建设项目竣工财务决算管理暂行办法》（财建〔2016〕503号）第二条“基本建设项目完工投入使用或者试运行合格后，应当在3个月内编报竣工财务决算，特殊情况确需延长的，中小型项目不得超过2个月，大型项目不得超过6个月”的规定。</w:t>
      </w:r>
    </w:p>
    <w:p w14:paraId="38445ECD">
      <w:pPr>
        <w:pStyle w:val="32"/>
        <w:spacing w:line="360" w:lineRule="auto"/>
        <w:ind w:firstLine="522"/>
        <w:jc w:val="both"/>
        <w:rPr>
          <w:b/>
          <w:bCs/>
        </w:rPr>
      </w:pPr>
      <w:r>
        <w:rPr>
          <w:b/>
          <w:bCs/>
        </w:rPr>
        <w:t>资金管理方面</w:t>
      </w:r>
    </w:p>
    <w:p w14:paraId="480734AF">
      <w:pPr>
        <w:pStyle w:val="32"/>
        <w:spacing w:line="360" w:lineRule="auto"/>
        <w:ind w:firstLine="520"/>
        <w:jc w:val="both"/>
      </w:pPr>
      <w:r>
        <w:t>（四）年度资金计划不准确，导致资金闲置</w:t>
      </w:r>
    </w:p>
    <w:p w14:paraId="256E4AF8">
      <w:pPr>
        <w:pStyle w:val="32"/>
        <w:spacing w:line="360" w:lineRule="auto"/>
        <w:ind w:firstLine="520"/>
        <w:jc w:val="both"/>
      </w:pPr>
      <w:r>
        <w:t xml:space="preserve"> 截至202</w:t>
      </w:r>
      <w:r>
        <w:rPr>
          <w:rFonts w:hint="eastAsia"/>
          <w:lang w:val="en-US" w:eastAsia="zh-CN"/>
        </w:rPr>
        <w:t>4</w:t>
      </w:r>
      <w:r>
        <w:t>年末有1</w:t>
      </w:r>
      <w:r>
        <w:rPr>
          <w:rFonts w:hint="eastAsia"/>
          <w:lang w:val="en-US" w:eastAsia="zh-CN"/>
        </w:rPr>
        <w:t>,</w:t>
      </w:r>
      <w:r>
        <w:t>445.91万元在资金账户内。</w:t>
      </w:r>
    </w:p>
    <w:p w14:paraId="6263A01E">
      <w:pPr>
        <w:pStyle w:val="32"/>
        <w:spacing w:line="360" w:lineRule="auto"/>
        <w:ind w:firstLine="520"/>
        <w:jc w:val="both"/>
      </w:pPr>
      <w:r>
        <w:t>上述行为违反了财政部《关于进一步做好地方政府债券发行工作的意见》（财库</w:t>
      </w:r>
      <w:r>
        <w:rPr>
          <w:rFonts w:hint="eastAsia"/>
          <w:lang w:eastAsia="zh-CN"/>
        </w:rPr>
        <w:t>〔2020〕36号</w:t>
      </w:r>
      <w:r>
        <w:t>）“四、加强地方债发行项目评估，严防偿付风险（一）地方财政部门应当严格专项债券项目合规性审核和风险把控，加强对拟发债项目的评估，切实保障项目质量，严格落实收平衡有关要求”的规定。</w:t>
      </w:r>
    </w:p>
    <w:p w14:paraId="258D83E3">
      <w:pPr>
        <w:pStyle w:val="30"/>
        <w:spacing w:line="360" w:lineRule="auto"/>
        <w:ind w:firstLine="490" w:firstLineChars="200"/>
        <w:jc w:val="both"/>
        <w:rPr>
          <w:sz w:val="24"/>
          <w:szCs w:val="24"/>
        </w:rPr>
      </w:pPr>
      <w:bookmarkStart w:id="83" w:name="_Toc201739199"/>
      <w:bookmarkStart w:id="84" w:name="_Toc15657"/>
      <w:bookmarkStart w:id="85" w:name="_Toc18561"/>
      <w:r>
        <w:rPr>
          <w:sz w:val="24"/>
          <w:szCs w:val="24"/>
        </w:rPr>
        <w:t>建议</w:t>
      </w:r>
      <w:bookmarkEnd w:id="83"/>
    </w:p>
    <w:p w14:paraId="3583A8D9">
      <w:pPr>
        <w:pStyle w:val="30"/>
        <w:numPr>
          <w:ilvl w:val="0"/>
          <w:numId w:val="0"/>
        </w:numPr>
        <w:spacing w:line="360" w:lineRule="auto"/>
        <w:ind w:leftChars="200"/>
        <w:jc w:val="both"/>
        <w:outlineLvl w:val="1"/>
        <w:rPr>
          <w:b w:val="0"/>
          <w:bCs w:val="0"/>
          <w:spacing w:val="20"/>
          <w:sz w:val="24"/>
          <w:szCs w:val="23"/>
        </w:rPr>
      </w:pPr>
      <w:bookmarkStart w:id="86" w:name="_Toc201739200"/>
      <w:r>
        <w:rPr>
          <w:rFonts w:hint="eastAsia"/>
          <w:b w:val="0"/>
          <w:bCs w:val="0"/>
          <w:spacing w:val="20"/>
          <w:sz w:val="24"/>
          <w:szCs w:val="23"/>
          <w:lang w:eastAsia="zh-CN"/>
        </w:rPr>
        <w:t>（</w:t>
      </w:r>
      <w:r>
        <w:rPr>
          <w:rFonts w:hint="eastAsia"/>
          <w:b w:val="0"/>
          <w:bCs w:val="0"/>
          <w:spacing w:val="20"/>
          <w:sz w:val="24"/>
          <w:szCs w:val="23"/>
          <w:lang w:val="en-US" w:eastAsia="zh-CN"/>
        </w:rPr>
        <w:t>一）</w:t>
      </w:r>
      <w:r>
        <w:rPr>
          <w:b w:val="0"/>
          <w:bCs w:val="0"/>
          <w:spacing w:val="20"/>
          <w:sz w:val="24"/>
          <w:szCs w:val="23"/>
        </w:rPr>
        <w:t>建立绩效追踪机制，完善债券资金管理水平</w:t>
      </w:r>
      <w:bookmarkEnd w:id="86"/>
    </w:p>
    <w:p w14:paraId="623F14FD">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建议项目单位建立绩效追踪机制，加强专项债风险监督。及时了解项目建设及运行情况，以保证按时偿还债券本金及利息。绩效运行监控中，对专项债券资金预算执行进度和绩效目标实现情况进行“双监控”，查找资金使用和项目实施中的薄弱环节，及时纠正偏差。</w:t>
      </w:r>
    </w:p>
    <w:p w14:paraId="291A4BE1">
      <w:pPr>
        <w:pStyle w:val="30"/>
        <w:numPr>
          <w:ilvl w:val="0"/>
          <w:numId w:val="0"/>
        </w:numPr>
        <w:spacing w:line="360" w:lineRule="auto"/>
        <w:ind w:leftChars="200"/>
        <w:jc w:val="both"/>
        <w:outlineLvl w:val="1"/>
        <w:rPr>
          <w:b w:val="0"/>
          <w:bCs w:val="0"/>
          <w:spacing w:val="20"/>
          <w:sz w:val="24"/>
          <w:szCs w:val="23"/>
        </w:rPr>
      </w:pPr>
      <w:bookmarkStart w:id="87" w:name="_Toc201739201"/>
      <w:r>
        <w:rPr>
          <w:rFonts w:hint="eastAsia"/>
          <w:b w:val="0"/>
          <w:bCs w:val="0"/>
          <w:spacing w:val="20"/>
          <w:sz w:val="24"/>
          <w:szCs w:val="23"/>
          <w:lang w:eastAsia="zh-CN"/>
        </w:rPr>
        <w:t>（</w:t>
      </w:r>
      <w:r>
        <w:rPr>
          <w:rFonts w:hint="eastAsia"/>
          <w:b w:val="0"/>
          <w:bCs w:val="0"/>
          <w:spacing w:val="20"/>
          <w:sz w:val="24"/>
          <w:szCs w:val="23"/>
          <w:lang w:val="en-US" w:eastAsia="zh-CN"/>
        </w:rPr>
        <w:t>二）</w:t>
      </w:r>
      <w:r>
        <w:rPr>
          <w:b w:val="0"/>
          <w:bCs w:val="0"/>
          <w:spacing w:val="20"/>
          <w:sz w:val="24"/>
          <w:szCs w:val="23"/>
        </w:rPr>
        <w:t>强化工程项目管理，提高专项资金使用效率</w:t>
      </w:r>
      <w:bookmarkEnd w:id="87"/>
    </w:p>
    <w:p w14:paraId="1CFFF999">
      <w:pPr>
        <w:pStyle w:val="30"/>
        <w:numPr>
          <w:ilvl w:val="0"/>
          <w:numId w:val="0"/>
        </w:numPr>
        <w:spacing w:line="360" w:lineRule="auto"/>
        <w:ind w:firstLine="560" w:firstLineChars="200"/>
        <w:jc w:val="both"/>
        <w:outlineLvl w:val="9"/>
        <w:rPr>
          <w:b w:val="0"/>
          <w:bCs w:val="0"/>
          <w:spacing w:val="20"/>
          <w:sz w:val="24"/>
          <w:szCs w:val="23"/>
        </w:rPr>
      </w:pPr>
      <w:r>
        <w:rPr>
          <w:b w:val="0"/>
          <w:bCs w:val="0"/>
          <w:spacing w:val="20"/>
          <w:sz w:val="24"/>
          <w:szCs w:val="23"/>
        </w:rPr>
        <w:t>建议项目单位完善项目管理制度，加强项目的过程管理；合理安排项目工程组织计划、项目施工计划、项目竣工计划，同时严格执行相关计划。加快推进项目二期，提高专项债的使用效率，因项目实施条件变化或其他原因导致专项债资金无法及时有效使用时，及时上报主管部门，按照《地方政府专项债券用途调整指引》的相关规定调整。</w:t>
      </w:r>
    </w:p>
    <w:p w14:paraId="095CADD6">
      <w:pPr>
        <w:pStyle w:val="30"/>
        <w:spacing w:line="360" w:lineRule="auto"/>
        <w:ind w:firstLine="490" w:firstLineChars="200"/>
        <w:jc w:val="both"/>
        <w:rPr>
          <w:sz w:val="24"/>
          <w:szCs w:val="24"/>
        </w:rPr>
      </w:pPr>
      <w:bookmarkStart w:id="88" w:name="_Toc201739202"/>
      <w:r>
        <w:rPr>
          <w:sz w:val="24"/>
          <w:szCs w:val="24"/>
        </w:rPr>
        <w:t>其他需说明的情况</w:t>
      </w:r>
      <w:bookmarkEnd w:id="84"/>
      <w:bookmarkEnd w:id="85"/>
      <w:bookmarkEnd w:id="88"/>
    </w:p>
    <w:p w14:paraId="7CE5A981">
      <w:pPr>
        <w:pStyle w:val="32"/>
        <w:numPr>
          <w:ilvl w:val="0"/>
          <w:numId w:val="19"/>
        </w:numPr>
        <w:spacing w:line="360" w:lineRule="auto"/>
        <w:ind w:firstLine="520"/>
        <w:jc w:val="both"/>
      </w:pPr>
      <w:bookmarkStart w:id="89" w:name="_Toc2065"/>
      <w:r>
        <w:t>部分指标在评价过程中需要在被评价单位进行数据采集工作，由被评价单位对数据进行填报，其填报数据真实性和完整性可能会对绩效产生重要影响。</w:t>
      </w:r>
      <w:bookmarkEnd w:id="89"/>
    </w:p>
    <w:p w14:paraId="302DEE12">
      <w:pPr>
        <w:pStyle w:val="32"/>
        <w:numPr>
          <w:ilvl w:val="0"/>
          <w:numId w:val="19"/>
        </w:numPr>
        <w:spacing w:line="360" w:lineRule="auto"/>
        <w:ind w:firstLine="520"/>
        <w:jc w:val="both"/>
      </w:pPr>
      <w:bookmarkStart w:id="90" w:name="_Toc2051"/>
      <w:r>
        <w:t>截至评价日，二期项目尚未建成投入运营，在分析可持续效益时，拟对项目前期预期收益与融资</w:t>
      </w:r>
      <w:r>
        <w:rPr>
          <w:rFonts w:hint="eastAsia"/>
          <w:lang w:eastAsia="zh-CN"/>
        </w:rPr>
        <w:t>需求</w:t>
      </w:r>
      <w:r>
        <w:t>平衡测算进行再测算，测算过程需基于目前情况进行未来预测，预测结果会受到多种因素影响。</w:t>
      </w:r>
      <w:bookmarkEnd w:id="90"/>
    </w:p>
    <w:p w14:paraId="22DA5A5E">
      <w:pPr>
        <w:spacing w:before="76" w:line="192" w:lineRule="auto"/>
        <w:ind w:firstLine="381" w:firstLineChars="150"/>
        <w:jc w:val="both"/>
        <w:rPr>
          <w:rFonts w:hint="eastAsia" w:ascii="宋体" w:hAnsi="宋体" w:eastAsia="宋体" w:cs="宋体"/>
          <w:spacing w:val="12"/>
          <w:sz w:val="23"/>
          <w:szCs w:val="23"/>
        </w:rPr>
      </w:pPr>
    </w:p>
    <w:p w14:paraId="75CF97ED">
      <w:pPr>
        <w:spacing w:before="76" w:line="192" w:lineRule="auto"/>
        <w:jc w:val="both"/>
        <w:rPr>
          <w:rFonts w:hint="eastAsia" w:ascii="宋体" w:hAnsi="宋体" w:eastAsia="宋体" w:cs="宋体"/>
          <w:spacing w:val="12"/>
          <w:sz w:val="23"/>
          <w:szCs w:val="23"/>
        </w:rPr>
      </w:pPr>
    </w:p>
    <w:p w14:paraId="7DB2C829">
      <w:pPr>
        <w:spacing w:before="76" w:line="192" w:lineRule="auto"/>
        <w:ind w:firstLine="381" w:firstLineChars="150"/>
        <w:jc w:val="both"/>
        <w:rPr>
          <w:rFonts w:hint="eastAsia" w:ascii="宋体" w:hAnsi="宋体" w:eastAsia="宋体" w:cs="宋体"/>
          <w:spacing w:val="12"/>
          <w:sz w:val="23"/>
          <w:szCs w:val="23"/>
        </w:rPr>
      </w:pPr>
    </w:p>
    <w:p w14:paraId="6F0EBE8C">
      <w:pPr>
        <w:spacing w:before="76" w:line="192" w:lineRule="auto"/>
        <w:ind w:firstLine="381" w:firstLineChars="150"/>
        <w:jc w:val="both"/>
        <w:rPr>
          <w:rFonts w:hint="eastAsia" w:ascii="宋体" w:hAnsi="宋体" w:eastAsia="宋体" w:cs="宋体"/>
          <w:spacing w:val="12"/>
          <w:sz w:val="23"/>
          <w:szCs w:val="23"/>
        </w:rPr>
      </w:pPr>
      <w:r>
        <w:rPr>
          <w:rFonts w:hint="eastAsia" w:ascii="宋体" w:hAnsi="宋体" w:eastAsia="宋体" w:cs="宋体"/>
          <w:spacing w:val="12"/>
          <w:sz w:val="23"/>
          <w:szCs w:val="23"/>
        </w:rPr>
        <w:t>吉林民鑫绩效评价公司                  中国注册会计师：</w:t>
      </w:r>
    </w:p>
    <w:p w14:paraId="0BB766FB">
      <w:pPr>
        <w:pStyle w:val="17"/>
        <w:tabs>
          <w:tab w:val="left" w:pos="5040"/>
        </w:tabs>
        <w:spacing w:before="0" w:beforeAutospacing="0" w:after="0" w:afterAutospacing="0" w:line="480" w:lineRule="auto"/>
        <w:ind w:firstLine="480" w:firstLineChars="200"/>
        <w:jc w:val="both"/>
        <w:rPr>
          <w:rFonts w:hint="eastAsia" w:ascii="宋体" w:hAnsi="宋体"/>
        </w:rPr>
      </w:pPr>
      <w:r>
        <w:rPr>
          <w:rFonts w:hint="eastAsia" w:ascii="宋体" w:hAnsi="宋体"/>
        </w:rPr>
        <w:tab/>
      </w:r>
    </w:p>
    <w:p w14:paraId="3A7F1C4F">
      <w:pPr>
        <w:pStyle w:val="17"/>
        <w:tabs>
          <w:tab w:val="left" w:pos="5160"/>
        </w:tabs>
        <w:spacing w:before="240" w:beforeLines="100" w:beforeAutospacing="0" w:after="0" w:afterAutospacing="0" w:line="480" w:lineRule="auto"/>
        <w:ind w:firstLine="1440" w:firstLineChars="600"/>
        <w:jc w:val="both"/>
        <w:rPr>
          <w:rFonts w:hint="eastAsia" w:ascii="宋体" w:hAnsi="宋体"/>
        </w:rPr>
      </w:pPr>
      <w:r>
        <w:rPr>
          <w:rFonts w:hint="eastAsia" w:ascii="宋体" w:hAnsi="宋体"/>
        </w:rPr>
        <w:t>中国</w:t>
      </w:r>
      <w:r>
        <w:rPr>
          <w:rFonts w:hint="eastAsia" w:ascii="宋体" w:hAnsi="宋体" w:cs="宋体"/>
        </w:rPr>
        <w:t>·</w:t>
      </w:r>
      <w:r>
        <w:rPr>
          <w:rFonts w:hint="eastAsia" w:ascii="宋体" w:hAnsi="宋体"/>
        </w:rPr>
        <w:t>长春</w:t>
      </w:r>
      <w:r>
        <w:rPr>
          <w:rFonts w:hint="eastAsia" w:ascii="宋体" w:hAnsi="宋体"/>
        </w:rPr>
        <w:tab/>
      </w:r>
      <w:r>
        <w:rPr>
          <w:rFonts w:hint="eastAsia" w:ascii="宋体" w:hAnsi="宋体"/>
        </w:rPr>
        <w:t>中国注册会计师：</w:t>
      </w:r>
    </w:p>
    <w:p w14:paraId="75606CC0">
      <w:pPr>
        <w:tabs>
          <w:tab w:val="center" w:pos="2340"/>
          <w:tab w:val="left" w:pos="6000"/>
        </w:tabs>
        <w:spacing w:before="240" w:beforeLines="100" w:line="480" w:lineRule="auto"/>
        <w:ind w:firstLine="5280" w:firstLineChars="2200"/>
        <w:jc w:val="both"/>
        <w:rPr>
          <w:rFonts w:hint="eastAsia" w:ascii="宋体" w:hAnsi="宋体"/>
          <w:sz w:val="24"/>
        </w:rPr>
      </w:pPr>
      <w:r>
        <w:rPr>
          <w:rFonts w:hint="eastAsia" w:ascii="宋体" w:hAnsi="宋体"/>
          <w:sz w:val="24"/>
          <w:highlight w:val="yellow"/>
        </w:rPr>
        <w:t>2</w:t>
      </w:r>
      <w:r>
        <w:rPr>
          <w:rFonts w:ascii="宋体" w:hAnsi="宋体"/>
          <w:sz w:val="24"/>
          <w:highlight w:val="yellow"/>
        </w:rPr>
        <w:t>0</w:t>
      </w:r>
      <w:r>
        <w:rPr>
          <w:rFonts w:hint="eastAsia" w:ascii="宋体" w:hAnsi="宋体"/>
          <w:sz w:val="24"/>
          <w:highlight w:val="yellow"/>
        </w:rPr>
        <w:t>24年6月14日</w:t>
      </w:r>
    </w:p>
    <w:p w14:paraId="7582C1F2">
      <w:pPr>
        <w:spacing w:line="14" w:lineRule="auto"/>
        <w:jc w:val="both"/>
        <w:rPr>
          <w:sz w:val="2"/>
        </w:rPr>
      </w:pPr>
      <w:r>
        <w:rPr>
          <w:rFonts w:eastAsia="Arial"/>
          <w:sz w:val="2"/>
          <w:szCs w:val="2"/>
        </w:rPr>
        <w:br w:type="column"/>
      </w:r>
    </w:p>
    <w:p w14:paraId="06FB51D0">
      <w:pPr>
        <w:spacing w:before="74" w:line="227" w:lineRule="auto"/>
        <w:ind w:left="114"/>
        <w:jc w:val="both"/>
        <w:outlineLvl w:val="0"/>
        <w:rPr>
          <w:rFonts w:hint="eastAsia" w:ascii="宋体" w:hAnsi="宋体" w:eastAsia="宋体" w:cs="宋体"/>
          <w:sz w:val="23"/>
          <w:szCs w:val="23"/>
        </w:rPr>
      </w:pPr>
      <w:bookmarkStart w:id="91" w:name="_Toc3822"/>
      <w:bookmarkStart w:id="92" w:name="_Toc201739203"/>
      <w:bookmarkStart w:id="93" w:name="_Toc10181"/>
      <w:r>
        <w:rPr>
          <w:rFonts w:ascii="宋体" w:hAnsi="宋体" w:eastAsia="宋体" w:cs="宋体"/>
          <w:spacing w:val="1"/>
          <w:sz w:val="23"/>
          <w:szCs w:val="23"/>
          <w14:textOutline w14:w="4356" w14:cap="sq" w14:cmpd="sng" w14:algn="ctr">
            <w14:solidFill>
              <w14:srgbClr w14:val="000000"/>
            </w14:solidFill>
            <w14:prstDash w14:val="solid"/>
            <w14:bevel/>
          </w14:textOutline>
        </w:rPr>
        <w:t>附件</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1：综</w:t>
      </w:r>
      <w:r>
        <w:rPr>
          <w:rFonts w:ascii="宋体" w:hAnsi="宋体" w:eastAsia="宋体" w:cs="宋体"/>
          <w:sz w:val="23"/>
          <w:szCs w:val="23"/>
          <w14:textOutline w14:w="4356" w14:cap="sq" w14:cmpd="sng" w14:algn="ctr">
            <w14:solidFill>
              <w14:srgbClr w14:val="000000"/>
            </w14:solidFill>
            <w14:prstDash w14:val="solid"/>
            <w14:bevel/>
          </w14:textOutline>
        </w:rPr>
        <w:t>合评价表</w:t>
      </w:r>
      <w:bookmarkEnd w:id="91"/>
      <w:bookmarkEnd w:id="92"/>
      <w:bookmarkEnd w:id="93"/>
    </w:p>
    <w:p w14:paraId="31A9CF92">
      <w:pPr>
        <w:spacing w:line="241" w:lineRule="auto"/>
        <w:jc w:val="both"/>
      </w:pPr>
    </w:p>
    <w:p w14:paraId="3CA75503">
      <w:pPr>
        <w:spacing w:before="75" w:line="226" w:lineRule="auto"/>
        <w:ind w:left="3861"/>
        <w:jc w:val="both"/>
        <w:rPr>
          <w:rFonts w:hint="eastAsia" w:ascii="宋体" w:hAnsi="宋体" w:eastAsia="宋体" w:cs="宋体"/>
          <w:spacing w:val="8"/>
          <w:sz w:val="23"/>
          <w:szCs w:val="23"/>
          <w14:textOutline w14:w="4356" w14:cap="sq" w14:cmpd="sng" w14:algn="ctr">
            <w14:solidFill>
              <w14:srgbClr w14:val="000000"/>
            </w14:solidFill>
            <w14:prstDash w14:val="solid"/>
            <w14:bevel/>
          </w14:textOutline>
        </w:rPr>
      </w:pPr>
      <w:bookmarkStart w:id="94" w:name="_bookmark24"/>
      <w:bookmarkEnd w:id="94"/>
      <w:bookmarkStart w:id="95" w:name="_Toc16467"/>
      <w:bookmarkStart w:id="96" w:name="_Toc24691"/>
      <w:r>
        <w:rPr>
          <w:rFonts w:ascii="宋体" w:hAnsi="宋体" w:eastAsia="宋体" w:cs="宋体"/>
          <w:spacing w:val="10"/>
          <w:sz w:val="23"/>
          <w:szCs w:val="23"/>
          <w14:textOutline w14:w="4356" w14:cap="sq" w14:cmpd="sng" w14:algn="ctr">
            <w14:solidFill>
              <w14:srgbClr w14:val="000000"/>
            </w14:solidFill>
            <w14:prstDash w14:val="solid"/>
            <w14:bevel/>
          </w14:textOutline>
        </w:rPr>
        <w:t>综</w:t>
      </w:r>
      <w:r>
        <w:rPr>
          <w:rFonts w:ascii="宋体" w:hAnsi="宋体" w:eastAsia="宋体" w:cs="宋体"/>
          <w:spacing w:val="8"/>
          <w:sz w:val="23"/>
          <w:szCs w:val="23"/>
          <w14:textOutline w14:w="4356" w14:cap="sq" w14:cmpd="sng" w14:algn="ctr">
            <w14:solidFill>
              <w14:srgbClr w14:val="000000"/>
            </w14:solidFill>
            <w14:prstDash w14:val="solid"/>
            <w14:bevel/>
          </w14:textOutline>
        </w:rPr>
        <w:t>合评价表</w:t>
      </w:r>
      <w:bookmarkEnd w:id="95"/>
      <w:bookmarkEnd w:id="96"/>
    </w:p>
    <w:p w14:paraId="1B63BCA1">
      <w:pPr>
        <w:spacing w:before="75" w:line="226" w:lineRule="auto"/>
        <w:ind w:left="3859"/>
        <w:jc w:val="both"/>
        <w:outlineLvl w:val="0"/>
        <w:rPr>
          <w:rFonts w:hint="eastAsia" w:ascii="宋体" w:hAnsi="宋体" w:eastAsia="宋体" w:cs="宋体"/>
          <w:sz w:val="23"/>
          <w:szCs w:val="23"/>
        </w:rPr>
      </w:pPr>
    </w:p>
    <w:tbl>
      <w:tblPr>
        <w:tblStyle w:val="18"/>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266"/>
        <w:gridCol w:w="4679"/>
        <w:gridCol w:w="625"/>
        <w:gridCol w:w="637"/>
      </w:tblGrid>
      <w:tr w14:paraId="074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44" w:type="pct"/>
            <w:vMerge w:val="restart"/>
            <w:shd w:val="clear" w:color="auto" w:fill="auto"/>
            <w:vAlign w:val="center"/>
          </w:tcPr>
          <w:p w14:paraId="79F5CE9C">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一级</w:t>
            </w:r>
          </w:p>
          <w:p w14:paraId="2E34F7E3">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指标</w:t>
            </w:r>
          </w:p>
        </w:tc>
        <w:tc>
          <w:tcPr>
            <w:tcW w:w="1203" w:type="pct"/>
            <w:vMerge w:val="restart"/>
            <w:shd w:val="clear" w:color="auto" w:fill="auto"/>
            <w:vAlign w:val="center"/>
          </w:tcPr>
          <w:p w14:paraId="0DDEB44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二级指标</w:t>
            </w:r>
          </w:p>
        </w:tc>
        <w:tc>
          <w:tcPr>
            <w:tcW w:w="2483" w:type="pct"/>
            <w:vMerge w:val="restart"/>
            <w:shd w:val="clear" w:color="auto" w:fill="auto"/>
            <w:vAlign w:val="center"/>
          </w:tcPr>
          <w:p w14:paraId="5522472D">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三级指标</w:t>
            </w:r>
          </w:p>
        </w:tc>
        <w:tc>
          <w:tcPr>
            <w:tcW w:w="332" w:type="pct"/>
            <w:vMerge w:val="restart"/>
            <w:shd w:val="clear" w:color="auto" w:fill="auto"/>
            <w:vAlign w:val="center"/>
          </w:tcPr>
          <w:p w14:paraId="41B27BC0">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指标</w:t>
            </w:r>
          </w:p>
          <w:p w14:paraId="4A0C7DB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权重</w:t>
            </w:r>
          </w:p>
        </w:tc>
        <w:tc>
          <w:tcPr>
            <w:tcW w:w="338" w:type="pct"/>
            <w:vMerge w:val="restart"/>
            <w:shd w:val="clear" w:color="auto" w:fill="auto"/>
            <w:vAlign w:val="center"/>
          </w:tcPr>
          <w:p w14:paraId="39DD5F8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得分</w:t>
            </w:r>
          </w:p>
        </w:tc>
      </w:tr>
      <w:tr w14:paraId="113B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0D16A0C3">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50F209C1">
            <w:pPr>
              <w:kinsoku/>
              <w:autoSpaceDE/>
              <w:autoSpaceDN/>
              <w:adjustRightInd/>
              <w:snapToGrid/>
              <w:jc w:val="both"/>
              <w:textAlignment w:val="auto"/>
              <w:rPr>
                <w:rFonts w:hint="eastAsia" w:ascii="宋体" w:hAnsi="宋体" w:eastAsia="宋体" w:cs="宋体"/>
                <w:snapToGrid/>
              </w:rPr>
            </w:pPr>
          </w:p>
        </w:tc>
        <w:tc>
          <w:tcPr>
            <w:tcW w:w="2483" w:type="pct"/>
            <w:vMerge w:val="continue"/>
            <w:vAlign w:val="center"/>
          </w:tcPr>
          <w:p w14:paraId="6BCF4C29">
            <w:pPr>
              <w:kinsoku/>
              <w:autoSpaceDE/>
              <w:autoSpaceDN/>
              <w:adjustRightInd/>
              <w:snapToGrid/>
              <w:jc w:val="both"/>
              <w:textAlignment w:val="auto"/>
              <w:rPr>
                <w:rFonts w:hint="eastAsia" w:ascii="宋体" w:hAnsi="宋体" w:eastAsia="宋体" w:cs="宋体"/>
                <w:snapToGrid/>
              </w:rPr>
            </w:pPr>
          </w:p>
        </w:tc>
        <w:tc>
          <w:tcPr>
            <w:tcW w:w="332" w:type="pct"/>
            <w:vMerge w:val="continue"/>
            <w:vAlign w:val="center"/>
          </w:tcPr>
          <w:p w14:paraId="73D578F4">
            <w:pPr>
              <w:kinsoku/>
              <w:autoSpaceDE/>
              <w:autoSpaceDN/>
              <w:adjustRightInd/>
              <w:snapToGrid/>
              <w:jc w:val="both"/>
              <w:textAlignment w:val="auto"/>
              <w:rPr>
                <w:rFonts w:hint="eastAsia" w:ascii="宋体" w:hAnsi="宋体" w:eastAsia="宋体" w:cs="宋体"/>
                <w:snapToGrid/>
              </w:rPr>
            </w:pPr>
          </w:p>
        </w:tc>
        <w:tc>
          <w:tcPr>
            <w:tcW w:w="338" w:type="pct"/>
            <w:vMerge w:val="continue"/>
            <w:vAlign w:val="center"/>
          </w:tcPr>
          <w:p w14:paraId="799380A9">
            <w:pPr>
              <w:kinsoku/>
              <w:autoSpaceDE/>
              <w:autoSpaceDN/>
              <w:adjustRightInd/>
              <w:snapToGrid/>
              <w:jc w:val="both"/>
              <w:textAlignment w:val="auto"/>
              <w:rPr>
                <w:rFonts w:hint="eastAsia" w:ascii="宋体" w:hAnsi="宋体" w:eastAsia="宋体" w:cs="宋体"/>
                <w:snapToGrid/>
              </w:rPr>
            </w:pPr>
          </w:p>
        </w:tc>
      </w:tr>
      <w:tr w14:paraId="76F1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42E36F7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A决策</w:t>
            </w:r>
          </w:p>
          <w:p w14:paraId="2BE0551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（20分）</w:t>
            </w:r>
          </w:p>
        </w:tc>
        <w:tc>
          <w:tcPr>
            <w:tcW w:w="1203" w:type="pct"/>
            <w:vMerge w:val="restart"/>
            <w:shd w:val="clear" w:color="auto" w:fill="auto"/>
            <w:vAlign w:val="center"/>
          </w:tcPr>
          <w:p w14:paraId="41D233F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A1专项债券项目申报的政策依据与程序规范性</w:t>
            </w:r>
          </w:p>
        </w:tc>
        <w:tc>
          <w:tcPr>
            <w:tcW w:w="2483" w:type="pct"/>
            <w:shd w:val="clear" w:color="auto" w:fill="auto"/>
            <w:noWrap/>
            <w:vAlign w:val="center"/>
          </w:tcPr>
          <w:p w14:paraId="378EE43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A101项目立项依据</w:t>
            </w:r>
          </w:p>
        </w:tc>
        <w:tc>
          <w:tcPr>
            <w:tcW w:w="332" w:type="pct"/>
            <w:shd w:val="clear" w:color="auto" w:fill="auto"/>
            <w:noWrap/>
            <w:vAlign w:val="center"/>
          </w:tcPr>
          <w:p w14:paraId="1F68FB4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338" w:type="pct"/>
            <w:shd w:val="clear" w:color="auto" w:fill="auto"/>
            <w:vAlign w:val="center"/>
          </w:tcPr>
          <w:p w14:paraId="0E40B49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r>
      <w:tr w14:paraId="1A84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2F610A83">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62952D30">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21CC9DD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A102立项程序规范性</w:t>
            </w:r>
          </w:p>
        </w:tc>
        <w:tc>
          <w:tcPr>
            <w:tcW w:w="332" w:type="pct"/>
            <w:shd w:val="clear" w:color="auto" w:fill="auto"/>
            <w:noWrap/>
            <w:vAlign w:val="center"/>
          </w:tcPr>
          <w:p w14:paraId="40F94374">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38" w:type="pct"/>
            <w:shd w:val="clear" w:color="auto" w:fill="auto"/>
            <w:vAlign w:val="center"/>
          </w:tcPr>
          <w:p w14:paraId="4B02341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r>
      <w:tr w14:paraId="2732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FB01287">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1136151B">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6A1297D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A103债券支持领域和方向符合性</w:t>
            </w:r>
          </w:p>
        </w:tc>
        <w:tc>
          <w:tcPr>
            <w:tcW w:w="332" w:type="pct"/>
            <w:shd w:val="clear" w:color="auto" w:fill="auto"/>
            <w:noWrap/>
            <w:vAlign w:val="center"/>
          </w:tcPr>
          <w:p w14:paraId="634E727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10D4C5C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264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59896FE1">
            <w:pPr>
              <w:kinsoku/>
              <w:autoSpaceDE/>
              <w:autoSpaceDN/>
              <w:adjustRightInd/>
              <w:snapToGrid/>
              <w:jc w:val="both"/>
              <w:textAlignment w:val="auto"/>
              <w:rPr>
                <w:rFonts w:hint="eastAsia" w:ascii="宋体" w:hAnsi="宋体" w:eastAsia="宋体" w:cs="宋体"/>
                <w:snapToGrid/>
              </w:rPr>
            </w:pPr>
          </w:p>
        </w:tc>
        <w:tc>
          <w:tcPr>
            <w:tcW w:w="1203" w:type="pct"/>
            <w:vMerge w:val="restart"/>
            <w:shd w:val="clear" w:color="auto" w:fill="auto"/>
            <w:vAlign w:val="center"/>
          </w:tcPr>
          <w:p w14:paraId="5FABC51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A2地方政府专项债券项目绩效目标设定的合理性与指 标明确性</w:t>
            </w:r>
          </w:p>
        </w:tc>
        <w:tc>
          <w:tcPr>
            <w:tcW w:w="2483" w:type="pct"/>
            <w:shd w:val="clear" w:color="auto" w:fill="auto"/>
            <w:noWrap/>
            <w:vAlign w:val="center"/>
          </w:tcPr>
          <w:p w14:paraId="64DC04D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A201绩效目标设定合理性</w:t>
            </w:r>
          </w:p>
        </w:tc>
        <w:tc>
          <w:tcPr>
            <w:tcW w:w="332" w:type="pct"/>
            <w:shd w:val="clear" w:color="auto" w:fill="auto"/>
            <w:noWrap/>
            <w:vAlign w:val="center"/>
          </w:tcPr>
          <w:p w14:paraId="5083673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034C3A0C">
            <w:pPr>
              <w:kinsoku/>
              <w:autoSpaceDE/>
              <w:autoSpaceDN/>
              <w:adjustRightInd/>
              <w:snapToGrid/>
              <w:jc w:val="both"/>
              <w:textAlignment w:val="auto"/>
              <w:rPr>
                <w:rFonts w:hint="eastAsia" w:ascii="宋体" w:hAnsi="宋体" w:eastAsia="宋体" w:cs="宋体"/>
                <w:snapToGrid/>
                <w:lang w:eastAsia="zh-CN"/>
              </w:rPr>
            </w:pPr>
            <w:r>
              <w:rPr>
                <w:rFonts w:hint="eastAsia" w:ascii="宋体" w:hAnsi="宋体" w:eastAsia="宋体" w:cs="宋体"/>
                <w:snapToGrid/>
                <w:lang w:val="en-US" w:eastAsia="zh-CN"/>
              </w:rPr>
              <w:t>0</w:t>
            </w:r>
          </w:p>
        </w:tc>
      </w:tr>
      <w:tr w14:paraId="089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0BF5A986">
            <w:pPr>
              <w:kinsoku/>
              <w:autoSpaceDE/>
              <w:autoSpaceDN/>
              <w:adjustRightInd/>
              <w:snapToGrid/>
              <w:jc w:val="both"/>
              <w:textAlignment w:val="auto"/>
              <w:rPr>
                <w:rFonts w:hint="eastAsia" w:ascii="宋体" w:hAnsi="宋体" w:eastAsia="宋体" w:cs="宋体"/>
                <w:snapToGrid/>
              </w:rPr>
            </w:pPr>
          </w:p>
        </w:tc>
        <w:tc>
          <w:tcPr>
            <w:tcW w:w="1203" w:type="pct"/>
            <w:vMerge w:val="continue"/>
            <w:shd w:val="clear" w:color="auto" w:fill="auto"/>
            <w:vAlign w:val="center"/>
          </w:tcPr>
          <w:p w14:paraId="7399DC9E">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7D0DA21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A202绩效指标明确性</w:t>
            </w:r>
          </w:p>
        </w:tc>
        <w:tc>
          <w:tcPr>
            <w:tcW w:w="332" w:type="pct"/>
            <w:shd w:val="clear" w:color="auto" w:fill="auto"/>
            <w:noWrap/>
            <w:vAlign w:val="center"/>
          </w:tcPr>
          <w:p w14:paraId="1FE558C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338" w:type="pct"/>
            <w:shd w:val="clear" w:color="auto" w:fill="auto"/>
            <w:vAlign w:val="center"/>
          </w:tcPr>
          <w:p w14:paraId="05434F64">
            <w:pPr>
              <w:kinsoku/>
              <w:autoSpaceDE/>
              <w:autoSpaceDN/>
              <w:adjustRightInd/>
              <w:snapToGrid/>
              <w:jc w:val="both"/>
              <w:textAlignment w:val="auto"/>
              <w:rPr>
                <w:rFonts w:hint="eastAsia" w:ascii="宋体" w:hAnsi="宋体" w:eastAsia="宋体" w:cs="宋体"/>
                <w:snapToGrid/>
                <w:color w:val="auto"/>
                <w:lang w:eastAsia="zh-CN"/>
              </w:rPr>
            </w:pPr>
            <w:r>
              <w:rPr>
                <w:rFonts w:hint="eastAsia" w:ascii="宋体" w:hAnsi="宋体" w:eastAsia="宋体" w:cs="宋体"/>
                <w:snapToGrid/>
                <w:color w:val="auto"/>
                <w:lang w:val="en-US" w:eastAsia="zh-CN"/>
              </w:rPr>
              <w:t>0</w:t>
            </w:r>
          </w:p>
        </w:tc>
      </w:tr>
      <w:tr w14:paraId="7E97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1E9F3DD">
            <w:pPr>
              <w:kinsoku/>
              <w:autoSpaceDE/>
              <w:autoSpaceDN/>
              <w:adjustRightInd/>
              <w:snapToGrid/>
              <w:jc w:val="both"/>
              <w:textAlignment w:val="auto"/>
              <w:rPr>
                <w:rFonts w:hint="eastAsia" w:ascii="宋体" w:hAnsi="宋体" w:eastAsia="宋体" w:cs="宋体"/>
                <w:snapToGrid/>
              </w:rPr>
            </w:pPr>
          </w:p>
        </w:tc>
        <w:tc>
          <w:tcPr>
            <w:tcW w:w="1203" w:type="pct"/>
            <w:vMerge w:val="restart"/>
            <w:shd w:val="clear" w:color="auto" w:fill="auto"/>
            <w:vAlign w:val="center"/>
          </w:tcPr>
          <w:p w14:paraId="7CA1489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A3地方政府专项债券资金平衡方</w:t>
            </w:r>
            <w:r>
              <w:rPr>
                <w:rFonts w:hint="eastAsia" w:ascii="宋体" w:hAnsi="宋体" w:eastAsia="宋体" w:cs="宋体"/>
                <w:snapToGrid/>
                <w:lang w:eastAsia="zh-CN"/>
              </w:rPr>
              <w:t>案的</w:t>
            </w:r>
            <w:r>
              <w:rPr>
                <w:rFonts w:hint="eastAsia" w:ascii="宋体" w:hAnsi="宋体" w:eastAsia="宋体" w:cs="宋体"/>
                <w:snapToGrid/>
              </w:rPr>
              <w:t>科学性和资金分配 的合理性</w:t>
            </w:r>
          </w:p>
        </w:tc>
        <w:tc>
          <w:tcPr>
            <w:tcW w:w="2483" w:type="pct"/>
            <w:shd w:val="clear" w:color="auto" w:fill="auto"/>
            <w:noWrap/>
            <w:vAlign w:val="center"/>
          </w:tcPr>
          <w:p w14:paraId="49B00BE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A301资金平衡方案的科学性</w:t>
            </w:r>
          </w:p>
        </w:tc>
        <w:tc>
          <w:tcPr>
            <w:tcW w:w="332" w:type="pct"/>
            <w:shd w:val="clear" w:color="auto" w:fill="auto"/>
            <w:noWrap/>
            <w:vAlign w:val="center"/>
          </w:tcPr>
          <w:p w14:paraId="14A0BEE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38" w:type="pct"/>
            <w:shd w:val="clear" w:color="auto" w:fill="auto"/>
            <w:vAlign w:val="center"/>
          </w:tcPr>
          <w:p w14:paraId="7828B5CE">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3</w:t>
            </w:r>
          </w:p>
        </w:tc>
      </w:tr>
      <w:tr w14:paraId="603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185A940">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0F6B3B93">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67053CF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A302资金分配合理性</w:t>
            </w:r>
          </w:p>
        </w:tc>
        <w:tc>
          <w:tcPr>
            <w:tcW w:w="332" w:type="pct"/>
            <w:shd w:val="clear" w:color="auto" w:fill="auto"/>
            <w:noWrap/>
            <w:vAlign w:val="center"/>
          </w:tcPr>
          <w:p w14:paraId="5465AA8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24878D81">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1</w:t>
            </w:r>
          </w:p>
        </w:tc>
      </w:tr>
      <w:tr w14:paraId="7B78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7B62218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B过程管理</w:t>
            </w:r>
          </w:p>
          <w:p w14:paraId="16E4B62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w:t>
            </w:r>
            <w:r>
              <w:rPr>
                <w:rFonts w:ascii="宋体" w:hAnsi="宋体" w:eastAsia="宋体" w:cs="宋体"/>
                <w:snapToGrid/>
              </w:rPr>
              <w:t>2</w:t>
            </w:r>
            <w:r>
              <w:rPr>
                <w:rFonts w:hint="eastAsia" w:ascii="宋体" w:hAnsi="宋体" w:eastAsia="宋体" w:cs="宋体"/>
                <w:snapToGrid/>
              </w:rPr>
              <w:t>5分）</w:t>
            </w:r>
          </w:p>
        </w:tc>
        <w:tc>
          <w:tcPr>
            <w:tcW w:w="1203" w:type="pct"/>
            <w:vMerge w:val="restart"/>
            <w:shd w:val="clear" w:color="auto" w:fill="auto"/>
            <w:vAlign w:val="center"/>
          </w:tcPr>
          <w:p w14:paraId="3653BEE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B1地方政府专项债券资金管理情况</w:t>
            </w:r>
          </w:p>
        </w:tc>
        <w:tc>
          <w:tcPr>
            <w:tcW w:w="2483" w:type="pct"/>
            <w:shd w:val="clear" w:color="auto" w:fill="auto"/>
            <w:noWrap/>
            <w:vAlign w:val="center"/>
          </w:tcPr>
          <w:p w14:paraId="2E252E7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B101资金到位率</w:t>
            </w:r>
          </w:p>
        </w:tc>
        <w:tc>
          <w:tcPr>
            <w:tcW w:w="332" w:type="pct"/>
            <w:shd w:val="clear" w:color="auto" w:fill="auto"/>
            <w:noWrap/>
            <w:vAlign w:val="center"/>
          </w:tcPr>
          <w:p w14:paraId="26A3735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38" w:type="pct"/>
            <w:shd w:val="clear" w:color="auto" w:fill="auto"/>
            <w:vAlign w:val="center"/>
          </w:tcPr>
          <w:p w14:paraId="0FD5A268">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3.2</w:t>
            </w:r>
          </w:p>
        </w:tc>
      </w:tr>
      <w:tr w14:paraId="15F4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35CBEC18">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764AFB2E">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73765C3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B102资金使用率</w:t>
            </w:r>
          </w:p>
        </w:tc>
        <w:tc>
          <w:tcPr>
            <w:tcW w:w="332" w:type="pct"/>
            <w:shd w:val="clear" w:color="auto" w:fill="auto"/>
            <w:noWrap/>
            <w:vAlign w:val="center"/>
          </w:tcPr>
          <w:p w14:paraId="675D2E0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38" w:type="pct"/>
            <w:shd w:val="clear" w:color="auto" w:fill="auto"/>
            <w:vAlign w:val="center"/>
          </w:tcPr>
          <w:p w14:paraId="4DED3DF5">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3.17</w:t>
            </w:r>
          </w:p>
        </w:tc>
      </w:tr>
      <w:tr w14:paraId="368C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5383431">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7FF1C328">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041DA66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B103专项债券资金使用合规性</w:t>
            </w:r>
          </w:p>
        </w:tc>
        <w:tc>
          <w:tcPr>
            <w:tcW w:w="332" w:type="pct"/>
            <w:shd w:val="clear" w:color="auto" w:fill="auto"/>
            <w:noWrap/>
            <w:vAlign w:val="center"/>
          </w:tcPr>
          <w:p w14:paraId="52AC498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338" w:type="pct"/>
            <w:shd w:val="clear" w:color="auto" w:fill="auto"/>
            <w:vAlign w:val="center"/>
          </w:tcPr>
          <w:p w14:paraId="30421B4B">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2</w:t>
            </w:r>
          </w:p>
        </w:tc>
      </w:tr>
      <w:tr w14:paraId="642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72360FC2">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764695C1">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7E3D705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B104债券资金跟踪机制健全性</w:t>
            </w:r>
          </w:p>
        </w:tc>
        <w:tc>
          <w:tcPr>
            <w:tcW w:w="332" w:type="pct"/>
            <w:shd w:val="clear" w:color="auto" w:fill="auto"/>
            <w:noWrap/>
            <w:vAlign w:val="center"/>
          </w:tcPr>
          <w:p w14:paraId="383F0A1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082EC9D7">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0</w:t>
            </w:r>
          </w:p>
        </w:tc>
      </w:tr>
      <w:tr w14:paraId="2B24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2DF33118">
            <w:pPr>
              <w:kinsoku/>
              <w:autoSpaceDE/>
              <w:autoSpaceDN/>
              <w:adjustRightInd/>
              <w:snapToGrid/>
              <w:jc w:val="both"/>
              <w:textAlignment w:val="auto"/>
              <w:rPr>
                <w:rFonts w:hint="eastAsia" w:ascii="宋体" w:hAnsi="宋体" w:eastAsia="宋体" w:cs="宋体"/>
                <w:snapToGrid/>
              </w:rPr>
            </w:pPr>
          </w:p>
        </w:tc>
        <w:tc>
          <w:tcPr>
            <w:tcW w:w="1203" w:type="pct"/>
            <w:vMerge w:val="restart"/>
            <w:shd w:val="clear" w:color="auto" w:fill="auto"/>
            <w:vAlign w:val="center"/>
          </w:tcPr>
          <w:p w14:paraId="474EAC3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B2组织实施</w:t>
            </w:r>
          </w:p>
        </w:tc>
        <w:tc>
          <w:tcPr>
            <w:tcW w:w="2483" w:type="pct"/>
            <w:shd w:val="clear" w:color="auto" w:fill="auto"/>
            <w:noWrap/>
            <w:vAlign w:val="center"/>
          </w:tcPr>
          <w:p w14:paraId="2DC3487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B201专项债券资金管理制度健全性及执行有效性</w:t>
            </w:r>
          </w:p>
        </w:tc>
        <w:tc>
          <w:tcPr>
            <w:tcW w:w="332" w:type="pct"/>
            <w:shd w:val="clear" w:color="auto" w:fill="auto"/>
            <w:noWrap/>
            <w:vAlign w:val="center"/>
          </w:tcPr>
          <w:p w14:paraId="212E6D2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34E85E35">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2</w:t>
            </w:r>
          </w:p>
        </w:tc>
      </w:tr>
      <w:tr w14:paraId="16EB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73967FC">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2292F3FB">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noWrap/>
            <w:vAlign w:val="center"/>
          </w:tcPr>
          <w:p w14:paraId="23CE227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B202项目管理制度的完备性及执行的有效性</w:t>
            </w:r>
          </w:p>
        </w:tc>
        <w:tc>
          <w:tcPr>
            <w:tcW w:w="332" w:type="pct"/>
            <w:shd w:val="clear" w:color="auto" w:fill="auto"/>
            <w:noWrap/>
            <w:vAlign w:val="center"/>
          </w:tcPr>
          <w:p w14:paraId="4DA2422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401240BF">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2</w:t>
            </w:r>
          </w:p>
        </w:tc>
      </w:tr>
      <w:tr w14:paraId="1468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77826C11">
            <w:pPr>
              <w:kinsoku/>
              <w:autoSpaceDE/>
              <w:autoSpaceDN/>
              <w:adjustRightInd/>
              <w:snapToGrid/>
              <w:jc w:val="both"/>
              <w:textAlignment w:val="auto"/>
              <w:rPr>
                <w:rFonts w:hint="eastAsia" w:ascii="宋体" w:hAnsi="宋体" w:eastAsia="宋体" w:cs="宋体"/>
                <w:snapToGrid/>
              </w:rPr>
            </w:pPr>
          </w:p>
        </w:tc>
        <w:tc>
          <w:tcPr>
            <w:tcW w:w="1203" w:type="pct"/>
            <w:vMerge w:val="restart"/>
            <w:shd w:val="clear" w:color="auto" w:fill="auto"/>
            <w:vAlign w:val="center"/>
          </w:tcPr>
          <w:p w14:paraId="47E8917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B3资产管理</w:t>
            </w:r>
          </w:p>
        </w:tc>
        <w:tc>
          <w:tcPr>
            <w:tcW w:w="2483" w:type="pct"/>
            <w:shd w:val="clear" w:color="auto" w:fill="auto"/>
            <w:vAlign w:val="center"/>
          </w:tcPr>
          <w:p w14:paraId="7252CF34">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B301已完工项目资产确权及时性</w:t>
            </w:r>
          </w:p>
        </w:tc>
        <w:tc>
          <w:tcPr>
            <w:tcW w:w="332" w:type="pct"/>
            <w:shd w:val="clear" w:color="auto" w:fill="auto"/>
            <w:noWrap/>
            <w:vAlign w:val="center"/>
          </w:tcPr>
          <w:p w14:paraId="583883B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00A84B7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4EB6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75F24502">
            <w:pPr>
              <w:kinsoku/>
              <w:autoSpaceDE/>
              <w:autoSpaceDN/>
              <w:adjustRightInd/>
              <w:snapToGrid/>
              <w:jc w:val="both"/>
              <w:textAlignment w:val="auto"/>
              <w:rPr>
                <w:rFonts w:hint="eastAsia" w:ascii="宋体" w:hAnsi="宋体" w:eastAsia="宋体" w:cs="宋体"/>
                <w:snapToGrid/>
              </w:rPr>
            </w:pPr>
          </w:p>
        </w:tc>
        <w:tc>
          <w:tcPr>
            <w:tcW w:w="1203" w:type="pct"/>
            <w:vMerge w:val="continue"/>
            <w:vAlign w:val="center"/>
          </w:tcPr>
          <w:p w14:paraId="5F5487C0">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vAlign w:val="center"/>
          </w:tcPr>
          <w:p w14:paraId="2D08E93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B302已完工项目安全、完整性</w:t>
            </w:r>
          </w:p>
        </w:tc>
        <w:tc>
          <w:tcPr>
            <w:tcW w:w="332" w:type="pct"/>
            <w:shd w:val="clear" w:color="auto" w:fill="auto"/>
            <w:noWrap/>
            <w:vAlign w:val="center"/>
          </w:tcPr>
          <w:p w14:paraId="111BE0A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2543DF2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0921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shd w:val="clear" w:color="auto" w:fill="auto"/>
            <w:noWrap/>
            <w:vAlign w:val="center"/>
          </w:tcPr>
          <w:p w14:paraId="4E33E790">
            <w:pPr>
              <w:kinsoku/>
              <w:autoSpaceDE/>
              <w:autoSpaceDN/>
              <w:adjustRightInd/>
              <w:snapToGrid/>
              <w:jc w:val="both"/>
              <w:textAlignment w:val="auto"/>
              <w:rPr>
                <w:rFonts w:hint="eastAsia" w:ascii="宋体" w:hAnsi="宋体" w:eastAsia="宋体" w:cs="宋体"/>
                <w:snapToGrid/>
              </w:rPr>
            </w:pPr>
          </w:p>
        </w:tc>
        <w:tc>
          <w:tcPr>
            <w:tcW w:w="1203" w:type="pct"/>
            <w:vMerge w:val="restart"/>
            <w:shd w:val="clear" w:color="auto" w:fill="auto"/>
            <w:noWrap/>
            <w:vAlign w:val="center"/>
          </w:tcPr>
          <w:p w14:paraId="3847618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B4项目管理</w:t>
            </w:r>
          </w:p>
        </w:tc>
        <w:tc>
          <w:tcPr>
            <w:tcW w:w="2483" w:type="pct"/>
            <w:shd w:val="clear" w:color="auto" w:fill="auto"/>
            <w:vAlign w:val="center"/>
          </w:tcPr>
          <w:p w14:paraId="2575F05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B401信息系统管理使用情况</w:t>
            </w:r>
          </w:p>
        </w:tc>
        <w:tc>
          <w:tcPr>
            <w:tcW w:w="332" w:type="pct"/>
            <w:shd w:val="clear" w:color="auto" w:fill="auto"/>
            <w:noWrap/>
            <w:vAlign w:val="center"/>
          </w:tcPr>
          <w:p w14:paraId="3892AB4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6DC0881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0FAA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shd w:val="clear" w:color="auto" w:fill="auto"/>
            <w:noWrap/>
            <w:vAlign w:val="center"/>
          </w:tcPr>
          <w:p w14:paraId="342CFE6C">
            <w:pPr>
              <w:kinsoku/>
              <w:autoSpaceDE/>
              <w:autoSpaceDN/>
              <w:adjustRightInd/>
              <w:snapToGrid/>
              <w:jc w:val="both"/>
              <w:textAlignment w:val="auto"/>
              <w:rPr>
                <w:rFonts w:hint="eastAsia" w:ascii="宋体" w:hAnsi="宋体" w:eastAsia="宋体" w:cs="宋体"/>
                <w:snapToGrid/>
              </w:rPr>
            </w:pPr>
          </w:p>
        </w:tc>
        <w:tc>
          <w:tcPr>
            <w:tcW w:w="1203" w:type="pct"/>
            <w:vMerge w:val="continue"/>
            <w:shd w:val="clear" w:color="auto" w:fill="auto"/>
            <w:noWrap/>
            <w:vAlign w:val="center"/>
          </w:tcPr>
          <w:p w14:paraId="3D294E79">
            <w:pPr>
              <w:kinsoku/>
              <w:autoSpaceDE/>
              <w:autoSpaceDN/>
              <w:adjustRightInd/>
              <w:snapToGrid/>
              <w:jc w:val="both"/>
              <w:textAlignment w:val="auto"/>
              <w:rPr>
                <w:rFonts w:hint="eastAsia" w:ascii="宋体" w:hAnsi="宋体" w:eastAsia="宋体" w:cs="宋体"/>
                <w:snapToGrid/>
              </w:rPr>
            </w:pPr>
          </w:p>
        </w:tc>
        <w:tc>
          <w:tcPr>
            <w:tcW w:w="2483" w:type="pct"/>
            <w:shd w:val="clear" w:color="auto" w:fill="auto"/>
            <w:vAlign w:val="center"/>
          </w:tcPr>
          <w:p w14:paraId="74B45E9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B402及时办理工程结算和</w:t>
            </w:r>
            <w:r>
              <w:rPr>
                <w:rFonts w:hint="eastAsia" w:ascii="宋体" w:hAnsi="宋体" w:eastAsia="宋体" w:cs="宋体"/>
                <w:snapToGrid/>
                <w:lang w:eastAsia="zh-CN"/>
              </w:rPr>
              <w:t>工程决算</w:t>
            </w:r>
          </w:p>
        </w:tc>
        <w:tc>
          <w:tcPr>
            <w:tcW w:w="332" w:type="pct"/>
            <w:shd w:val="clear" w:color="auto" w:fill="auto"/>
            <w:noWrap/>
            <w:vAlign w:val="center"/>
          </w:tcPr>
          <w:p w14:paraId="469E5AA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38" w:type="pct"/>
            <w:shd w:val="clear" w:color="auto" w:fill="auto"/>
            <w:vAlign w:val="center"/>
          </w:tcPr>
          <w:p w14:paraId="44091D6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0</w:t>
            </w:r>
          </w:p>
        </w:tc>
      </w:tr>
      <w:tr w14:paraId="6218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50E9AD3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C产出</w:t>
            </w:r>
          </w:p>
          <w:p w14:paraId="7798AB7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（30分）</w:t>
            </w:r>
          </w:p>
        </w:tc>
        <w:tc>
          <w:tcPr>
            <w:tcW w:w="1203" w:type="pct"/>
            <w:shd w:val="clear" w:color="auto" w:fill="auto"/>
            <w:noWrap/>
            <w:vAlign w:val="center"/>
          </w:tcPr>
          <w:p w14:paraId="6133C32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C1产出数量</w:t>
            </w:r>
          </w:p>
        </w:tc>
        <w:tc>
          <w:tcPr>
            <w:tcW w:w="2483" w:type="pct"/>
            <w:shd w:val="clear" w:color="auto" w:fill="auto"/>
            <w:vAlign w:val="center"/>
          </w:tcPr>
          <w:p w14:paraId="05B4253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C101 项目租赁完成率</w:t>
            </w:r>
          </w:p>
        </w:tc>
        <w:tc>
          <w:tcPr>
            <w:tcW w:w="332" w:type="pct"/>
            <w:shd w:val="clear" w:color="auto" w:fill="auto"/>
            <w:noWrap/>
            <w:vAlign w:val="center"/>
          </w:tcPr>
          <w:p w14:paraId="6B6A384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9</w:t>
            </w:r>
          </w:p>
        </w:tc>
        <w:tc>
          <w:tcPr>
            <w:tcW w:w="338" w:type="pct"/>
            <w:shd w:val="clear" w:color="auto" w:fill="auto"/>
            <w:vAlign w:val="center"/>
          </w:tcPr>
          <w:p w14:paraId="51E9822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9</w:t>
            </w:r>
          </w:p>
        </w:tc>
      </w:tr>
      <w:tr w14:paraId="1EE2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BD0AD38">
            <w:pPr>
              <w:kinsoku/>
              <w:autoSpaceDE/>
              <w:autoSpaceDN/>
              <w:adjustRightInd/>
              <w:snapToGrid/>
              <w:jc w:val="both"/>
              <w:textAlignment w:val="auto"/>
              <w:rPr>
                <w:rFonts w:hint="eastAsia" w:ascii="宋体" w:hAnsi="宋体" w:eastAsia="宋体" w:cs="宋体"/>
                <w:snapToGrid/>
              </w:rPr>
            </w:pPr>
          </w:p>
        </w:tc>
        <w:tc>
          <w:tcPr>
            <w:tcW w:w="1203" w:type="pct"/>
            <w:shd w:val="clear" w:color="auto" w:fill="auto"/>
            <w:noWrap/>
            <w:vAlign w:val="center"/>
          </w:tcPr>
          <w:p w14:paraId="77A3E53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C2产出质量</w:t>
            </w:r>
          </w:p>
        </w:tc>
        <w:tc>
          <w:tcPr>
            <w:tcW w:w="2483" w:type="pct"/>
            <w:shd w:val="clear" w:color="auto" w:fill="auto"/>
            <w:noWrap/>
            <w:vAlign w:val="center"/>
          </w:tcPr>
          <w:p w14:paraId="607347E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C201</w:t>
            </w:r>
            <w:r>
              <w:rPr>
                <w:rFonts w:hint="eastAsia" w:ascii="宋体" w:hAnsi="宋体" w:eastAsia="宋体" w:cs="宋体"/>
                <w:snapToGrid/>
                <w:lang w:eastAsia="zh-CN"/>
              </w:rPr>
              <w:t>厂房</w:t>
            </w:r>
            <w:r>
              <w:rPr>
                <w:rFonts w:hint="eastAsia" w:ascii="宋体" w:hAnsi="宋体" w:eastAsia="宋体" w:cs="宋体"/>
                <w:snapToGrid/>
              </w:rPr>
              <w:t>及设备完好率</w:t>
            </w:r>
          </w:p>
        </w:tc>
        <w:tc>
          <w:tcPr>
            <w:tcW w:w="332" w:type="pct"/>
            <w:shd w:val="clear" w:color="auto" w:fill="auto"/>
            <w:noWrap/>
            <w:vAlign w:val="center"/>
          </w:tcPr>
          <w:p w14:paraId="45324B4A">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c>
          <w:tcPr>
            <w:tcW w:w="338" w:type="pct"/>
            <w:shd w:val="clear" w:color="auto" w:fill="auto"/>
            <w:vAlign w:val="center"/>
          </w:tcPr>
          <w:p w14:paraId="273FAA4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r>
      <w:tr w14:paraId="1235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C3DC9A9">
            <w:pPr>
              <w:kinsoku/>
              <w:autoSpaceDE/>
              <w:autoSpaceDN/>
              <w:adjustRightInd/>
              <w:snapToGrid/>
              <w:jc w:val="both"/>
              <w:textAlignment w:val="auto"/>
              <w:rPr>
                <w:rFonts w:hint="eastAsia" w:ascii="宋体" w:hAnsi="宋体" w:eastAsia="宋体" w:cs="宋体"/>
                <w:snapToGrid/>
              </w:rPr>
            </w:pPr>
          </w:p>
        </w:tc>
        <w:tc>
          <w:tcPr>
            <w:tcW w:w="1203" w:type="pct"/>
            <w:shd w:val="clear" w:color="auto" w:fill="auto"/>
            <w:vAlign w:val="center"/>
          </w:tcPr>
          <w:p w14:paraId="096E2893">
            <w:pPr>
              <w:jc w:val="both"/>
              <w:rPr>
                <w:rFonts w:hint="eastAsia" w:ascii="宋体" w:hAnsi="宋体" w:eastAsia="宋体" w:cs="宋体"/>
                <w:snapToGrid/>
              </w:rPr>
            </w:pPr>
            <w:r>
              <w:rPr>
                <w:rFonts w:hint="eastAsia" w:ascii="宋体" w:hAnsi="宋体" w:eastAsia="宋体" w:cs="宋体"/>
                <w:snapToGrid/>
              </w:rPr>
              <w:t>C3产出时效</w:t>
            </w:r>
          </w:p>
        </w:tc>
        <w:tc>
          <w:tcPr>
            <w:tcW w:w="2483" w:type="pct"/>
            <w:shd w:val="clear" w:color="auto" w:fill="auto"/>
            <w:noWrap/>
            <w:vAlign w:val="center"/>
          </w:tcPr>
          <w:p w14:paraId="621735A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C301 租金收缴及时性</w:t>
            </w:r>
          </w:p>
        </w:tc>
        <w:tc>
          <w:tcPr>
            <w:tcW w:w="332" w:type="pct"/>
            <w:shd w:val="clear" w:color="auto" w:fill="auto"/>
            <w:noWrap/>
            <w:vAlign w:val="center"/>
          </w:tcPr>
          <w:p w14:paraId="2F722A3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c>
          <w:tcPr>
            <w:tcW w:w="338" w:type="pct"/>
            <w:shd w:val="clear" w:color="auto" w:fill="auto"/>
            <w:vAlign w:val="center"/>
          </w:tcPr>
          <w:p w14:paraId="49CB2AC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r>
      <w:tr w14:paraId="2BE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FF0740D">
            <w:pPr>
              <w:kinsoku/>
              <w:autoSpaceDE/>
              <w:autoSpaceDN/>
              <w:adjustRightInd/>
              <w:snapToGrid/>
              <w:jc w:val="both"/>
              <w:textAlignment w:val="auto"/>
              <w:rPr>
                <w:rFonts w:hint="eastAsia" w:ascii="宋体" w:hAnsi="宋体" w:eastAsia="宋体" w:cs="宋体"/>
                <w:snapToGrid/>
              </w:rPr>
            </w:pPr>
          </w:p>
        </w:tc>
        <w:tc>
          <w:tcPr>
            <w:tcW w:w="1203" w:type="pct"/>
            <w:shd w:val="clear" w:color="auto" w:fill="auto"/>
            <w:vAlign w:val="center"/>
          </w:tcPr>
          <w:p w14:paraId="76A1099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C4产出成本</w:t>
            </w:r>
          </w:p>
        </w:tc>
        <w:tc>
          <w:tcPr>
            <w:tcW w:w="2483" w:type="pct"/>
            <w:shd w:val="clear" w:color="auto" w:fill="auto"/>
            <w:noWrap/>
            <w:vAlign w:val="center"/>
          </w:tcPr>
          <w:p w14:paraId="1AF9AAD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C401工程类成本节约率</w:t>
            </w:r>
          </w:p>
        </w:tc>
        <w:tc>
          <w:tcPr>
            <w:tcW w:w="332" w:type="pct"/>
            <w:shd w:val="clear" w:color="auto" w:fill="auto"/>
            <w:noWrap/>
            <w:vAlign w:val="center"/>
          </w:tcPr>
          <w:p w14:paraId="771CC55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c>
          <w:tcPr>
            <w:tcW w:w="338" w:type="pct"/>
            <w:shd w:val="clear" w:color="auto" w:fill="auto"/>
            <w:vAlign w:val="center"/>
          </w:tcPr>
          <w:p w14:paraId="25CC5BE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r>
    </w:tbl>
    <w:p w14:paraId="1DB0489A">
      <w:pPr>
        <w:kinsoku/>
        <w:autoSpaceDE/>
        <w:autoSpaceDN/>
        <w:adjustRightInd/>
        <w:snapToGrid/>
        <w:jc w:val="both"/>
        <w:textAlignment w:val="auto"/>
        <w:rPr>
          <w:rFonts w:hint="eastAsia" w:ascii="宋体" w:hAnsi="宋体" w:eastAsia="宋体" w:cs="宋体"/>
          <w:snapToGrid/>
        </w:rPr>
        <w:sectPr>
          <w:headerReference r:id="rId6" w:type="default"/>
          <w:pgSz w:w="11906" w:h="16839"/>
          <w:pgMar w:top="1117" w:right="953" w:bottom="1043" w:left="1786" w:header="879" w:footer="833" w:gutter="0"/>
          <w:pgNumType w:start="3"/>
          <w:cols w:space="720" w:num="1"/>
        </w:sectPr>
      </w:pPr>
    </w:p>
    <w:tbl>
      <w:tblPr>
        <w:tblStyle w:val="18"/>
        <w:tblW w:w="5000" w:type="pct"/>
        <w:jc w:val="center"/>
        <w:tblLayout w:type="autofit"/>
        <w:tblCellMar>
          <w:top w:w="0" w:type="dxa"/>
          <w:left w:w="108" w:type="dxa"/>
          <w:bottom w:w="0" w:type="dxa"/>
          <w:right w:w="108" w:type="dxa"/>
        </w:tblCellMar>
      </w:tblPr>
      <w:tblGrid>
        <w:gridCol w:w="1345"/>
        <w:gridCol w:w="2644"/>
        <w:gridCol w:w="4260"/>
        <w:gridCol w:w="456"/>
        <w:gridCol w:w="456"/>
        <w:gridCol w:w="222"/>
      </w:tblGrid>
      <w:tr w14:paraId="1D2BD1E5">
        <w:tblPrEx>
          <w:tblCellMar>
            <w:top w:w="0" w:type="dxa"/>
            <w:left w:w="108" w:type="dxa"/>
            <w:bottom w:w="0" w:type="dxa"/>
            <w:right w:w="108" w:type="dxa"/>
          </w:tblCellMar>
        </w:tblPrEx>
        <w:trPr>
          <w:trHeight w:val="397" w:hRule="atLeast"/>
          <w:jc w:val="center"/>
        </w:trPr>
        <w:tc>
          <w:tcPr>
            <w:tcW w:w="717" w:type="pct"/>
            <w:vMerge w:val="restart"/>
            <w:tcBorders>
              <w:top w:val="single" w:color="auto" w:sz="4" w:space="0"/>
              <w:left w:val="single" w:color="auto" w:sz="4" w:space="0"/>
              <w:right w:val="single" w:color="auto" w:sz="4" w:space="0"/>
            </w:tcBorders>
            <w:shd w:val="clear" w:color="auto" w:fill="auto"/>
            <w:noWrap/>
            <w:vAlign w:val="center"/>
          </w:tcPr>
          <w:p w14:paraId="7BB447F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D效益</w:t>
            </w:r>
          </w:p>
          <w:p w14:paraId="2473923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（25分）</w:t>
            </w:r>
          </w:p>
        </w:tc>
        <w:tc>
          <w:tcPr>
            <w:tcW w:w="1409" w:type="pct"/>
            <w:vMerge w:val="restart"/>
            <w:tcBorders>
              <w:top w:val="single" w:color="auto" w:sz="4" w:space="0"/>
              <w:left w:val="single" w:color="auto" w:sz="4" w:space="0"/>
              <w:right w:val="single" w:color="auto" w:sz="4" w:space="0"/>
            </w:tcBorders>
            <w:shd w:val="clear" w:color="auto" w:fill="auto"/>
            <w:vAlign w:val="center"/>
          </w:tcPr>
          <w:p w14:paraId="640C087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D1经济效益指标</w:t>
            </w:r>
          </w:p>
        </w:tc>
        <w:tc>
          <w:tcPr>
            <w:tcW w:w="22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A765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D101项目带动社会有效投资情况</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3298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7DE7747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118" w:type="pct"/>
            <w:tcBorders>
              <w:left w:val="single" w:color="auto" w:sz="4" w:space="0"/>
            </w:tcBorders>
            <w:vAlign w:val="center"/>
          </w:tcPr>
          <w:p w14:paraId="13E46A3C">
            <w:pPr>
              <w:kinsoku/>
              <w:autoSpaceDE/>
              <w:autoSpaceDN/>
              <w:adjustRightInd/>
              <w:snapToGrid/>
              <w:jc w:val="both"/>
              <w:textAlignment w:val="auto"/>
              <w:rPr>
                <w:rFonts w:ascii="Times New Roman" w:hAnsi="Times New Roman" w:eastAsia="Times New Roman" w:cs="Times New Roman"/>
                <w:snapToGrid/>
                <w:color w:val="auto"/>
                <w:sz w:val="20"/>
                <w:szCs w:val="20"/>
              </w:rPr>
            </w:pPr>
          </w:p>
        </w:tc>
      </w:tr>
      <w:tr w14:paraId="00E1A053">
        <w:tblPrEx>
          <w:tblCellMar>
            <w:top w:w="0" w:type="dxa"/>
            <w:left w:w="108" w:type="dxa"/>
            <w:bottom w:w="0" w:type="dxa"/>
            <w:right w:w="108" w:type="dxa"/>
          </w:tblCellMar>
        </w:tblPrEx>
        <w:trPr>
          <w:trHeight w:val="397" w:hRule="atLeast"/>
          <w:jc w:val="center"/>
        </w:trPr>
        <w:tc>
          <w:tcPr>
            <w:tcW w:w="717" w:type="pct"/>
            <w:vMerge w:val="continue"/>
            <w:tcBorders>
              <w:left w:val="single" w:color="auto" w:sz="4" w:space="0"/>
              <w:right w:val="single" w:color="auto" w:sz="4" w:space="0"/>
            </w:tcBorders>
            <w:vAlign w:val="center"/>
          </w:tcPr>
          <w:p w14:paraId="1EDA8CFA">
            <w:pPr>
              <w:kinsoku/>
              <w:autoSpaceDE/>
              <w:autoSpaceDN/>
              <w:adjustRightInd/>
              <w:snapToGrid/>
              <w:jc w:val="both"/>
              <w:textAlignment w:val="auto"/>
              <w:rPr>
                <w:rFonts w:hint="eastAsia" w:ascii="宋体" w:hAnsi="宋体" w:eastAsia="宋体" w:cs="宋体"/>
                <w:snapToGrid/>
              </w:rPr>
            </w:pPr>
          </w:p>
        </w:tc>
        <w:tc>
          <w:tcPr>
            <w:tcW w:w="1409" w:type="pct"/>
            <w:vMerge w:val="continue"/>
            <w:tcBorders>
              <w:left w:val="single" w:color="auto" w:sz="4" w:space="0"/>
              <w:bottom w:val="single" w:color="auto" w:sz="4" w:space="0"/>
              <w:right w:val="single" w:color="auto" w:sz="4" w:space="0"/>
            </w:tcBorders>
            <w:shd w:val="clear" w:color="auto" w:fill="auto"/>
            <w:vAlign w:val="center"/>
          </w:tcPr>
          <w:p w14:paraId="415F070C">
            <w:pPr>
              <w:kinsoku/>
              <w:autoSpaceDE/>
              <w:autoSpaceDN/>
              <w:adjustRightInd/>
              <w:snapToGrid/>
              <w:jc w:val="both"/>
              <w:textAlignment w:val="auto"/>
              <w:rPr>
                <w:rFonts w:hint="eastAsia" w:ascii="宋体" w:hAnsi="宋体" w:eastAsia="宋体" w:cs="宋体"/>
                <w:snapToGrid/>
              </w:rPr>
            </w:pPr>
          </w:p>
        </w:tc>
        <w:tc>
          <w:tcPr>
            <w:tcW w:w="22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E21F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D102项目综合收益情况</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ABD74">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3B92DD3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118" w:type="pct"/>
            <w:tcBorders>
              <w:left w:val="single" w:color="auto" w:sz="4" w:space="0"/>
            </w:tcBorders>
            <w:vAlign w:val="center"/>
          </w:tcPr>
          <w:p w14:paraId="0C3C504F">
            <w:pPr>
              <w:kinsoku/>
              <w:autoSpaceDE/>
              <w:autoSpaceDN/>
              <w:adjustRightInd/>
              <w:snapToGrid/>
              <w:jc w:val="both"/>
              <w:textAlignment w:val="auto"/>
              <w:rPr>
                <w:rFonts w:ascii="Times New Roman" w:hAnsi="Times New Roman" w:eastAsia="Times New Roman" w:cs="Times New Roman"/>
                <w:snapToGrid/>
                <w:color w:val="auto"/>
                <w:sz w:val="20"/>
                <w:szCs w:val="20"/>
              </w:rPr>
            </w:pPr>
          </w:p>
        </w:tc>
      </w:tr>
      <w:tr w14:paraId="6E9C3948">
        <w:tblPrEx>
          <w:tblCellMar>
            <w:top w:w="0" w:type="dxa"/>
            <w:left w:w="108" w:type="dxa"/>
            <w:bottom w:w="0" w:type="dxa"/>
            <w:right w:w="108" w:type="dxa"/>
          </w:tblCellMar>
        </w:tblPrEx>
        <w:trPr>
          <w:trHeight w:val="397" w:hRule="atLeast"/>
          <w:jc w:val="center"/>
        </w:trPr>
        <w:tc>
          <w:tcPr>
            <w:tcW w:w="717" w:type="pct"/>
            <w:vMerge w:val="continue"/>
            <w:tcBorders>
              <w:left w:val="single" w:color="auto" w:sz="4" w:space="0"/>
              <w:right w:val="single" w:color="auto" w:sz="4" w:space="0"/>
            </w:tcBorders>
            <w:vAlign w:val="center"/>
          </w:tcPr>
          <w:p w14:paraId="55C1BF6C">
            <w:pPr>
              <w:kinsoku/>
              <w:autoSpaceDE/>
              <w:autoSpaceDN/>
              <w:adjustRightInd/>
              <w:snapToGrid/>
              <w:jc w:val="both"/>
              <w:textAlignment w:val="auto"/>
              <w:rPr>
                <w:rFonts w:hint="eastAsia" w:ascii="宋体" w:hAnsi="宋体" w:eastAsia="宋体" w:cs="宋体"/>
                <w:snapToGrid/>
              </w:rPr>
            </w:pP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14:paraId="49259AF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D2社会效益指标</w:t>
            </w:r>
          </w:p>
        </w:tc>
        <w:tc>
          <w:tcPr>
            <w:tcW w:w="22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95CE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D201项目建成后带动就业及税收情况</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5FEA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0CD4871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c>
          <w:tcPr>
            <w:tcW w:w="118" w:type="pct"/>
            <w:tcBorders>
              <w:left w:val="single" w:color="auto" w:sz="4" w:space="0"/>
            </w:tcBorders>
            <w:vAlign w:val="center"/>
          </w:tcPr>
          <w:p w14:paraId="1F720050">
            <w:pPr>
              <w:kinsoku/>
              <w:autoSpaceDE/>
              <w:autoSpaceDN/>
              <w:adjustRightInd/>
              <w:snapToGrid/>
              <w:jc w:val="both"/>
              <w:textAlignment w:val="auto"/>
              <w:rPr>
                <w:rFonts w:ascii="Times New Roman" w:hAnsi="Times New Roman" w:eastAsia="Times New Roman" w:cs="Times New Roman"/>
                <w:snapToGrid/>
                <w:color w:val="auto"/>
                <w:sz w:val="20"/>
                <w:szCs w:val="20"/>
              </w:rPr>
            </w:pPr>
          </w:p>
        </w:tc>
      </w:tr>
      <w:tr w14:paraId="651C665A">
        <w:tblPrEx>
          <w:tblCellMar>
            <w:top w:w="0" w:type="dxa"/>
            <w:left w:w="108" w:type="dxa"/>
            <w:bottom w:w="0" w:type="dxa"/>
            <w:right w:w="108" w:type="dxa"/>
          </w:tblCellMar>
        </w:tblPrEx>
        <w:trPr>
          <w:trHeight w:val="397" w:hRule="atLeast"/>
          <w:jc w:val="center"/>
        </w:trPr>
        <w:tc>
          <w:tcPr>
            <w:tcW w:w="717" w:type="pct"/>
            <w:vMerge w:val="continue"/>
            <w:tcBorders>
              <w:left w:val="single" w:color="auto" w:sz="4" w:space="0"/>
              <w:right w:val="single" w:color="auto" w:sz="4" w:space="0"/>
            </w:tcBorders>
            <w:vAlign w:val="center"/>
          </w:tcPr>
          <w:p w14:paraId="79588A12">
            <w:pPr>
              <w:kinsoku/>
              <w:autoSpaceDE/>
              <w:autoSpaceDN/>
              <w:adjustRightInd/>
              <w:snapToGrid/>
              <w:jc w:val="both"/>
              <w:textAlignment w:val="auto"/>
              <w:rPr>
                <w:rFonts w:hint="eastAsia" w:ascii="宋体" w:hAnsi="宋体" w:eastAsia="宋体" w:cs="宋体"/>
                <w:snapToGrid/>
              </w:rPr>
            </w:pP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14:paraId="44C970D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D3生态效益指标</w:t>
            </w:r>
          </w:p>
        </w:tc>
        <w:tc>
          <w:tcPr>
            <w:tcW w:w="22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5BC1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D301保护生态环境</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4E4A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2D9389F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118" w:type="pct"/>
            <w:tcBorders>
              <w:left w:val="single" w:color="auto" w:sz="4" w:space="0"/>
            </w:tcBorders>
            <w:vAlign w:val="center"/>
          </w:tcPr>
          <w:p w14:paraId="217E06D5">
            <w:pPr>
              <w:kinsoku/>
              <w:autoSpaceDE/>
              <w:autoSpaceDN/>
              <w:adjustRightInd/>
              <w:snapToGrid/>
              <w:jc w:val="both"/>
              <w:textAlignment w:val="auto"/>
              <w:rPr>
                <w:rFonts w:ascii="Times New Roman" w:hAnsi="Times New Roman" w:eastAsia="Times New Roman" w:cs="Times New Roman"/>
                <w:snapToGrid/>
                <w:color w:val="auto"/>
                <w:sz w:val="20"/>
                <w:szCs w:val="20"/>
              </w:rPr>
            </w:pPr>
          </w:p>
        </w:tc>
      </w:tr>
      <w:tr w14:paraId="7E7EEF5B">
        <w:tblPrEx>
          <w:tblCellMar>
            <w:top w:w="0" w:type="dxa"/>
            <w:left w:w="108" w:type="dxa"/>
            <w:bottom w:w="0" w:type="dxa"/>
            <w:right w:w="108" w:type="dxa"/>
          </w:tblCellMar>
        </w:tblPrEx>
        <w:trPr>
          <w:trHeight w:val="397" w:hRule="atLeast"/>
          <w:jc w:val="center"/>
        </w:trPr>
        <w:tc>
          <w:tcPr>
            <w:tcW w:w="717" w:type="pct"/>
            <w:vMerge w:val="continue"/>
            <w:tcBorders>
              <w:left w:val="single" w:color="auto" w:sz="4" w:space="0"/>
              <w:bottom w:val="single" w:color="auto" w:sz="4" w:space="0"/>
              <w:right w:val="single" w:color="auto" w:sz="4" w:space="0"/>
            </w:tcBorders>
            <w:vAlign w:val="center"/>
          </w:tcPr>
          <w:p w14:paraId="6CEFDA07">
            <w:pPr>
              <w:kinsoku/>
              <w:autoSpaceDE/>
              <w:autoSpaceDN/>
              <w:adjustRightInd/>
              <w:snapToGrid/>
              <w:jc w:val="both"/>
              <w:textAlignment w:val="auto"/>
              <w:rPr>
                <w:rFonts w:hint="eastAsia" w:ascii="宋体" w:hAnsi="宋体" w:eastAsia="宋体" w:cs="宋体"/>
                <w:snapToGrid/>
              </w:rPr>
            </w:pP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14:paraId="55AEE6C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D4可持续影响指标</w:t>
            </w:r>
          </w:p>
        </w:tc>
        <w:tc>
          <w:tcPr>
            <w:tcW w:w="2270" w:type="pct"/>
            <w:tcBorders>
              <w:top w:val="single" w:color="auto" w:sz="4" w:space="0"/>
              <w:left w:val="single" w:color="auto" w:sz="4" w:space="0"/>
              <w:bottom w:val="single" w:color="auto" w:sz="4" w:space="0"/>
              <w:right w:val="single" w:color="auto" w:sz="4" w:space="0"/>
            </w:tcBorders>
            <w:shd w:val="clear" w:color="auto" w:fill="auto"/>
            <w:vAlign w:val="center"/>
          </w:tcPr>
          <w:p w14:paraId="5EDA8DC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D401项目产生收益是否可持续</w:t>
            </w: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5F78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6E3FA56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c>
          <w:tcPr>
            <w:tcW w:w="118" w:type="pct"/>
            <w:tcBorders>
              <w:left w:val="single" w:color="auto" w:sz="4" w:space="0"/>
            </w:tcBorders>
            <w:vAlign w:val="center"/>
          </w:tcPr>
          <w:p w14:paraId="3C8B9B73">
            <w:pPr>
              <w:kinsoku/>
              <w:autoSpaceDE/>
              <w:autoSpaceDN/>
              <w:adjustRightInd/>
              <w:snapToGrid/>
              <w:jc w:val="both"/>
              <w:textAlignment w:val="auto"/>
              <w:rPr>
                <w:rFonts w:ascii="Times New Roman" w:hAnsi="Times New Roman" w:eastAsia="Times New Roman" w:cs="Times New Roman"/>
                <w:snapToGrid/>
                <w:color w:val="auto"/>
                <w:sz w:val="20"/>
                <w:szCs w:val="20"/>
              </w:rPr>
            </w:pPr>
          </w:p>
        </w:tc>
      </w:tr>
    </w:tbl>
    <w:p w14:paraId="61BB0650">
      <w:pPr>
        <w:jc w:val="both"/>
        <w:sectPr>
          <w:pgSz w:w="11906" w:h="16839"/>
          <w:pgMar w:top="1117" w:right="953" w:bottom="1043" w:left="1786" w:header="879" w:footer="833" w:gutter="0"/>
          <w:pgNumType w:start="28"/>
          <w:cols w:space="720" w:num="1"/>
        </w:sectPr>
      </w:pPr>
    </w:p>
    <w:p w14:paraId="1F21B9CB">
      <w:pPr>
        <w:spacing w:before="74" w:after="240" w:afterLines="100" w:line="228" w:lineRule="auto"/>
        <w:ind w:left="113"/>
        <w:jc w:val="both"/>
        <w:outlineLvl w:val="0"/>
        <w:rPr>
          <w:rFonts w:hint="eastAsia" w:ascii="宋体" w:hAnsi="宋体" w:eastAsia="宋体" w:cs="宋体"/>
          <w:sz w:val="23"/>
          <w:szCs w:val="23"/>
        </w:rPr>
      </w:pPr>
      <w:bookmarkStart w:id="97" w:name="_bookmark25"/>
      <w:bookmarkEnd w:id="97"/>
      <w:bookmarkStart w:id="98" w:name="_Toc201739204"/>
      <w:r>
        <w:rPr>
          <w:rFonts w:ascii="宋体" w:hAnsi="宋体" w:eastAsia="宋体" w:cs="宋体"/>
          <w:spacing w:val="1"/>
          <w:sz w:val="23"/>
          <w:szCs w:val="23"/>
          <w14:textOutline w14:w="4356" w14:cap="sq" w14:cmpd="sng" w14:algn="ctr">
            <w14:solidFill>
              <w14:srgbClr w14:val="000000"/>
            </w14:solidFill>
            <w14:prstDash w14:val="solid"/>
            <w14:bevel/>
          </w14:textOutline>
        </w:rPr>
        <w:t>附件</w:t>
      </w:r>
      <w:r>
        <w:rPr>
          <w:rFonts w:ascii="宋体" w:hAnsi="宋体" w:eastAsia="宋体" w:cs="宋体"/>
          <w:spacing w:val="1"/>
          <w:sz w:val="23"/>
          <w:szCs w:val="23"/>
        </w:rPr>
        <w:t xml:space="preserve"> </w:t>
      </w:r>
      <w:r>
        <w:rPr>
          <w:rFonts w:hint="eastAsia" w:ascii="宋体" w:hAnsi="宋体" w:eastAsia="宋体" w:cs="宋体"/>
          <w:spacing w:val="1"/>
          <w:sz w:val="23"/>
          <w:szCs w:val="23"/>
          <w14:textOutline w14:w="4356" w14:cap="sq" w14:cmpd="sng" w14:algn="ctr">
            <w14:solidFill>
              <w14:srgbClr w14:val="000000"/>
            </w14:solidFill>
            <w14:prstDash w14:val="solid"/>
            <w14:bevel/>
          </w14:textOutline>
        </w:rPr>
        <w:t>2</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14:textOutline w14:w="4356" w14:cap="sq" w14:cmpd="sng" w14:algn="ctr">
            <w14:solidFill>
              <w14:srgbClr w14:val="000000"/>
            </w14:solidFill>
            <w14:prstDash w14:val="solid"/>
            <w14:bevel/>
          </w14:textOutline>
        </w:rPr>
        <w:t>绩效评价指标体系</w:t>
      </w:r>
      <w:bookmarkEnd w:id="98"/>
    </w:p>
    <w:tbl>
      <w:tblPr>
        <w:tblStyle w:val="18"/>
        <w:tblW w:w="5000" w:type="pct"/>
        <w:tblInd w:w="0" w:type="dxa"/>
        <w:tblLayout w:type="autofit"/>
        <w:tblCellMar>
          <w:top w:w="0" w:type="dxa"/>
          <w:left w:w="108" w:type="dxa"/>
          <w:bottom w:w="0" w:type="dxa"/>
          <w:right w:w="108" w:type="dxa"/>
        </w:tblCellMar>
      </w:tblPr>
      <w:tblGrid>
        <w:gridCol w:w="965"/>
        <w:gridCol w:w="1269"/>
        <w:gridCol w:w="1561"/>
        <w:gridCol w:w="840"/>
        <w:gridCol w:w="1096"/>
        <w:gridCol w:w="2693"/>
        <w:gridCol w:w="3613"/>
        <w:gridCol w:w="2857"/>
      </w:tblGrid>
      <w:tr w14:paraId="32CF8478">
        <w:tblPrEx>
          <w:tblCellMar>
            <w:top w:w="0" w:type="dxa"/>
            <w:left w:w="108" w:type="dxa"/>
            <w:bottom w:w="0" w:type="dxa"/>
            <w:right w:w="108" w:type="dxa"/>
          </w:tblCellMar>
        </w:tblPrEx>
        <w:trPr>
          <w:trHeight w:val="315" w:hRule="atLeast"/>
          <w:tblHeader/>
        </w:trPr>
        <w:tc>
          <w:tcPr>
            <w:tcW w:w="324"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6BE152DF">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一级指标</w:t>
            </w:r>
          </w:p>
        </w:tc>
        <w:tc>
          <w:tcPr>
            <w:tcW w:w="426"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3E3522B5">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二级指标</w:t>
            </w:r>
          </w:p>
        </w:tc>
        <w:tc>
          <w:tcPr>
            <w:tcW w:w="524"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17815099">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三级指标</w:t>
            </w:r>
          </w:p>
        </w:tc>
        <w:tc>
          <w:tcPr>
            <w:tcW w:w="282"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56FDC510">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指标权重</w:t>
            </w:r>
          </w:p>
        </w:tc>
        <w:tc>
          <w:tcPr>
            <w:tcW w:w="368"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607DDB97">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目标值</w:t>
            </w:r>
          </w:p>
        </w:tc>
        <w:tc>
          <w:tcPr>
            <w:tcW w:w="904"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575E1575">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指标解释</w:t>
            </w:r>
          </w:p>
        </w:tc>
        <w:tc>
          <w:tcPr>
            <w:tcW w:w="2172" w:type="pct"/>
            <w:gridSpan w:val="2"/>
            <w:tcBorders>
              <w:top w:val="single" w:color="auto" w:sz="4" w:space="0"/>
              <w:left w:val="nil"/>
              <w:bottom w:val="single" w:color="auto" w:sz="4" w:space="0"/>
              <w:right w:val="single" w:color="auto" w:sz="4" w:space="0"/>
            </w:tcBorders>
            <w:shd w:val="clear" w:color="000000" w:fill="00B0F0"/>
            <w:vAlign w:val="center"/>
          </w:tcPr>
          <w:p w14:paraId="4F6A0F08">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指标评分细则</w:t>
            </w:r>
          </w:p>
        </w:tc>
      </w:tr>
      <w:tr w14:paraId="56A9D7B8">
        <w:tblPrEx>
          <w:tblCellMar>
            <w:top w:w="0" w:type="dxa"/>
            <w:left w:w="108" w:type="dxa"/>
            <w:bottom w:w="0" w:type="dxa"/>
            <w:right w:w="108" w:type="dxa"/>
          </w:tblCellMar>
        </w:tblPrEx>
        <w:trPr>
          <w:trHeight w:val="315" w:hRule="atLeast"/>
          <w:tblHead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5E19ABE9">
            <w:pPr>
              <w:kinsoku/>
              <w:autoSpaceDE/>
              <w:autoSpaceDN/>
              <w:adjustRightInd/>
              <w:snapToGrid/>
              <w:textAlignment w:val="auto"/>
              <w:rPr>
                <w:rFonts w:hint="eastAsia" w:ascii="宋体" w:hAnsi="宋体" w:eastAsia="宋体" w:cs="宋体"/>
                <w:snapToGrid/>
                <w:sz w:val="24"/>
                <w:szCs w:val="24"/>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19E4EBF4">
            <w:pPr>
              <w:kinsoku/>
              <w:autoSpaceDE/>
              <w:autoSpaceDN/>
              <w:adjustRightInd/>
              <w:snapToGrid/>
              <w:textAlignment w:val="auto"/>
              <w:rPr>
                <w:rFonts w:hint="eastAsia" w:ascii="宋体" w:hAnsi="宋体" w:eastAsia="宋体" w:cs="宋体"/>
                <w:snapToGrid/>
                <w:sz w:val="24"/>
                <w:szCs w:val="24"/>
              </w:rPr>
            </w:pPr>
          </w:p>
        </w:tc>
        <w:tc>
          <w:tcPr>
            <w:tcW w:w="524" w:type="pct"/>
            <w:vMerge w:val="continue"/>
            <w:tcBorders>
              <w:top w:val="single" w:color="auto" w:sz="4" w:space="0"/>
              <w:left w:val="single" w:color="auto" w:sz="4" w:space="0"/>
              <w:bottom w:val="single" w:color="auto" w:sz="4" w:space="0"/>
              <w:right w:val="single" w:color="auto" w:sz="4" w:space="0"/>
            </w:tcBorders>
            <w:vAlign w:val="center"/>
          </w:tcPr>
          <w:p w14:paraId="7E3CAF1A">
            <w:pPr>
              <w:kinsoku/>
              <w:autoSpaceDE/>
              <w:autoSpaceDN/>
              <w:adjustRightInd/>
              <w:snapToGrid/>
              <w:textAlignment w:val="auto"/>
              <w:rPr>
                <w:rFonts w:hint="eastAsia" w:ascii="宋体" w:hAnsi="宋体" w:eastAsia="宋体" w:cs="宋体"/>
                <w:snapToGrid/>
                <w:sz w:val="24"/>
                <w:szCs w:val="24"/>
              </w:rPr>
            </w:pPr>
          </w:p>
        </w:tc>
        <w:tc>
          <w:tcPr>
            <w:tcW w:w="282" w:type="pct"/>
            <w:vMerge w:val="continue"/>
            <w:tcBorders>
              <w:top w:val="single" w:color="auto" w:sz="4" w:space="0"/>
              <w:left w:val="single" w:color="auto" w:sz="4" w:space="0"/>
              <w:bottom w:val="single" w:color="auto" w:sz="4" w:space="0"/>
              <w:right w:val="single" w:color="auto" w:sz="4" w:space="0"/>
            </w:tcBorders>
            <w:vAlign w:val="center"/>
          </w:tcPr>
          <w:p w14:paraId="791672E0">
            <w:pPr>
              <w:kinsoku/>
              <w:autoSpaceDE/>
              <w:autoSpaceDN/>
              <w:adjustRightInd/>
              <w:snapToGrid/>
              <w:textAlignment w:val="auto"/>
              <w:rPr>
                <w:rFonts w:hint="eastAsia" w:ascii="宋体" w:hAnsi="宋体" w:eastAsia="宋体" w:cs="宋体"/>
                <w:snapToGrid/>
                <w:sz w:val="24"/>
                <w:szCs w:val="24"/>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14:paraId="6D41F415">
            <w:pPr>
              <w:kinsoku/>
              <w:autoSpaceDE/>
              <w:autoSpaceDN/>
              <w:adjustRightInd/>
              <w:snapToGrid/>
              <w:textAlignment w:val="auto"/>
              <w:rPr>
                <w:rFonts w:hint="eastAsia" w:ascii="宋体" w:hAnsi="宋体" w:eastAsia="宋体" w:cs="宋体"/>
                <w:snapToGrid/>
                <w:sz w:val="24"/>
                <w:szCs w:val="24"/>
              </w:rPr>
            </w:pPr>
          </w:p>
        </w:tc>
        <w:tc>
          <w:tcPr>
            <w:tcW w:w="904" w:type="pct"/>
            <w:vMerge w:val="continue"/>
            <w:tcBorders>
              <w:top w:val="single" w:color="auto" w:sz="4" w:space="0"/>
              <w:left w:val="single" w:color="auto" w:sz="4" w:space="0"/>
              <w:bottom w:val="single" w:color="auto" w:sz="4" w:space="0"/>
              <w:right w:val="single" w:color="auto" w:sz="4" w:space="0"/>
            </w:tcBorders>
            <w:vAlign w:val="center"/>
          </w:tcPr>
          <w:p w14:paraId="163DBB73">
            <w:pPr>
              <w:kinsoku/>
              <w:autoSpaceDE/>
              <w:autoSpaceDN/>
              <w:adjustRightInd/>
              <w:snapToGrid/>
              <w:textAlignment w:val="auto"/>
              <w:rPr>
                <w:rFonts w:hint="eastAsia" w:ascii="宋体" w:hAnsi="宋体" w:eastAsia="宋体" w:cs="宋体"/>
                <w:snapToGrid/>
                <w:sz w:val="24"/>
                <w:szCs w:val="24"/>
              </w:rPr>
            </w:pPr>
          </w:p>
        </w:tc>
        <w:tc>
          <w:tcPr>
            <w:tcW w:w="1213" w:type="pct"/>
            <w:tcBorders>
              <w:top w:val="nil"/>
              <w:left w:val="nil"/>
              <w:bottom w:val="single" w:color="auto" w:sz="4" w:space="0"/>
              <w:right w:val="single" w:color="auto" w:sz="4" w:space="0"/>
            </w:tcBorders>
            <w:shd w:val="clear" w:color="000000" w:fill="00B0F0"/>
            <w:vAlign w:val="center"/>
          </w:tcPr>
          <w:p w14:paraId="594CDAF4">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评价要点</w:t>
            </w:r>
          </w:p>
        </w:tc>
        <w:tc>
          <w:tcPr>
            <w:tcW w:w="959" w:type="pct"/>
            <w:tcBorders>
              <w:top w:val="nil"/>
              <w:left w:val="nil"/>
              <w:bottom w:val="single" w:color="auto" w:sz="4" w:space="0"/>
              <w:right w:val="single" w:color="auto" w:sz="4" w:space="0"/>
            </w:tcBorders>
            <w:shd w:val="clear" w:color="000000" w:fill="00B0F0"/>
            <w:vAlign w:val="center"/>
          </w:tcPr>
          <w:p w14:paraId="7478BAF9">
            <w:pPr>
              <w:kinsoku/>
              <w:autoSpaceDE/>
              <w:autoSpaceDN/>
              <w:adjustRightInd/>
              <w:snapToGrid/>
              <w:jc w:val="center"/>
              <w:textAlignment w:val="auto"/>
              <w:rPr>
                <w:rFonts w:hint="eastAsia" w:ascii="宋体" w:hAnsi="宋体" w:eastAsia="宋体" w:cs="宋体"/>
                <w:snapToGrid/>
                <w:sz w:val="24"/>
                <w:szCs w:val="24"/>
              </w:rPr>
            </w:pPr>
            <w:r>
              <w:rPr>
                <w:rFonts w:hint="eastAsia" w:ascii="宋体" w:hAnsi="宋体" w:eastAsia="宋体" w:cs="宋体"/>
                <w:snapToGrid/>
                <w:sz w:val="24"/>
                <w:szCs w:val="24"/>
              </w:rPr>
              <w:t>评分标准</w:t>
            </w:r>
          </w:p>
        </w:tc>
      </w:tr>
      <w:tr w14:paraId="62F7F1DC">
        <w:tblPrEx>
          <w:tblCellMar>
            <w:top w:w="0" w:type="dxa"/>
            <w:left w:w="108" w:type="dxa"/>
            <w:bottom w:w="0" w:type="dxa"/>
            <w:right w:w="108" w:type="dxa"/>
          </w:tblCellMar>
        </w:tblPrEx>
        <w:trPr>
          <w:trHeight w:val="1620" w:hRule="atLeast"/>
        </w:trPr>
        <w:tc>
          <w:tcPr>
            <w:tcW w:w="324" w:type="pct"/>
            <w:vMerge w:val="restart"/>
            <w:tcBorders>
              <w:top w:val="nil"/>
              <w:left w:val="single" w:color="auto" w:sz="4" w:space="0"/>
              <w:right w:val="single" w:color="auto" w:sz="4" w:space="0"/>
            </w:tcBorders>
            <w:shd w:val="clear" w:color="auto" w:fill="auto"/>
            <w:vAlign w:val="center"/>
          </w:tcPr>
          <w:p w14:paraId="4CC5920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A 决策(20分)</w:t>
            </w:r>
          </w:p>
        </w:tc>
        <w:tc>
          <w:tcPr>
            <w:tcW w:w="426" w:type="pct"/>
            <w:vMerge w:val="restart"/>
            <w:tcBorders>
              <w:top w:val="nil"/>
              <w:left w:val="single" w:color="auto" w:sz="4" w:space="0"/>
              <w:right w:val="single" w:color="auto" w:sz="4" w:space="0"/>
            </w:tcBorders>
            <w:shd w:val="clear" w:color="auto" w:fill="auto"/>
            <w:vAlign w:val="center"/>
          </w:tcPr>
          <w:p w14:paraId="527FC466">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 专项债券项目申报的政策依据与程序规范性</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0A9E5D3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A101项目立项依据</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7869D5F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0F43967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立项依据充分</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2EF1272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项目立项是否符合法律法规、相关政策、发展规划及预算单位职责，用以反映和考核项目立项依据充分情况</w:t>
            </w:r>
          </w:p>
        </w:tc>
        <w:tc>
          <w:tcPr>
            <w:tcW w:w="1213" w:type="pct"/>
            <w:tcBorders>
              <w:top w:val="nil"/>
              <w:left w:val="nil"/>
              <w:bottom w:val="single" w:color="auto" w:sz="4" w:space="0"/>
              <w:right w:val="single" w:color="auto" w:sz="4" w:space="0"/>
            </w:tcBorders>
            <w:shd w:val="clear" w:color="auto" w:fill="auto"/>
            <w:vAlign w:val="center"/>
          </w:tcPr>
          <w:p w14:paraId="7478ED8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1）专项债券项目是否属于国家和</w:t>
            </w:r>
            <w:r>
              <w:rPr>
                <w:rFonts w:hint="eastAsia" w:ascii="宋体" w:hAnsi="宋体" w:eastAsia="宋体" w:cs="宋体"/>
                <w:snapToGrid/>
                <w:sz w:val="18"/>
                <w:szCs w:val="18"/>
                <w:lang w:eastAsia="zh-CN"/>
              </w:rPr>
              <w:t>省委、省政府</w:t>
            </w:r>
            <w:r>
              <w:rPr>
                <w:rFonts w:hint="eastAsia" w:ascii="宋体" w:hAnsi="宋体" w:eastAsia="宋体" w:cs="宋体"/>
                <w:snapToGrid/>
                <w:sz w:val="18"/>
                <w:szCs w:val="18"/>
              </w:rPr>
              <w:t>确定的重点行业、重点区域、重大项目</w:t>
            </w:r>
          </w:p>
        </w:tc>
        <w:tc>
          <w:tcPr>
            <w:tcW w:w="959" w:type="pct"/>
            <w:tcBorders>
              <w:top w:val="nil"/>
              <w:left w:val="nil"/>
              <w:bottom w:val="single" w:color="auto" w:sz="4" w:space="0"/>
              <w:right w:val="single" w:color="auto" w:sz="4" w:space="0"/>
            </w:tcBorders>
            <w:shd w:val="clear" w:color="auto" w:fill="auto"/>
            <w:vAlign w:val="center"/>
          </w:tcPr>
          <w:p w14:paraId="5E3CF10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专项债券项目属于国家和</w:t>
            </w:r>
            <w:r>
              <w:rPr>
                <w:rFonts w:hint="eastAsia" w:ascii="宋体" w:hAnsi="宋体" w:eastAsia="宋体" w:cs="宋体"/>
                <w:snapToGrid/>
                <w:sz w:val="18"/>
                <w:szCs w:val="18"/>
                <w:lang w:eastAsia="zh-CN"/>
              </w:rPr>
              <w:t>省委、省政府</w:t>
            </w:r>
            <w:r>
              <w:rPr>
                <w:rFonts w:hint="eastAsia" w:ascii="宋体" w:hAnsi="宋体" w:eastAsia="宋体" w:cs="宋体"/>
                <w:snapToGrid/>
                <w:sz w:val="18"/>
                <w:szCs w:val="18"/>
              </w:rPr>
              <w:t>确定的重点行业、重点区域、重大项目，得1分</w:t>
            </w:r>
          </w:p>
        </w:tc>
      </w:tr>
      <w:tr w14:paraId="36147E2B">
        <w:tblPrEx>
          <w:tblCellMar>
            <w:top w:w="0" w:type="dxa"/>
            <w:left w:w="108" w:type="dxa"/>
            <w:bottom w:w="0" w:type="dxa"/>
            <w:right w:w="108" w:type="dxa"/>
          </w:tblCellMar>
        </w:tblPrEx>
        <w:trPr>
          <w:trHeight w:val="1600" w:hRule="atLeast"/>
        </w:trPr>
        <w:tc>
          <w:tcPr>
            <w:tcW w:w="324" w:type="pct"/>
            <w:vMerge w:val="continue"/>
            <w:tcBorders>
              <w:left w:val="single" w:color="auto" w:sz="4" w:space="0"/>
              <w:right w:val="single" w:color="auto" w:sz="4" w:space="0"/>
            </w:tcBorders>
            <w:shd w:val="clear" w:color="auto" w:fill="auto"/>
            <w:vAlign w:val="center"/>
          </w:tcPr>
          <w:p w14:paraId="5D066DF8">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vAlign w:val="center"/>
          </w:tcPr>
          <w:p w14:paraId="5AB5B642">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081DE2CA">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7D920691">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6612E8CD">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7E79F1B0">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739D86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2）项目立项审批是否符合国家法律法规、国民经济发展规划和市县区城市发展规划</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项目是否列入政府投资计划和中长期财政规划</w:t>
            </w:r>
          </w:p>
        </w:tc>
        <w:tc>
          <w:tcPr>
            <w:tcW w:w="959" w:type="pct"/>
            <w:tcBorders>
              <w:top w:val="nil"/>
              <w:left w:val="nil"/>
              <w:bottom w:val="single" w:color="auto" w:sz="4" w:space="0"/>
              <w:right w:val="single" w:color="auto" w:sz="4" w:space="0"/>
            </w:tcBorders>
            <w:shd w:val="clear" w:color="auto" w:fill="auto"/>
            <w:vAlign w:val="center"/>
          </w:tcPr>
          <w:p w14:paraId="712F13B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项目立项符合国家法律法规、国民经济发展规划和市县区城市发展规划，得0.5分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lang w:eastAsia="zh-CN"/>
              </w:rPr>
              <w:t>项目</w:t>
            </w:r>
            <w:r>
              <w:rPr>
                <w:rFonts w:hint="eastAsia" w:ascii="宋体" w:hAnsi="宋体" w:eastAsia="宋体" w:cs="宋体"/>
                <w:snapToGrid/>
                <w:sz w:val="18"/>
                <w:szCs w:val="18"/>
              </w:rPr>
              <w:t>列入政府投资计划和中长期财政规划，得0.5分</w:t>
            </w:r>
          </w:p>
        </w:tc>
      </w:tr>
      <w:tr w14:paraId="170BC648">
        <w:tblPrEx>
          <w:tblCellMar>
            <w:top w:w="0" w:type="dxa"/>
            <w:left w:w="108" w:type="dxa"/>
            <w:bottom w:w="0" w:type="dxa"/>
            <w:right w:w="108" w:type="dxa"/>
          </w:tblCellMar>
        </w:tblPrEx>
        <w:trPr>
          <w:trHeight w:val="960" w:hRule="atLeast"/>
        </w:trPr>
        <w:tc>
          <w:tcPr>
            <w:tcW w:w="324" w:type="pct"/>
            <w:vMerge w:val="continue"/>
            <w:tcBorders>
              <w:left w:val="single" w:color="auto" w:sz="4" w:space="0"/>
              <w:right w:val="single" w:color="auto" w:sz="4" w:space="0"/>
            </w:tcBorders>
            <w:shd w:val="clear" w:color="auto" w:fill="auto"/>
            <w:vAlign w:val="center"/>
          </w:tcPr>
          <w:p w14:paraId="4B390911">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shd w:val="clear" w:color="auto" w:fill="auto"/>
            <w:vAlign w:val="center"/>
          </w:tcPr>
          <w:p w14:paraId="661DBC06">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1DC30CC5">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5ECDAC32">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1353D0B6">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117A81BB">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3CF8B7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3）是否纳入财政部地方政府债务管理系统项目库和发改委国家重大项目建设库</w:t>
            </w:r>
          </w:p>
        </w:tc>
        <w:tc>
          <w:tcPr>
            <w:tcW w:w="959" w:type="pct"/>
            <w:tcBorders>
              <w:top w:val="nil"/>
              <w:left w:val="nil"/>
              <w:bottom w:val="single" w:color="auto" w:sz="4" w:space="0"/>
              <w:right w:val="single" w:color="auto" w:sz="4" w:space="0"/>
            </w:tcBorders>
            <w:shd w:val="clear" w:color="auto" w:fill="auto"/>
            <w:vAlign w:val="center"/>
          </w:tcPr>
          <w:p w14:paraId="6C265EB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项目纳入财政部地方政府债务管理系统项目库和发改委国家重大项目建设库，得1分</w:t>
            </w:r>
          </w:p>
        </w:tc>
      </w:tr>
      <w:tr w14:paraId="7A943B7A">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39C2761F">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vAlign w:val="center"/>
          </w:tcPr>
          <w:p w14:paraId="743A656A">
            <w:pPr>
              <w:kinsoku/>
              <w:autoSpaceDE/>
              <w:autoSpaceDN/>
              <w:adjustRightInd/>
              <w:snapToGrid/>
              <w:textAlignment w:val="auto"/>
              <w:rPr>
                <w:rFonts w:hint="eastAsia" w:ascii="宋体" w:hAnsi="宋体" w:eastAsia="宋体" w:cs="宋体"/>
                <w:snapToGrid/>
                <w:sz w:val="18"/>
                <w:szCs w:val="18"/>
              </w:rPr>
            </w:pP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7F5191C2">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A102立项程序规范性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7751C23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1695039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立项程序规范</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6DB672B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专项债券项目立项前期准备程序是否符合相关要求；用以反映和考核项目规范情况</w:t>
            </w:r>
          </w:p>
        </w:tc>
        <w:tc>
          <w:tcPr>
            <w:tcW w:w="1213" w:type="pct"/>
            <w:tcBorders>
              <w:top w:val="nil"/>
              <w:left w:val="nil"/>
              <w:bottom w:val="single" w:color="auto" w:sz="4" w:space="0"/>
              <w:right w:val="single" w:color="auto" w:sz="4" w:space="0"/>
            </w:tcBorders>
            <w:shd w:val="clear" w:color="auto" w:fill="auto"/>
            <w:vAlign w:val="center"/>
          </w:tcPr>
          <w:p w14:paraId="0B5BDAA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1)项目是否按照规定的程序申请设立</w:t>
            </w:r>
          </w:p>
        </w:tc>
        <w:tc>
          <w:tcPr>
            <w:tcW w:w="959" w:type="pct"/>
            <w:tcBorders>
              <w:top w:val="nil"/>
              <w:left w:val="nil"/>
              <w:bottom w:val="single" w:color="auto" w:sz="4" w:space="0"/>
              <w:right w:val="single" w:color="auto" w:sz="4" w:space="0"/>
            </w:tcBorders>
            <w:shd w:val="clear" w:color="auto" w:fill="auto"/>
            <w:vAlign w:val="center"/>
          </w:tcPr>
          <w:p w14:paraId="5DE0226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1)项目按照规定的程序申请设立，得0.5分</w:t>
            </w:r>
          </w:p>
        </w:tc>
      </w:tr>
      <w:tr w14:paraId="3BE1AA62">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23BABFC4">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shd w:val="clear" w:color="auto" w:fill="auto"/>
            <w:vAlign w:val="center"/>
          </w:tcPr>
          <w:p w14:paraId="4E5B9333">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2A2AF2EE">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4CB66169">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0BC3E7E4">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75A3DB22">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A1AA83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2)审批文件、材料是否符合相关要求</w:t>
            </w:r>
          </w:p>
        </w:tc>
        <w:tc>
          <w:tcPr>
            <w:tcW w:w="959" w:type="pct"/>
            <w:tcBorders>
              <w:top w:val="nil"/>
              <w:left w:val="nil"/>
              <w:bottom w:val="single" w:color="auto" w:sz="4" w:space="0"/>
              <w:right w:val="single" w:color="auto" w:sz="4" w:space="0"/>
            </w:tcBorders>
            <w:shd w:val="clear" w:color="auto" w:fill="auto"/>
            <w:vAlign w:val="center"/>
          </w:tcPr>
          <w:p w14:paraId="5BB4A31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2)审批文件、材料符合相关要求，得0.5分</w:t>
            </w:r>
          </w:p>
        </w:tc>
      </w:tr>
      <w:tr w14:paraId="0CD0B40C">
        <w:tblPrEx>
          <w:tblCellMar>
            <w:top w:w="0" w:type="dxa"/>
            <w:left w:w="108" w:type="dxa"/>
            <w:bottom w:w="0" w:type="dxa"/>
            <w:right w:w="108" w:type="dxa"/>
          </w:tblCellMar>
        </w:tblPrEx>
        <w:trPr>
          <w:trHeight w:val="840" w:hRule="atLeast"/>
        </w:trPr>
        <w:tc>
          <w:tcPr>
            <w:tcW w:w="324" w:type="pct"/>
            <w:vMerge w:val="continue"/>
            <w:tcBorders>
              <w:left w:val="single" w:color="auto" w:sz="4" w:space="0"/>
              <w:right w:val="single" w:color="auto" w:sz="4" w:space="0"/>
            </w:tcBorders>
            <w:shd w:val="clear" w:color="auto" w:fill="auto"/>
            <w:vAlign w:val="center"/>
          </w:tcPr>
          <w:p w14:paraId="5B524332">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vAlign w:val="center"/>
          </w:tcPr>
          <w:p w14:paraId="7DE8CDF2">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6731B59F">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79118693">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3064B23C">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221672F4">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5244B53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3)事前是否已经过必要的可行性研究、专家论证、风险评估、绩效评估、集体决策</w:t>
            </w:r>
          </w:p>
        </w:tc>
        <w:tc>
          <w:tcPr>
            <w:tcW w:w="959" w:type="pct"/>
            <w:tcBorders>
              <w:top w:val="nil"/>
              <w:left w:val="nil"/>
              <w:bottom w:val="single" w:color="auto" w:sz="4" w:space="0"/>
              <w:right w:val="single" w:color="auto" w:sz="4" w:space="0"/>
            </w:tcBorders>
            <w:shd w:val="clear" w:color="auto" w:fill="auto"/>
            <w:vAlign w:val="center"/>
          </w:tcPr>
          <w:p w14:paraId="30E99A4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3)事前已经过必要的可行性研究、专家论证、风险评估、绩效评估、集体决策，得0.5分</w:t>
            </w:r>
          </w:p>
        </w:tc>
      </w:tr>
      <w:tr w14:paraId="2FF9BD20">
        <w:tblPrEx>
          <w:tblCellMar>
            <w:top w:w="0" w:type="dxa"/>
            <w:left w:w="108" w:type="dxa"/>
            <w:bottom w:w="0" w:type="dxa"/>
            <w:right w:w="108" w:type="dxa"/>
          </w:tblCellMar>
        </w:tblPrEx>
        <w:trPr>
          <w:trHeight w:val="840"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3D97D573">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bottom w:val="single" w:color="auto" w:sz="4" w:space="0"/>
              <w:right w:val="single" w:color="auto" w:sz="4" w:space="0"/>
            </w:tcBorders>
            <w:shd w:val="clear" w:color="auto" w:fill="auto"/>
            <w:vAlign w:val="center"/>
          </w:tcPr>
          <w:p w14:paraId="04E47340">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4B2602E4">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0C49B7DA">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031EE391">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530CDC16">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F640A7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4)项目前期工作是否完成</w:t>
            </w:r>
            <w:r>
              <w:rPr>
                <w:rFonts w:hint="eastAsia" w:ascii="宋体" w:hAnsi="宋体" w:eastAsia="宋体" w:cs="宋体"/>
                <w:snapToGrid/>
                <w:sz w:val="18"/>
                <w:szCs w:val="18"/>
                <w:lang w:eastAsia="zh-CN"/>
              </w:rPr>
              <w:t>勘察</w:t>
            </w:r>
            <w:r>
              <w:rPr>
                <w:rFonts w:hint="eastAsia" w:ascii="宋体" w:hAnsi="宋体" w:eastAsia="宋体" w:cs="宋体"/>
                <w:snapToGrid/>
                <w:sz w:val="18"/>
                <w:szCs w:val="18"/>
              </w:rPr>
              <w:t>、设计、用地、环评、开工许可等</w:t>
            </w:r>
          </w:p>
        </w:tc>
        <w:tc>
          <w:tcPr>
            <w:tcW w:w="959" w:type="pct"/>
            <w:tcBorders>
              <w:top w:val="nil"/>
              <w:left w:val="nil"/>
              <w:bottom w:val="single" w:color="auto" w:sz="4" w:space="0"/>
              <w:right w:val="single" w:color="auto" w:sz="4" w:space="0"/>
            </w:tcBorders>
            <w:shd w:val="clear" w:color="auto" w:fill="auto"/>
            <w:vAlign w:val="center"/>
          </w:tcPr>
          <w:p w14:paraId="2BF34DB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4)项目前期工作完成</w:t>
            </w:r>
            <w:r>
              <w:rPr>
                <w:rFonts w:hint="eastAsia" w:ascii="宋体" w:hAnsi="宋体" w:eastAsia="宋体" w:cs="宋体"/>
                <w:snapToGrid/>
                <w:sz w:val="18"/>
                <w:szCs w:val="18"/>
                <w:lang w:eastAsia="zh-CN"/>
              </w:rPr>
              <w:t>勘察</w:t>
            </w:r>
            <w:r>
              <w:rPr>
                <w:rFonts w:hint="eastAsia" w:ascii="宋体" w:hAnsi="宋体" w:eastAsia="宋体" w:cs="宋体"/>
                <w:snapToGrid/>
                <w:sz w:val="18"/>
                <w:szCs w:val="18"/>
              </w:rPr>
              <w:t>、设计、用地、环评、开工许可等 ，得0.5分</w:t>
            </w:r>
          </w:p>
        </w:tc>
      </w:tr>
      <w:tr w14:paraId="3F0301EE">
        <w:tblPrEx>
          <w:tblCellMar>
            <w:top w:w="0" w:type="dxa"/>
            <w:left w:w="108" w:type="dxa"/>
            <w:bottom w:w="0" w:type="dxa"/>
            <w:right w:w="108" w:type="dxa"/>
          </w:tblCellMar>
        </w:tblPrEx>
        <w:trPr>
          <w:trHeight w:val="1607" w:hRule="atLeast"/>
        </w:trPr>
        <w:tc>
          <w:tcPr>
            <w:tcW w:w="324" w:type="pct"/>
            <w:vMerge w:val="restart"/>
            <w:tcBorders>
              <w:top w:val="nil"/>
              <w:left w:val="single" w:color="auto" w:sz="4" w:space="0"/>
              <w:right w:val="single" w:color="auto" w:sz="4" w:space="0"/>
            </w:tcBorders>
            <w:shd w:val="clear" w:color="auto" w:fill="auto"/>
            <w:vAlign w:val="center"/>
          </w:tcPr>
          <w:p w14:paraId="1AD94553">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 决策(20分)</w:t>
            </w:r>
          </w:p>
        </w:tc>
        <w:tc>
          <w:tcPr>
            <w:tcW w:w="426" w:type="pct"/>
            <w:tcBorders>
              <w:top w:val="nil"/>
              <w:left w:val="single" w:color="auto" w:sz="4" w:space="0"/>
              <w:bottom w:val="single" w:color="auto" w:sz="4" w:space="0"/>
              <w:right w:val="single" w:color="auto" w:sz="4" w:space="0"/>
            </w:tcBorders>
            <w:shd w:val="clear" w:color="auto" w:fill="auto"/>
            <w:vAlign w:val="center"/>
          </w:tcPr>
          <w:p w14:paraId="1C454CA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 专项债券项目申报的政策依据与程序规范性</w:t>
            </w:r>
          </w:p>
        </w:tc>
        <w:tc>
          <w:tcPr>
            <w:tcW w:w="524" w:type="pct"/>
            <w:tcBorders>
              <w:top w:val="nil"/>
              <w:left w:val="nil"/>
              <w:bottom w:val="single" w:color="auto" w:sz="4" w:space="0"/>
              <w:right w:val="single" w:color="auto" w:sz="4" w:space="0"/>
            </w:tcBorders>
            <w:shd w:val="clear" w:color="auto" w:fill="auto"/>
            <w:vAlign w:val="center"/>
          </w:tcPr>
          <w:p w14:paraId="299B8CA6">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A103与债券支持领域和方向符合性</w:t>
            </w:r>
          </w:p>
        </w:tc>
        <w:tc>
          <w:tcPr>
            <w:tcW w:w="282" w:type="pct"/>
            <w:tcBorders>
              <w:top w:val="nil"/>
              <w:left w:val="nil"/>
              <w:bottom w:val="single" w:color="auto" w:sz="4" w:space="0"/>
              <w:right w:val="single" w:color="auto" w:sz="4" w:space="0"/>
            </w:tcBorders>
            <w:shd w:val="clear" w:color="auto" w:fill="auto"/>
            <w:vAlign w:val="center"/>
          </w:tcPr>
          <w:p w14:paraId="4F6F833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04089BD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w:t>
            </w:r>
          </w:p>
        </w:tc>
        <w:tc>
          <w:tcPr>
            <w:tcW w:w="904" w:type="pct"/>
            <w:tcBorders>
              <w:top w:val="nil"/>
              <w:left w:val="nil"/>
              <w:bottom w:val="single" w:color="auto" w:sz="4" w:space="0"/>
              <w:right w:val="single" w:color="auto" w:sz="4" w:space="0"/>
            </w:tcBorders>
            <w:shd w:val="clear" w:color="auto" w:fill="auto"/>
            <w:vAlign w:val="center"/>
          </w:tcPr>
          <w:p w14:paraId="594F1A9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考察项目是否符合专项债券支持领域和方向，用以反映项目申请政府专项债券的可行性</w:t>
            </w:r>
          </w:p>
        </w:tc>
        <w:tc>
          <w:tcPr>
            <w:tcW w:w="1213" w:type="pct"/>
            <w:tcBorders>
              <w:top w:val="nil"/>
              <w:left w:val="nil"/>
              <w:bottom w:val="single" w:color="auto" w:sz="4" w:space="0"/>
              <w:right w:val="single" w:color="auto" w:sz="4" w:space="0"/>
            </w:tcBorders>
            <w:shd w:val="clear" w:color="auto" w:fill="auto"/>
            <w:vAlign w:val="center"/>
          </w:tcPr>
          <w:p w14:paraId="4ABBCF0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禁止投向：1）将新增专项债券资金用于置换存量债务；2）面子工程</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3）形象工程</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4）不得用于经常性支出；5）严禁发入工资</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6）单位运行经费</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7）发放养老金；8）支付利息</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9）用于商业化</w:t>
            </w:r>
            <w:r>
              <w:rPr>
                <w:rFonts w:hint="eastAsia" w:ascii="宋体" w:hAnsi="宋体" w:eastAsia="宋体" w:cs="宋体"/>
                <w:snapToGrid/>
                <w:sz w:val="18"/>
                <w:szCs w:val="18"/>
                <w:lang w:eastAsia="zh-CN"/>
              </w:rPr>
              <w:t>运作</w:t>
            </w:r>
            <w:r>
              <w:rPr>
                <w:rFonts w:hint="eastAsia" w:ascii="宋体" w:hAnsi="宋体" w:eastAsia="宋体" w:cs="宋体"/>
                <w:snapToGrid/>
                <w:sz w:val="18"/>
                <w:szCs w:val="18"/>
              </w:rPr>
              <w:t>的产业项目</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1</w:t>
            </w:r>
            <w:r>
              <w:rPr>
                <w:rFonts w:hint="eastAsia" w:ascii="宋体" w:hAnsi="宋体" w:eastAsia="宋体" w:cs="宋体"/>
                <w:snapToGrid/>
                <w:sz w:val="18"/>
                <w:szCs w:val="18"/>
                <w:lang w:val="en-US" w:eastAsia="zh-CN"/>
              </w:rPr>
              <w:t>0</w:t>
            </w:r>
            <w:r>
              <w:rPr>
                <w:rFonts w:hint="eastAsia" w:ascii="宋体" w:hAnsi="宋体" w:eastAsia="宋体" w:cs="宋体"/>
                <w:snapToGrid/>
                <w:sz w:val="18"/>
                <w:szCs w:val="18"/>
              </w:rPr>
              <w:t xml:space="preserve">）房地产相关项目 </w:t>
            </w:r>
          </w:p>
        </w:tc>
        <w:tc>
          <w:tcPr>
            <w:tcW w:w="959" w:type="pct"/>
            <w:tcBorders>
              <w:top w:val="nil"/>
              <w:left w:val="nil"/>
              <w:bottom w:val="single" w:color="auto" w:sz="4" w:space="0"/>
              <w:right w:val="single" w:color="auto" w:sz="4" w:space="0"/>
            </w:tcBorders>
            <w:shd w:val="clear" w:color="auto" w:fill="auto"/>
            <w:vAlign w:val="center"/>
          </w:tcPr>
          <w:p w14:paraId="2201ED8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发生所禁止投向任何一项，扣2分。</w:t>
            </w:r>
          </w:p>
        </w:tc>
      </w:tr>
      <w:tr w14:paraId="54861598">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716DDAC7">
            <w:pPr>
              <w:kinsoku/>
              <w:autoSpaceDE/>
              <w:autoSpaceDN/>
              <w:adjustRightInd/>
              <w:snapToGrid/>
              <w:textAlignment w:val="auto"/>
              <w:rPr>
                <w:rFonts w:hint="eastAsia" w:ascii="宋体" w:hAnsi="宋体" w:eastAsia="宋体" w:cs="宋体"/>
                <w:snapToGrid/>
                <w:sz w:val="18"/>
                <w:szCs w:val="18"/>
              </w:rPr>
            </w:pPr>
          </w:p>
        </w:tc>
        <w:tc>
          <w:tcPr>
            <w:tcW w:w="426" w:type="pct"/>
            <w:vMerge w:val="restart"/>
            <w:tcBorders>
              <w:top w:val="nil"/>
              <w:left w:val="single" w:color="auto" w:sz="4" w:space="0"/>
              <w:bottom w:val="single" w:color="auto" w:sz="4" w:space="0"/>
              <w:right w:val="single" w:color="auto" w:sz="4" w:space="0"/>
            </w:tcBorders>
            <w:shd w:val="clear" w:color="auto" w:fill="auto"/>
            <w:vAlign w:val="center"/>
          </w:tcPr>
          <w:p w14:paraId="1E6F03E6">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 地方政府专项债券项目绩效目标设定的合理性与指 标明确性</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23F54EE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A201 绩效目标设定合理性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14E1685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66C725A">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合理</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296BA8A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设定的2024年绩效目标是否依据充分，是否符合客观实际，用以反映和考核项目绩效目标与项目实施的相符情况</w:t>
            </w:r>
          </w:p>
        </w:tc>
        <w:tc>
          <w:tcPr>
            <w:tcW w:w="1213" w:type="pct"/>
            <w:tcBorders>
              <w:top w:val="nil"/>
              <w:left w:val="nil"/>
              <w:bottom w:val="single" w:color="auto" w:sz="4" w:space="0"/>
              <w:right w:val="single" w:color="auto" w:sz="4" w:space="0"/>
            </w:tcBorders>
            <w:shd w:val="clear" w:color="auto" w:fill="auto"/>
            <w:vAlign w:val="center"/>
          </w:tcPr>
          <w:p w14:paraId="223122B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1）项目是否有</w:t>
            </w:r>
            <w:r>
              <w:rPr>
                <w:rFonts w:hint="eastAsia" w:ascii="宋体" w:hAnsi="宋体" w:eastAsia="宋体" w:cs="宋体"/>
                <w:snapToGrid/>
                <w:sz w:val="18"/>
                <w:szCs w:val="18"/>
                <w:lang w:eastAsia="zh-CN"/>
              </w:rPr>
              <w:t>绩效</w:t>
            </w:r>
            <w:r>
              <w:rPr>
                <w:rFonts w:hint="eastAsia" w:ascii="宋体" w:hAnsi="宋体" w:eastAsia="宋体" w:cs="宋体"/>
                <w:snapToGrid/>
                <w:sz w:val="18"/>
                <w:szCs w:val="18"/>
              </w:rPr>
              <w:t>目标</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520CEA5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w:t>
            </w:r>
            <w:r>
              <w:rPr>
                <w:rFonts w:hint="eastAsia" w:ascii="宋体" w:hAnsi="宋体" w:eastAsia="宋体" w:cs="宋体"/>
                <w:snapToGrid/>
                <w:sz w:val="18"/>
                <w:szCs w:val="18"/>
                <w:lang w:val="en-US" w:eastAsia="zh-CN"/>
              </w:rPr>
              <w:t>二</w:t>
            </w:r>
            <w:r>
              <w:rPr>
                <w:rFonts w:hint="eastAsia" w:ascii="宋体" w:hAnsi="宋体" w:eastAsia="宋体" w:cs="宋体"/>
                <w:snapToGrid/>
                <w:sz w:val="18"/>
                <w:szCs w:val="18"/>
              </w:rPr>
              <w:t>点得满分，每出现一处不符扣1分，扣完为止</w:t>
            </w:r>
          </w:p>
        </w:tc>
      </w:tr>
      <w:tr w14:paraId="4FE45E8D">
        <w:tblPrEx>
          <w:tblCellMar>
            <w:top w:w="0" w:type="dxa"/>
            <w:left w:w="108" w:type="dxa"/>
            <w:bottom w:w="0" w:type="dxa"/>
            <w:right w:w="108" w:type="dxa"/>
          </w:tblCellMar>
        </w:tblPrEx>
        <w:trPr>
          <w:trHeight w:val="665" w:hRule="atLeast"/>
        </w:trPr>
        <w:tc>
          <w:tcPr>
            <w:tcW w:w="324" w:type="pct"/>
            <w:vMerge w:val="continue"/>
            <w:tcBorders>
              <w:left w:val="single" w:color="auto" w:sz="4" w:space="0"/>
              <w:right w:val="single" w:color="auto" w:sz="4" w:space="0"/>
            </w:tcBorders>
            <w:shd w:val="clear" w:color="auto" w:fill="auto"/>
            <w:vAlign w:val="center"/>
          </w:tcPr>
          <w:p w14:paraId="36F73ED6">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463270AF">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1819B45B">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2D28C52D">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10211915">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60CBE3EA">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08F3651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2）项目绩效目标与实际工作内容是否具有相关性</w:t>
            </w:r>
          </w:p>
        </w:tc>
        <w:tc>
          <w:tcPr>
            <w:tcW w:w="959" w:type="pct"/>
            <w:vMerge w:val="continue"/>
            <w:tcBorders>
              <w:top w:val="nil"/>
              <w:left w:val="single" w:color="auto" w:sz="4" w:space="0"/>
              <w:bottom w:val="single" w:color="auto" w:sz="4" w:space="0"/>
              <w:right w:val="single" w:color="auto" w:sz="4" w:space="0"/>
            </w:tcBorders>
            <w:vAlign w:val="center"/>
          </w:tcPr>
          <w:p w14:paraId="7C792DF1">
            <w:pPr>
              <w:kinsoku/>
              <w:autoSpaceDE/>
              <w:autoSpaceDN/>
              <w:adjustRightInd/>
              <w:snapToGrid/>
              <w:jc w:val="both"/>
              <w:textAlignment w:val="auto"/>
              <w:rPr>
                <w:rFonts w:hint="eastAsia" w:ascii="宋体" w:hAnsi="宋体" w:eastAsia="宋体" w:cs="宋体"/>
                <w:snapToGrid/>
                <w:sz w:val="18"/>
                <w:szCs w:val="18"/>
              </w:rPr>
            </w:pPr>
          </w:p>
        </w:tc>
      </w:tr>
      <w:tr w14:paraId="73939827">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070C2590">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7809ACB9">
            <w:pPr>
              <w:kinsoku/>
              <w:autoSpaceDE/>
              <w:autoSpaceDN/>
              <w:adjustRightInd/>
              <w:snapToGrid/>
              <w:textAlignment w:val="auto"/>
              <w:rPr>
                <w:rFonts w:hint="eastAsia" w:ascii="宋体" w:hAnsi="宋体" w:eastAsia="宋体" w:cs="宋体"/>
                <w:snapToGrid/>
                <w:sz w:val="18"/>
                <w:szCs w:val="18"/>
              </w:rPr>
            </w:pP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263423E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A202 绩效指标明确性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39512D2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7A3E16C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明确</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3AFC691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设定的绩效指标是否清晰、细化、可衡量等，用以反映和考核项目绩效目标的明细化情况</w:t>
            </w:r>
          </w:p>
        </w:tc>
        <w:tc>
          <w:tcPr>
            <w:tcW w:w="1213" w:type="pct"/>
            <w:tcBorders>
              <w:top w:val="nil"/>
              <w:left w:val="nil"/>
              <w:bottom w:val="single" w:color="auto" w:sz="4" w:space="0"/>
              <w:right w:val="single" w:color="auto" w:sz="4" w:space="0"/>
            </w:tcBorders>
            <w:shd w:val="clear" w:color="auto" w:fill="auto"/>
            <w:vAlign w:val="center"/>
          </w:tcPr>
          <w:p w14:paraId="00589C5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1）是否将项目绩效目标细化分解为具体的绩效指标</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6273125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符合以上三点得满分，每出现一处不符扣1分，扣完为止</w:t>
            </w:r>
          </w:p>
        </w:tc>
      </w:tr>
      <w:tr w14:paraId="3B40512E">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004104C3">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5960523A">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5F3F6D69">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1F55446A">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252E663C">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0014C978">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3881A08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2）是否通过清晰、可衡量的指标值予以体现</w:t>
            </w:r>
          </w:p>
        </w:tc>
        <w:tc>
          <w:tcPr>
            <w:tcW w:w="959" w:type="pct"/>
            <w:vMerge w:val="continue"/>
            <w:tcBorders>
              <w:top w:val="nil"/>
              <w:left w:val="single" w:color="auto" w:sz="4" w:space="0"/>
              <w:bottom w:val="single" w:color="auto" w:sz="4" w:space="0"/>
              <w:right w:val="single" w:color="auto" w:sz="4" w:space="0"/>
            </w:tcBorders>
            <w:vAlign w:val="center"/>
          </w:tcPr>
          <w:p w14:paraId="5FF7A9F7">
            <w:pPr>
              <w:kinsoku/>
              <w:autoSpaceDE/>
              <w:autoSpaceDN/>
              <w:adjustRightInd/>
              <w:snapToGrid/>
              <w:jc w:val="both"/>
              <w:textAlignment w:val="auto"/>
              <w:rPr>
                <w:rFonts w:hint="eastAsia" w:ascii="宋体" w:hAnsi="宋体" w:eastAsia="宋体" w:cs="宋体"/>
                <w:snapToGrid/>
                <w:sz w:val="18"/>
                <w:szCs w:val="18"/>
              </w:rPr>
            </w:pPr>
          </w:p>
        </w:tc>
      </w:tr>
      <w:tr w14:paraId="6D79F568">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2D77337E">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50FF442F">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6BE7AFFD">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325772D9">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5FDDC513">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59DE465D">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3F3E3D2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3）是否与项目目标任务数或计划数相对应</w:t>
            </w:r>
          </w:p>
        </w:tc>
        <w:tc>
          <w:tcPr>
            <w:tcW w:w="959" w:type="pct"/>
            <w:vMerge w:val="continue"/>
            <w:tcBorders>
              <w:top w:val="nil"/>
              <w:left w:val="single" w:color="auto" w:sz="4" w:space="0"/>
              <w:bottom w:val="single" w:color="auto" w:sz="4" w:space="0"/>
              <w:right w:val="single" w:color="auto" w:sz="4" w:space="0"/>
            </w:tcBorders>
            <w:vAlign w:val="center"/>
          </w:tcPr>
          <w:p w14:paraId="51BD7D3A">
            <w:pPr>
              <w:kinsoku/>
              <w:autoSpaceDE/>
              <w:autoSpaceDN/>
              <w:adjustRightInd/>
              <w:snapToGrid/>
              <w:jc w:val="both"/>
              <w:textAlignment w:val="auto"/>
              <w:rPr>
                <w:rFonts w:hint="eastAsia" w:ascii="宋体" w:hAnsi="宋体" w:eastAsia="宋体" w:cs="宋体"/>
                <w:snapToGrid/>
                <w:sz w:val="18"/>
                <w:szCs w:val="18"/>
              </w:rPr>
            </w:pPr>
          </w:p>
        </w:tc>
      </w:tr>
      <w:tr w14:paraId="03A9D31B">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7AC880BA">
            <w:pPr>
              <w:kinsoku/>
              <w:autoSpaceDE/>
              <w:autoSpaceDN/>
              <w:adjustRightInd/>
              <w:snapToGrid/>
              <w:textAlignment w:val="auto"/>
              <w:rPr>
                <w:rFonts w:hint="eastAsia" w:ascii="宋体" w:hAnsi="宋体" w:eastAsia="宋体" w:cs="宋体"/>
                <w:snapToGrid/>
                <w:sz w:val="18"/>
                <w:szCs w:val="18"/>
              </w:rPr>
            </w:pPr>
          </w:p>
        </w:tc>
        <w:tc>
          <w:tcPr>
            <w:tcW w:w="426" w:type="pct"/>
            <w:vMerge w:val="restart"/>
            <w:tcBorders>
              <w:top w:val="nil"/>
              <w:left w:val="single" w:color="auto" w:sz="4" w:space="0"/>
              <w:right w:val="single" w:color="auto" w:sz="4" w:space="0"/>
            </w:tcBorders>
            <w:shd w:val="clear" w:color="auto" w:fill="auto"/>
            <w:vAlign w:val="center"/>
          </w:tcPr>
          <w:p w14:paraId="78FF59C6">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 地方政府专项债券资金平衡方</w:t>
            </w:r>
            <w:r>
              <w:rPr>
                <w:rFonts w:hint="eastAsia" w:ascii="宋体" w:hAnsi="宋体" w:eastAsia="宋体" w:cs="宋体"/>
                <w:snapToGrid/>
                <w:sz w:val="18"/>
                <w:szCs w:val="18"/>
                <w:lang w:eastAsia="zh-CN"/>
              </w:rPr>
              <w:t>案的</w:t>
            </w:r>
            <w:r>
              <w:rPr>
                <w:rFonts w:hint="eastAsia" w:ascii="宋体" w:hAnsi="宋体" w:eastAsia="宋体" w:cs="宋体"/>
                <w:snapToGrid/>
                <w:sz w:val="18"/>
                <w:szCs w:val="18"/>
              </w:rPr>
              <w:t>科学性和资金分配 的合理性</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77240B05">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A301 资金平衡方案的科学性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3CC7B60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549F041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科学</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736C75C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项目单位编制的平衡方案是否经过科学论证、有明确标准，申请的专项债券项目资金额度是否与制定的年度绩效目标相适应</w:t>
            </w:r>
          </w:p>
        </w:tc>
        <w:tc>
          <w:tcPr>
            <w:tcW w:w="1213" w:type="pct"/>
            <w:tcBorders>
              <w:top w:val="nil"/>
              <w:left w:val="nil"/>
              <w:bottom w:val="single" w:color="auto" w:sz="4" w:space="0"/>
              <w:right w:val="single" w:color="auto" w:sz="4" w:space="0"/>
            </w:tcBorders>
            <w:shd w:val="clear" w:color="auto" w:fill="auto"/>
            <w:vAlign w:val="center"/>
          </w:tcPr>
          <w:p w14:paraId="22EFB04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1）项目单位编制的平衡方案是否经过科学论证</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6049A0C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符合以上四点得满分，每出现一处不符扣1分，扣完为止</w:t>
            </w:r>
          </w:p>
        </w:tc>
      </w:tr>
      <w:tr w14:paraId="410A797E">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25145A00">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vAlign w:val="center"/>
          </w:tcPr>
          <w:p w14:paraId="18CD6567">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1AB7EB20">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1CC3E1C6">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21B936C8">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597765EE">
            <w:pPr>
              <w:kinsoku/>
              <w:autoSpaceDE/>
              <w:autoSpaceDN/>
              <w:adjustRightInd/>
              <w:snapToGrid/>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548E3C0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2）编制的内容与申请专项债券项目内容是否相匹配；</w:t>
            </w:r>
          </w:p>
        </w:tc>
        <w:tc>
          <w:tcPr>
            <w:tcW w:w="959" w:type="pct"/>
            <w:vMerge w:val="continue"/>
            <w:tcBorders>
              <w:top w:val="nil"/>
              <w:left w:val="single" w:color="auto" w:sz="4" w:space="0"/>
              <w:bottom w:val="single" w:color="auto" w:sz="4" w:space="0"/>
              <w:right w:val="single" w:color="auto" w:sz="4" w:space="0"/>
            </w:tcBorders>
            <w:vAlign w:val="center"/>
          </w:tcPr>
          <w:p w14:paraId="6FA25101">
            <w:pPr>
              <w:kinsoku/>
              <w:autoSpaceDE/>
              <w:autoSpaceDN/>
              <w:adjustRightInd/>
              <w:snapToGrid/>
              <w:textAlignment w:val="auto"/>
              <w:rPr>
                <w:rFonts w:hint="eastAsia" w:ascii="宋体" w:hAnsi="宋体" w:eastAsia="宋体" w:cs="宋体"/>
                <w:snapToGrid/>
                <w:sz w:val="18"/>
                <w:szCs w:val="18"/>
              </w:rPr>
            </w:pPr>
          </w:p>
        </w:tc>
      </w:tr>
      <w:tr w14:paraId="5E746AD4">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49E3A06D">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right w:val="single" w:color="auto" w:sz="4" w:space="0"/>
            </w:tcBorders>
            <w:shd w:val="clear" w:color="auto" w:fill="auto"/>
            <w:vAlign w:val="center"/>
          </w:tcPr>
          <w:p w14:paraId="3C8E64A4">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3DB7C8C3">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4E9DAADE">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11B0F22C">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4C474E90">
            <w:pPr>
              <w:kinsoku/>
              <w:autoSpaceDE/>
              <w:autoSpaceDN/>
              <w:adjustRightInd/>
              <w:snapToGrid/>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669DB63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3）申请的专项债券额度测算依据是否按照专项债券资金使用规定编制</w:t>
            </w:r>
          </w:p>
        </w:tc>
        <w:tc>
          <w:tcPr>
            <w:tcW w:w="959" w:type="pct"/>
            <w:vMerge w:val="continue"/>
            <w:tcBorders>
              <w:top w:val="nil"/>
              <w:left w:val="single" w:color="auto" w:sz="4" w:space="0"/>
              <w:bottom w:val="single" w:color="auto" w:sz="4" w:space="0"/>
              <w:right w:val="single" w:color="auto" w:sz="4" w:space="0"/>
            </w:tcBorders>
            <w:vAlign w:val="center"/>
          </w:tcPr>
          <w:p w14:paraId="4B6435E5">
            <w:pPr>
              <w:kinsoku/>
              <w:autoSpaceDE/>
              <w:autoSpaceDN/>
              <w:adjustRightInd/>
              <w:snapToGrid/>
              <w:textAlignment w:val="auto"/>
              <w:rPr>
                <w:rFonts w:hint="eastAsia" w:ascii="宋体" w:hAnsi="宋体" w:eastAsia="宋体" w:cs="宋体"/>
                <w:snapToGrid/>
                <w:sz w:val="18"/>
                <w:szCs w:val="18"/>
              </w:rPr>
            </w:pPr>
          </w:p>
        </w:tc>
      </w:tr>
      <w:tr w14:paraId="284FAD62">
        <w:tblPrEx>
          <w:tblCellMar>
            <w:top w:w="0" w:type="dxa"/>
            <w:left w:w="108" w:type="dxa"/>
            <w:bottom w:w="0" w:type="dxa"/>
            <w:right w:w="108" w:type="dxa"/>
          </w:tblCellMar>
        </w:tblPrEx>
        <w:trPr>
          <w:trHeight w:val="1080"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333342A6">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left w:val="single" w:color="auto" w:sz="4" w:space="0"/>
              <w:bottom w:val="single" w:color="auto" w:sz="4" w:space="0"/>
              <w:right w:val="single" w:color="auto" w:sz="4" w:space="0"/>
            </w:tcBorders>
            <w:vAlign w:val="center"/>
          </w:tcPr>
          <w:p w14:paraId="5090A8E7">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58AC9483">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6FCA4353">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3D85A9E9">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4BD412B4">
            <w:pPr>
              <w:kinsoku/>
              <w:autoSpaceDE/>
              <w:autoSpaceDN/>
              <w:adjustRightInd/>
              <w:snapToGrid/>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1DE730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4）申请的专项债券资金额度与当年该债券项目任务是否相匹配</w:t>
            </w:r>
          </w:p>
        </w:tc>
        <w:tc>
          <w:tcPr>
            <w:tcW w:w="959" w:type="pct"/>
            <w:vMerge w:val="continue"/>
            <w:tcBorders>
              <w:top w:val="nil"/>
              <w:left w:val="single" w:color="auto" w:sz="4" w:space="0"/>
              <w:bottom w:val="single" w:color="auto" w:sz="4" w:space="0"/>
              <w:right w:val="single" w:color="auto" w:sz="4" w:space="0"/>
            </w:tcBorders>
            <w:vAlign w:val="center"/>
          </w:tcPr>
          <w:p w14:paraId="6DEFEC78">
            <w:pPr>
              <w:kinsoku/>
              <w:autoSpaceDE/>
              <w:autoSpaceDN/>
              <w:adjustRightInd/>
              <w:snapToGrid/>
              <w:textAlignment w:val="auto"/>
              <w:rPr>
                <w:rFonts w:hint="eastAsia" w:ascii="宋体" w:hAnsi="宋体" w:eastAsia="宋体" w:cs="宋体"/>
                <w:snapToGrid/>
                <w:sz w:val="18"/>
                <w:szCs w:val="18"/>
              </w:rPr>
            </w:pPr>
          </w:p>
        </w:tc>
      </w:tr>
      <w:tr w14:paraId="230929A4">
        <w:tblPrEx>
          <w:tblCellMar>
            <w:top w:w="0" w:type="dxa"/>
            <w:left w:w="108" w:type="dxa"/>
            <w:bottom w:w="0" w:type="dxa"/>
            <w:right w:w="108" w:type="dxa"/>
          </w:tblCellMar>
        </w:tblPrEx>
        <w:trPr>
          <w:trHeight w:val="472" w:hRule="atLeast"/>
        </w:trPr>
        <w:tc>
          <w:tcPr>
            <w:tcW w:w="324" w:type="pct"/>
            <w:vMerge w:val="restart"/>
            <w:tcBorders>
              <w:top w:val="nil"/>
              <w:left w:val="single" w:color="auto" w:sz="4" w:space="0"/>
              <w:right w:val="single" w:color="auto" w:sz="4" w:space="0"/>
            </w:tcBorders>
            <w:shd w:val="clear" w:color="auto" w:fill="auto"/>
            <w:vAlign w:val="center"/>
          </w:tcPr>
          <w:p w14:paraId="13BB50C3">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 决策(20分)</w:t>
            </w:r>
          </w:p>
        </w:tc>
        <w:tc>
          <w:tcPr>
            <w:tcW w:w="426" w:type="pct"/>
            <w:vMerge w:val="restart"/>
            <w:tcBorders>
              <w:top w:val="nil"/>
              <w:left w:val="single" w:color="auto" w:sz="4" w:space="0"/>
              <w:bottom w:val="single" w:color="auto" w:sz="4" w:space="0"/>
              <w:right w:val="single" w:color="auto" w:sz="4" w:space="0"/>
            </w:tcBorders>
            <w:shd w:val="clear" w:color="auto" w:fill="auto"/>
            <w:vAlign w:val="center"/>
          </w:tcPr>
          <w:p w14:paraId="1415F93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 地方政府专项债券资金平衡方</w:t>
            </w:r>
            <w:r>
              <w:rPr>
                <w:rFonts w:hint="eastAsia" w:ascii="宋体" w:hAnsi="宋体" w:eastAsia="宋体" w:cs="宋体"/>
                <w:snapToGrid/>
                <w:sz w:val="18"/>
                <w:szCs w:val="18"/>
                <w:lang w:eastAsia="zh-CN"/>
              </w:rPr>
              <w:t>案的</w:t>
            </w:r>
            <w:r>
              <w:rPr>
                <w:rFonts w:hint="eastAsia" w:ascii="宋体" w:hAnsi="宋体" w:eastAsia="宋体" w:cs="宋体"/>
                <w:snapToGrid/>
                <w:sz w:val="18"/>
                <w:szCs w:val="18"/>
              </w:rPr>
              <w:t>科学性和资金分配 的合理性</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2A07A667">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A302 资金分配合理性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02877FF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34498D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合理</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19A965B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专项债券资金分配使用是 否有测算依据，与该项目所需 资金的真实性是否相符，用以 反映和考核新增专项债券项 目资金编制和分配的合理性。</w:t>
            </w:r>
          </w:p>
        </w:tc>
        <w:tc>
          <w:tcPr>
            <w:tcW w:w="1213" w:type="pct"/>
            <w:tcBorders>
              <w:top w:val="nil"/>
              <w:left w:val="nil"/>
              <w:bottom w:val="single" w:color="auto" w:sz="4" w:space="0"/>
              <w:right w:val="single" w:color="auto" w:sz="4" w:space="0"/>
            </w:tcBorders>
            <w:shd w:val="clear" w:color="auto" w:fill="auto"/>
            <w:vAlign w:val="center"/>
          </w:tcPr>
          <w:p w14:paraId="12AF67D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1)专项债券资金分配使用依据是否充分</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6E2F2E1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符合以上二点得满分，每出现一处不符扣1分，扣完为止</w:t>
            </w:r>
          </w:p>
        </w:tc>
      </w:tr>
      <w:tr w14:paraId="691F493A">
        <w:tblPrEx>
          <w:tblCellMar>
            <w:top w:w="0" w:type="dxa"/>
            <w:left w:w="108" w:type="dxa"/>
            <w:bottom w:w="0" w:type="dxa"/>
            <w:right w:w="108" w:type="dxa"/>
          </w:tblCellMar>
        </w:tblPrEx>
        <w:trPr>
          <w:trHeight w:val="705"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318F2C0E">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5C99E6C2">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173679DE">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1FEE07E0">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09B0E822">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62C605F7">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61DFB59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2)申请专</w:t>
            </w:r>
            <w:r>
              <w:rPr>
                <w:rFonts w:hint="eastAsia" w:ascii="宋体" w:hAnsi="宋体" w:eastAsia="宋体" w:cs="宋体"/>
                <w:snapToGrid/>
                <w:sz w:val="18"/>
                <w:szCs w:val="18"/>
                <w:lang w:eastAsia="zh-CN"/>
              </w:rPr>
              <w:t>项债</w:t>
            </w:r>
            <w:r>
              <w:rPr>
                <w:rFonts w:hint="eastAsia" w:ascii="宋体" w:hAnsi="宋体" w:eastAsia="宋体" w:cs="宋体"/>
                <w:snapToGrid/>
                <w:sz w:val="18"/>
                <w:szCs w:val="18"/>
              </w:rPr>
              <w:t>券项目资金额度与专项债券项目任务是否匹配</w:t>
            </w:r>
          </w:p>
        </w:tc>
        <w:tc>
          <w:tcPr>
            <w:tcW w:w="959" w:type="pct"/>
            <w:vMerge w:val="continue"/>
            <w:tcBorders>
              <w:top w:val="nil"/>
              <w:left w:val="single" w:color="auto" w:sz="4" w:space="0"/>
              <w:bottom w:val="single" w:color="auto" w:sz="4" w:space="0"/>
              <w:right w:val="single" w:color="auto" w:sz="4" w:space="0"/>
            </w:tcBorders>
            <w:vAlign w:val="center"/>
          </w:tcPr>
          <w:p w14:paraId="5E471C8E">
            <w:pPr>
              <w:kinsoku/>
              <w:autoSpaceDE/>
              <w:autoSpaceDN/>
              <w:adjustRightInd/>
              <w:snapToGrid/>
              <w:jc w:val="both"/>
              <w:textAlignment w:val="auto"/>
              <w:rPr>
                <w:rFonts w:hint="eastAsia" w:ascii="宋体" w:hAnsi="宋体" w:eastAsia="宋体" w:cs="宋体"/>
                <w:snapToGrid/>
                <w:sz w:val="18"/>
                <w:szCs w:val="18"/>
              </w:rPr>
            </w:pPr>
          </w:p>
        </w:tc>
      </w:tr>
      <w:tr w14:paraId="65CEE06E">
        <w:tblPrEx>
          <w:tblCellMar>
            <w:top w:w="0" w:type="dxa"/>
            <w:left w:w="108" w:type="dxa"/>
            <w:bottom w:w="0" w:type="dxa"/>
            <w:right w:w="108" w:type="dxa"/>
          </w:tblCellMar>
        </w:tblPrEx>
        <w:trPr>
          <w:trHeight w:val="621" w:hRule="atLeast"/>
        </w:trPr>
        <w:tc>
          <w:tcPr>
            <w:tcW w:w="324" w:type="pct"/>
            <w:vMerge w:val="restart"/>
            <w:tcBorders>
              <w:top w:val="nil"/>
              <w:left w:val="single" w:color="auto" w:sz="4" w:space="0"/>
              <w:right w:val="single" w:color="auto" w:sz="4" w:space="0"/>
            </w:tcBorders>
            <w:shd w:val="clear" w:color="auto" w:fill="auto"/>
            <w:vAlign w:val="center"/>
          </w:tcPr>
          <w:p w14:paraId="70492782">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B 过程管理(25分</w:t>
            </w:r>
            <w:r>
              <w:rPr>
                <w:rFonts w:hint="eastAsia" w:ascii="宋体" w:hAnsi="宋体" w:eastAsia="宋体" w:cs="宋体"/>
                <w:snapToGrid/>
                <w:sz w:val="24"/>
                <w:szCs w:val="24"/>
              </w:rPr>
              <w:t>)</w:t>
            </w:r>
          </w:p>
        </w:tc>
        <w:tc>
          <w:tcPr>
            <w:tcW w:w="426" w:type="pct"/>
            <w:vMerge w:val="restart"/>
            <w:tcBorders>
              <w:top w:val="nil"/>
              <w:left w:val="single" w:color="auto" w:sz="4" w:space="0"/>
              <w:bottom w:val="single" w:color="auto" w:sz="4" w:space="0"/>
              <w:right w:val="single" w:color="auto" w:sz="4" w:space="0"/>
            </w:tcBorders>
            <w:shd w:val="clear" w:color="auto" w:fill="auto"/>
            <w:vAlign w:val="center"/>
          </w:tcPr>
          <w:p w14:paraId="417DA694">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 地方政府专项债券资金管理情况</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0C6C5B74">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B101 资金到位率</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33FD22E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1130760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100%</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0B2D6F7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实际到位资金与预算资金的比率，用以反映和考核资金落实情况对项目实施</w:t>
            </w:r>
            <w:r>
              <w:rPr>
                <w:rFonts w:hint="eastAsia" w:ascii="宋体" w:hAnsi="宋体" w:eastAsia="宋体" w:cs="宋体"/>
                <w:snapToGrid/>
                <w:sz w:val="18"/>
                <w:szCs w:val="18"/>
                <w:lang w:eastAsia="zh-CN"/>
              </w:rPr>
              <w:t>的</w:t>
            </w:r>
            <w:r>
              <w:rPr>
                <w:rFonts w:hint="eastAsia" w:ascii="宋体" w:hAnsi="宋体" w:eastAsia="宋体" w:cs="宋体"/>
                <w:snapToGrid/>
                <w:sz w:val="18"/>
                <w:szCs w:val="18"/>
              </w:rPr>
              <w:t>保障程度</w:t>
            </w:r>
          </w:p>
        </w:tc>
        <w:tc>
          <w:tcPr>
            <w:tcW w:w="1213" w:type="pct"/>
            <w:tcBorders>
              <w:top w:val="nil"/>
              <w:left w:val="nil"/>
              <w:bottom w:val="single" w:color="auto" w:sz="4" w:space="0"/>
              <w:right w:val="single" w:color="auto" w:sz="4" w:space="0"/>
            </w:tcBorders>
            <w:shd w:val="clear" w:color="auto" w:fill="auto"/>
            <w:vAlign w:val="center"/>
          </w:tcPr>
          <w:p w14:paraId="69192E0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1）自有资金到位率=（实际到位资金/预算资金）*100%  （2分）</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06076C3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①资金到位率达到100%得满分；②未达到100%的，每降低1%扣权重分数的2%，资金到位率小于80%不得分</w:t>
            </w:r>
          </w:p>
        </w:tc>
      </w:tr>
      <w:tr w14:paraId="016AE616">
        <w:tblPrEx>
          <w:tblCellMar>
            <w:top w:w="0" w:type="dxa"/>
            <w:left w:w="108" w:type="dxa"/>
            <w:bottom w:w="0" w:type="dxa"/>
            <w:right w:w="108" w:type="dxa"/>
          </w:tblCellMar>
        </w:tblPrEx>
        <w:trPr>
          <w:trHeight w:val="909" w:hRule="atLeast"/>
        </w:trPr>
        <w:tc>
          <w:tcPr>
            <w:tcW w:w="324" w:type="pct"/>
            <w:vMerge w:val="continue"/>
            <w:tcBorders>
              <w:left w:val="single" w:color="auto" w:sz="4" w:space="0"/>
              <w:right w:val="single" w:color="auto" w:sz="4" w:space="0"/>
            </w:tcBorders>
            <w:shd w:val="clear" w:color="auto" w:fill="auto"/>
            <w:vAlign w:val="center"/>
          </w:tcPr>
          <w:p w14:paraId="4C84B81F">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1A986723">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63B97671">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5D01A6E3">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236C4A81">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0C72E9E5">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2F839E0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2）专项债资金到位率=（实际到位资金/预算资金）*100%（2分）</w:t>
            </w:r>
          </w:p>
        </w:tc>
        <w:tc>
          <w:tcPr>
            <w:tcW w:w="959" w:type="pct"/>
            <w:vMerge w:val="continue"/>
            <w:tcBorders>
              <w:top w:val="nil"/>
              <w:left w:val="single" w:color="auto" w:sz="4" w:space="0"/>
              <w:bottom w:val="single" w:color="auto" w:sz="4" w:space="0"/>
              <w:right w:val="single" w:color="auto" w:sz="4" w:space="0"/>
            </w:tcBorders>
            <w:vAlign w:val="center"/>
          </w:tcPr>
          <w:p w14:paraId="67534AD6">
            <w:pPr>
              <w:kinsoku/>
              <w:autoSpaceDE/>
              <w:autoSpaceDN/>
              <w:adjustRightInd/>
              <w:snapToGrid/>
              <w:jc w:val="both"/>
              <w:textAlignment w:val="auto"/>
              <w:rPr>
                <w:rFonts w:hint="eastAsia" w:ascii="宋体" w:hAnsi="宋体" w:eastAsia="宋体" w:cs="宋体"/>
                <w:snapToGrid/>
                <w:sz w:val="18"/>
                <w:szCs w:val="18"/>
              </w:rPr>
            </w:pPr>
          </w:p>
        </w:tc>
      </w:tr>
      <w:tr w14:paraId="22C10FF4">
        <w:tblPrEx>
          <w:tblCellMar>
            <w:top w:w="0" w:type="dxa"/>
            <w:left w:w="108" w:type="dxa"/>
            <w:bottom w:w="0" w:type="dxa"/>
            <w:right w:w="108" w:type="dxa"/>
          </w:tblCellMar>
        </w:tblPrEx>
        <w:trPr>
          <w:trHeight w:val="924" w:hRule="atLeast"/>
        </w:trPr>
        <w:tc>
          <w:tcPr>
            <w:tcW w:w="324" w:type="pct"/>
            <w:vMerge w:val="continue"/>
            <w:tcBorders>
              <w:left w:val="single" w:color="auto" w:sz="4" w:space="0"/>
              <w:bottom w:val="nil"/>
              <w:right w:val="single" w:color="auto" w:sz="4" w:space="0"/>
            </w:tcBorders>
            <w:shd w:val="clear" w:color="auto" w:fill="auto"/>
            <w:vAlign w:val="center"/>
          </w:tcPr>
          <w:p w14:paraId="7D099482">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73933A1B">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single" w:color="auto" w:sz="4" w:space="0"/>
              <w:bottom w:val="single" w:color="auto" w:sz="4" w:space="0"/>
              <w:right w:val="single" w:color="auto" w:sz="4" w:space="0"/>
            </w:tcBorders>
            <w:shd w:val="clear" w:color="auto" w:fill="auto"/>
            <w:vAlign w:val="center"/>
          </w:tcPr>
          <w:p w14:paraId="7229255A">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B102 资金使用率</w:t>
            </w:r>
          </w:p>
        </w:tc>
        <w:tc>
          <w:tcPr>
            <w:tcW w:w="282" w:type="pct"/>
            <w:tcBorders>
              <w:top w:val="nil"/>
              <w:left w:val="single" w:color="auto" w:sz="4" w:space="0"/>
              <w:bottom w:val="single" w:color="auto" w:sz="4" w:space="0"/>
              <w:right w:val="single" w:color="auto" w:sz="4" w:space="0"/>
            </w:tcBorders>
            <w:shd w:val="clear" w:color="auto" w:fill="auto"/>
            <w:vAlign w:val="center"/>
          </w:tcPr>
          <w:p w14:paraId="2F8ADE2A">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tcBorders>
              <w:top w:val="nil"/>
              <w:left w:val="single" w:color="auto" w:sz="4" w:space="0"/>
              <w:bottom w:val="single" w:color="auto" w:sz="4" w:space="0"/>
              <w:right w:val="single" w:color="auto" w:sz="4" w:space="0"/>
            </w:tcBorders>
            <w:shd w:val="clear" w:color="auto" w:fill="auto"/>
            <w:vAlign w:val="center"/>
          </w:tcPr>
          <w:p w14:paraId="7D79BD7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匹配</w:t>
            </w:r>
          </w:p>
        </w:tc>
        <w:tc>
          <w:tcPr>
            <w:tcW w:w="904" w:type="pct"/>
            <w:tcBorders>
              <w:top w:val="nil"/>
              <w:left w:val="single" w:color="auto" w:sz="4" w:space="0"/>
              <w:bottom w:val="single" w:color="auto" w:sz="4" w:space="0"/>
              <w:right w:val="single" w:color="auto" w:sz="4" w:space="0"/>
            </w:tcBorders>
            <w:shd w:val="clear" w:color="auto" w:fill="auto"/>
            <w:vAlign w:val="center"/>
          </w:tcPr>
          <w:p w14:paraId="4266274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项目预算资金是否按照计划执行，用以反映或考核项目预算执行情况</w:t>
            </w:r>
          </w:p>
        </w:tc>
        <w:tc>
          <w:tcPr>
            <w:tcW w:w="1213" w:type="pct"/>
            <w:tcBorders>
              <w:top w:val="nil"/>
              <w:left w:val="single" w:color="auto" w:sz="4" w:space="0"/>
              <w:bottom w:val="single" w:color="000000" w:sz="4" w:space="0"/>
              <w:right w:val="single" w:color="auto" w:sz="4" w:space="0"/>
            </w:tcBorders>
            <w:shd w:val="clear" w:color="auto" w:fill="auto"/>
            <w:vAlign w:val="center"/>
          </w:tcPr>
          <w:p w14:paraId="63FE306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资金使用率=实际支付资金/到位资金*100%</w:t>
            </w:r>
          </w:p>
        </w:tc>
        <w:tc>
          <w:tcPr>
            <w:tcW w:w="959" w:type="pct"/>
            <w:tcBorders>
              <w:top w:val="nil"/>
              <w:left w:val="single" w:color="auto" w:sz="4" w:space="0"/>
              <w:bottom w:val="single" w:color="auto" w:sz="4" w:space="0"/>
              <w:right w:val="single" w:color="auto" w:sz="4" w:space="0"/>
            </w:tcBorders>
            <w:shd w:val="clear" w:color="auto" w:fill="auto"/>
            <w:vAlign w:val="center"/>
          </w:tcPr>
          <w:p w14:paraId="2993B63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①资金使用率达到100%得满分；②未达到100%的，每降低1%扣权重分数的2%，资金到位率小于80%不得分</w:t>
            </w:r>
          </w:p>
        </w:tc>
      </w:tr>
      <w:tr w14:paraId="0171BB87">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6D36852D">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5F9FFE51">
            <w:pPr>
              <w:kinsoku/>
              <w:autoSpaceDE/>
              <w:autoSpaceDN/>
              <w:adjustRightInd/>
              <w:snapToGrid/>
              <w:textAlignment w:val="auto"/>
              <w:rPr>
                <w:rFonts w:hint="eastAsia" w:ascii="宋体" w:hAnsi="宋体" w:eastAsia="宋体" w:cs="宋体"/>
                <w:snapToGrid/>
                <w:sz w:val="18"/>
                <w:szCs w:val="18"/>
              </w:rPr>
            </w:pP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17EC43B8">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B103 专项债券资金使用合规性</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5DEE989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25610C9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合规</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172D8D2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考察债券项目资金使用是否符合专项债券资金管理规定</w:t>
            </w:r>
          </w:p>
        </w:tc>
        <w:tc>
          <w:tcPr>
            <w:tcW w:w="1213" w:type="pct"/>
            <w:tcBorders>
              <w:top w:val="nil"/>
              <w:left w:val="nil"/>
              <w:bottom w:val="single" w:color="auto" w:sz="4" w:space="0"/>
              <w:right w:val="single" w:color="auto" w:sz="4" w:space="0"/>
            </w:tcBorders>
            <w:shd w:val="clear" w:color="auto" w:fill="auto"/>
            <w:vAlign w:val="center"/>
          </w:tcPr>
          <w:p w14:paraId="498CA16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 是否擅自变动项目资金（0.5分）</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3319BC6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每符合一项，得权重分的25%；否则扣除相应权重分。</w:t>
            </w:r>
          </w:p>
        </w:tc>
      </w:tr>
      <w:tr w14:paraId="04D421BB">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0333D521">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76841779">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4485630B">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4C3585AC">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3C55E7CF">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46AABF40">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1F77C5E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 资金是否严格按专项债资金专户管理办法拨付项目施工单位（0.5分）</w:t>
            </w:r>
          </w:p>
        </w:tc>
        <w:tc>
          <w:tcPr>
            <w:tcW w:w="959" w:type="pct"/>
            <w:vMerge w:val="continue"/>
            <w:tcBorders>
              <w:top w:val="nil"/>
              <w:left w:val="single" w:color="auto" w:sz="4" w:space="0"/>
              <w:bottom w:val="single" w:color="auto" w:sz="4" w:space="0"/>
              <w:right w:val="single" w:color="auto" w:sz="4" w:space="0"/>
            </w:tcBorders>
            <w:vAlign w:val="center"/>
          </w:tcPr>
          <w:p w14:paraId="50F10078">
            <w:pPr>
              <w:kinsoku/>
              <w:autoSpaceDE/>
              <w:autoSpaceDN/>
              <w:adjustRightInd/>
              <w:snapToGrid/>
              <w:jc w:val="both"/>
              <w:textAlignment w:val="auto"/>
              <w:rPr>
                <w:rFonts w:hint="eastAsia" w:ascii="宋体" w:hAnsi="宋体" w:eastAsia="宋体" w:cs="宋体"/>
                <w:snapToGrid/>
                <w:sz w:val="18"/>
                <w:szCs w:val="18"/>
              </w:rPr>
            </w:pPr>
          </w:p>
        </w:tc>
      </w:tr>
      <w:tr w14:paraId="31F76D8A">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591EB5BC">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0A2ECCFC">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407A914D">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392501D4">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5BC3E719">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0585960F">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70DA671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 专项债资金是否进行独立核算（1分）</w:t>
            </w:r>
          </w:p>
        </w:tc>
        <w:tc>
          <w:tcPr>
            <w:tcW w:w="959" w:type="pct"/>
            <w:vMerge w:val="continue"/>
            <w:tcBorders>
              <w:top w:val="nil"/>
              <w:left w:val="single" w:color="auto" w:sz="4" w:space="0"/>
              <w:bottom w:val="single" w:color="auto" w:sz="4" w:space="0"/>
              <w:right w:val="single" w:color="auto" w:sz="4" w:space="0"/>
            </w:tcBorders>
            <w:vAlign w:val="center"/>
          </w:tcPr>
          <w:p w14:paraId="05B276B7">
            <w:pPr>
              <w:kinsoku/>
              <w:autoSpaceDE/>
              <w:autoSpaceDN/>
              <w:adjustRightInd/>
              <w:snapToGrid/>
              <w:jc w:val="both"/>
              <w:textAlignment w:val="auto"/>
              <w:rPr>
                <w:rFonts w:hint="eastAsia" w:ascii="宋体" w:hAnsi="宋体" w:eastAsia="宋体" w:cs="宋体"/>
                <w:snapToGrid/>
                <w:sz w:val="18"/>
                <w:szCs w:val="18"/>
              </w:rPr>
            </w:pPr>
          </w:p>
        </w:tc>
      </w:tr>
      <w:tr w14:paraId="75259F5F">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7C320FBC">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27929FE0">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3F0C2287">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4F9559D4">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2FA3EA1E">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3E593B0B">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003AED0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 专项债券本息按期偿还（1分）</w:t>
            </w:r>
          </w:p>
        </w:tc>
        <w:tc>
          <w:tcPr>
            <w:tcW w:w="959" w:type="pct"/>
            <w:vMerge w:val="continue"/>
            <w:tcBorders>
              <w:top w:val="nil"/>
              <w:left w:val="single" w:color="auto" w:sz="4" w:space="0"/>
              <w:bottom w:val="single" w:color="auto" w:sz="4" w:space="0"/>
              <w:right w:val="single" w:color="auto" w:sz="4" w:space="0"/>
            </w:tcBorders>
            <w:vAlign w:val="center"/>
          </w:tcPr>
          <w:p w14:paraId="6FA45C84">
            <w:pPr>
              <w:kinsoku/>
              <w:autoSpaceDE/>
              <w:autoSpaceDN/>
              <w:adjustRightInd/>
              <w:snapToGrid/>
              <w:jc w:val="both"/>
              <w:textAlignment w:val="auto"/>
              <w:rPr>
                <w:rFonts w:hint="eastAsia" w:ascii="宋体" w:hAnsi="宋体" w:eastAsia="宋体" w:cs="宋体"/>
                <w:snapToGrid/>
                <w:sz w:val="18"/>
                <w:szCs w:val="18"/>
              </w:rPr>
            </w:pPr>
          </w:p>
        </w:tc>
      </w:tr>
      <w:tr w14:paraId="70B6EAE2">
        <w:tblPrEx>
          <w:tblCellMar>
            <w:top w:w="0" w:type="dxa"/>
            <w:left w:w="108" w:type="dxa"/>
            <w:bottom w:w="0" w:type="dxa"/>
            <w:right w:w="108" w:type="dxa"/>
          </w:tblCellMar>
        </w:tblPrEx>
        <w:trPr>
          <w:trHeight w:val="1140"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3F5FFB98">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6043C843">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nil"/>
              <w:bottom w:val="single" w:color="auto" w:sz="4" w:space="0"/>
              <w:right w:val="single" w:color="auto" w:sz="4" w:space="0"/>
            </w:tcBorders>
            <w:shd w:val="clear" w:color="auto" w:fill="auto"/>
            <w:vAlign w:val="center"/>
          </w:tcPr>
          <w:p w14:paraId="2366AE93">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B104 债券资金跟踪机制健全性</w:t>
            </w:r>
          </w:p>
        </w:tc>
        <w:tc>
          <w:tcPr>
            <w:tcW w:w="282" w:type="pct"/>
            <w:tcBorders>
              <w:top w:val="nil"/>
              <w:left w:val="nil"/>
              <w:bottom w:val="single" w:color="auto" w:sz="4" w:space="0"/>
              <w:right w:val="single" w:color="auto" w:sz="4" w:space="0"/>
            </w:tcBorders>
            <w:shd w:val="clear" w:color="auto" w:fill="auto"/>
            <w:vAlign w:val="center"/>
          </w:tcPr>
          <w:p w14:paraId="3543F70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0B686EC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健全</w:t>
            </w:r>
          </w:p>
        </w:tc>
        <w:tc>
          <w:tcPr>
            <w:tcW w:w="904" w:type="pct"/>
            <w:tcBorders>
              <w:top w:val="nil"/>
              <w:left w:val="nil"/>
              <w:bottom w:val="single" w:color="auto" w:sz="4" w:space="0"/>
              <w:right w:val="single" w:color="auto" w:sz="4" w:space="0"/>
            </w:tcBorders>
            <w:shd w:val="clear" w:color="auto" w:fill="auto"/>
            <w:vAlign w:val="center"/>
          </w:tcPr>
          <w:p w14:paraId="406FB59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使用专项债券项目实施单位是否建立专项债券跟踪机制</w:t>
            </w:r>
          </w:p>
        </w:tc>
        <w:tc>
          <w:tcPr>
            <w:tcW w:w="1213" w:type="pct"/>
            <w:tcBorders>
              <w:top w:val="nil"/>
              <w:left w:val="nil"/>
              <w:bottom w:val="single" w:color="auto" w:sz="4" w:space="0"/>
              <w:right w:val="single" w:color="auto" w:sz="4" w:space="0"/>
            </w:tcBorders>
            <w:shd w:val="clear" w:color="auto" w:fill="auto"/>
            <w:vAlign w:val="center"/>
          </w:tcPr>
          <w:p w14:paraId="189568A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根据实际运营情况预测覆盖率</w:t>
            </w:r>
          </w:p>
        </w:tc>
        <w:tc>
          <w:tcPr>
            <w:tcW w:w="959" w:type="pct"/>
            <w:tcBorders>
              <w:top w:val="nil"/>
              <w:left w:val="nil"/>
              <w:bottom w:val="single" w:color="auto" w:sz="4" w:space="0"/>
              <w:right w:val="single" w:color="auto" w:sz="4" w:space="0"/>
            </w:tcBorders>
            <w:shd w:val="clear" w:color="auto" w:fill="auto"/>
            <w:vAlign w:val="center"/>
          </w:tcPr>
          <w:p w14:paraId="36DB79A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抽查项目是否根据实际运营情况预测覆盖率或预测不合理的扣2分</w:t>
            </w:r>
          </w:p>
        </w:tc>
      </w:tr>
      <w:tr w14:paraId="4DDDBD7D">
        <w:tblPrEx>
          <w:tblCellMar>
            <w:top w:w="0" w:type="dxa"/>
            <w:left w:w="108" w:type="dxa"/>
            <w:bottom w:w="0" w:type="dxa"/>
            <w:right w:w="108" w:type="dxa"/>
          </w:tblCellMar>
        </w:tblPrEx>
        <w:trPr>
          <w:trHeight w:val="898" w:hRule="atLeast"/>
        </w:trPr>
        <w:tc>
          <w:tcPr>
            <w:tcW w:w="324" w:type="pct"/>
            <w:vMerge w:val="restart"/>
            <w:tcBorders>
              <w:top w:val="nil"/>
              <w:left w:val="single" w:color="auto" w:sz="4" w:space="0"/>
              <w:right w:val="single" w:color="auto" w:sz="4" w:space="0"/>
            </w:tcBorders>
            <w:shd w:val="clear" w:color="auto" w:fill="auto"/>
            <w:vAlign w:val="center"/>
          </w:tcPr>
          <w:p w14:paraId="345DC28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 过程管理(25分</w:t>
            </w:r>
            <w:r>
              <w:rPr>
                <w:rFonts w:hint="eastAsia" w:ascii="宋体" w:hAnsi="宋体" w:eastAsia="宋体" w:cs="宋体"/>
                <w:snapToGrid/>
                <w:sz w:val="24"/>
                <w:szCs w:val="24"/>
              </w:rPr>
              <w:t>)</w:t>
            </w:r>
          </w:p>
        </w:tc>
        <w:tc>
          <w:tcPr>
            <w:tcW w:w="426" w:type="pct"/>
            <w:vMerge w:val="restart"/>
            <w:tcBorders>
              <w:top w:val="nil"/>
              <w:left w:val="single" w:color="auto" w:sz="4" w:space="0"/>
              <w:bottom w:val="single" w:color="auto" w:sz="4" w:space="0"/>
              <w:right w:val="single" w:color="auto" w:sz="4" w:space="0"/>
            </w:tcBorders>
            <w:shd w:val="clear" w:color="auto" w:fill="auto"/>
            <w:vAlign w:val="center"/>
          </w:tcPr>
          <w:p w14:paraId="0BFDB58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 组织实施</w:t>
            </w:r>
          </w:p>
        </w:tc>
        <w:tc>
          <w:tcPr>
            <w:tcW w:w="524" w:type="pct"/>
            <w:tcBorders>
              <w:top w:val="nil"/>
              <w:left w:val="nil"/>
              <w:bottom w:val="single" w:color="auto" w:sz="4" w:space="0"/>
              <w:right w:val="single" w:color="auto" w:sz="4" w:space="0"/>
            </w:tcBorders>
            <w:shd w:val="clear" w:color="auto" w:fill="auto"/>
            <w:vAlign w:val="center"/>
          </w:tcPr>
          <w:p w14:paraId="1F28C944">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B201 专项债资金管理制度健全性及执行有效性</w:t>
            </w:r>
          </w:p>
        </w:tc>
        <w:tc>
          <w:tcPr>
            <w:tcW w:w="282" w:type="pct"/>
            <w:tcBorders>
              <w:top w:val="nil"/>
              <w:left w:val="nil"/>
              <w:bottom w:val="single" w:color="auto" w:sz="4" w:space="0"/>
              <w:right w:val="single" w:color="auto" w:sz="4" w:space="0"/>
            </w:tcBorders>
            <w:shd w:val="clear" w:color="auto" w:fill="auto"/>
            <w:vAlign w:val="center"/>
          </w:tcPr>
          <w:p w14:paraId="7ABE006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6622734A">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健全</w:t>
            </w:r>
          </w:p>
        </w:tc>
        <w:tc>
          <w:tcPr>
            <w:tcW w:w="904" w:type="pct"/>
            <w:tcBorders>
              <w:top w:val="nil"/>
              <w:left w:val="nil"/>
              <w:bottom w:val="single" w:color="auto" w:sz="4" w:space="0"/>
              <w:right w:val="single" w:color="auto" w:sz="4" w:space="0"/>
            </w:tcBorders>
            <w:shd w:val="clear" w:color="auto" w:fill="auto"/>
            <w:vAlign w:val="center"/>
          </w:tcPr>
          <w:p w14:paraId="52ADD21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使用专项债券项目实施单位专项资金管理制度是否健全</w:t>
            </w:r>
          </w:p>
        </w:tc>
        <w:tc>
          <w:tcPr>
            <w:tcW w:w="1213" w:type="pct"/>
            <w:tcBorders>
              <w:top w:val="nil"/>
              <w:left w:val="nil"/>
              <w:bottom w:val="single" w:color="auto" w:sz="4" w:space="0"/>
              <w:right w:val="single" w:color="auto" w:sz="4" w:space="0"/>
            </w:tcBorders>
            <w:shd w:val="clear" w:color="auto" w:fill="auto"/>
            <w:vAlign w:val="center"/>
          </w:tcPr>
          <w:p w14:paraId="7161D85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1）是否制定或具有相应的专项债财务和业务管理制度；2）财务和业务管理制度是否合法、合规、完整</w:t>
            </w:r>
          </w:p>
        </w:tc>
        <w:tc>
          <w:tcPr>
            <w:tcW w:w="959" w:type="pct"/>
            <w:tcBorders>
              <w:top w:val="nil"/>
              <w:left w:val="nil"/>
              <w:bottom w:val="single" w:color="auto" w:sz="4" w:space="0"/>
              <w:right w:val="single" w:color="auto" w:sz="4" w:space="0"/>
            </w:tcBorders>
            <w:shd w:val="clear" w:color="auto" w:fill="auto"/>
            <w:vAlign w:val="center"/>
          </w:tcPr>
          <w:p w14:paraId="51B5FBA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1）制定或具有相应的专项债财务和业务管理制度，得0.5分；2）财务和业务管理制度合法、合规、完整，得0.5分</w:t>
            </w:r>
          </w:p>
        </w:tc>
      </w:tr>
      <w:tr w14:paraId="2259EB36">
        <w:tblPrEx>
          <w:tblCellMar>
            <w:top w:w="0" w:type="dxa"/>
            <w:left w:w="108" w:type="dxa"/>
            <w:bottom w:w="0" w:type="dxa"/>
            <w:right w:w="108" w:type="dxa"/>
          </w:tblCellMar>
        </w:tblPrEx>
        <w:trPr>
          <w:trHeight w:val="845" w:hRule="atLeast"/>
        </w:trPr>
        <w:tc>
          <w:tcPr>
            <w:tcW w:w="324" w:type="pct"/>
            <w:vMerge w:val="continue"/>
            <w:tcBorders>
              <w:left w:val="single" w:color="auto" w:sz="4" w:space="0"/>
              <w:right w:val="single" w:color="auto" w:sz="4" w:space="0"/>
            </w:tcBorders>
            <w:shd w:val="clear" w:color="auto" w:fill="auto"/>
            <w:vAlign w:val="center"/>
          </w:tcPr>
          <w:p w14:paraId="4EBB503B">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0301CFE3">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nil"/>
              <w:bottom w:val="single" w:color="auto" w:sz="4" w:space="0"/>
              <w:right w:val="single" w:color="auto" w:sz="4" w:space="0"/>
            </w:tcBorders>
            <w:shd w:val="clear" w:color="auto" w:fill="auto"/>
            <w:vAlign w:val="center"/>
          </w:tcPr>
          <w:p w14:paraId="7790F2E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B202项目管理制度的完备性及执行的有效性</w:t>
            </w:r>
          </w:p>
        </w:tc>
        <w:tc>
          <w:tcPr>
            <w:tcW w:w="282" w:type="pct"/>
            <w:tcBorders>
              <w:top w:val="nil"/>
              <w:left w:val="nil"/>
              <w:bottom w:val="single" w:color="auto" w:sz="4" w:space="0"/>
              <w:right w:val="single" w:color="auto" w:sz="4" w:space="0"/>
            </w:tcBorders>
            <w:shd w:val="clear" w:color="auto" w:fill="auto"/>
            <w:vAlign w:val="center"/>
          </w:tcPr>
          <w:p w14:paraId="0EC2A38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5C07E09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有效</w:t>
            </w:r>
          </w:p>
        </w:tc>
        <w:tc>
          <w:tcPr>
            <w:tcW w:w="904" w:type="pct"/>
            <w:tcBorders>
              <w:top w:val="nil"/>
              <w:left w:val="nil"/>
              <w:bottom w:val="single" w:color="auto" w:sz="4" w:space="0"/>
              <w:right w:val="single" w:color="auto" w:sz="4" w:space="0"/>
            </w:tcBorders>
            <w:shd w:val="clear" w:color="auto" w:fill="auto"/>
            <w:vAlign w:val="center"/>
          </w:tcPr>
          <w:p w14:paraId="353FA7F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用以反映和考核项目顺利实施的保障能力及有效执行情况</w:t>
            </w:r>
          </w:p>
        </w:tc>
        <w:tc>
          <w:tcPr>
            <w:tcW w:w="1213" w:type="pct"/>
            <w:tcBorders>
              <w:top w:val="nil"/>
              <w:left w:val="nil"/>
              <w:bottom w:val="single" w:color="auto" w:sz="4" w:space="0"/>
              <w:right w:val="single" w:color="auto" w:sz="4" w:space="0"/>
            </w:tcBorders>
            <w:shd w:val="clear" w:color="auto" w:fill="auto"/>
            <w:vAlign w:val="center"/>
          </w:tcPr>
          <w:p w14:paraId="661BA7E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1）项目运营管理是否</w:t>
            </w:r>
            <w:r>
              <w:rPr>
                <w:rFonts w:hint="eastAsia" w:ascii="宋体" w:hAnsi="宋体" w:eastAsia="宋体" w:cs="宋体"/>
                <w:snapToGrid/>
                <w:sz w:val="18"/>
                <w:szCs w:val="18"/>
                <w:lang w:eastAsia="zh-CN"/>
              </w:rPr>
              <w:t>制度</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2）按规定制度执行是否留有痕迹</w:t>
            </w:r>
          </w:p>
        </w:tc>
        <w:tc>
          <w:tcPr>
            <w:tcW w:w="959" w:type="pct"/>
            <w:tcBorders>
              <w:top w:val="nil"/>
              <w:left w:val="nil"/>
              <w:bottom w:val="single" w:color="auto" w:sz="4" w:space="0"/>
              <w:right w:val="single" w:color="auto" w:sz="4" w:space="0"/>
            </w:tcBorders>
            <w:shd w:val="clear" w:color="auto" w:fill="auto"/>
            <w:vAlign w:val="center"/>
          </w:tcPr>
          <w:p w14:paraId="4E04A4A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1）项目运营管理制度（1分）2）按规定制度执行并留有痕迹（1分）</w:t>
            </w:r>
          </w:p>
        </w:tc>
      </w:tr>
      <w:tr w14:paraId="68840177">
        <w:tblPrEx>
          <w:tblCellMar>
            <w:top w:w="0" w:type="dxa"/>
            <w:left w:w="108" w:type="dxa"/>
            <w:bottom w:w="0" w:type="dxa"/>
            <w:right w:w="108" w:type="dxa"/>
          </w:tblCellMar>
        </w:tblPrEx>
        <w:trPr>
          <w:trHeight w:val="653" w:hRule="atLeast"/>
        </w:trPr>
        <w:tc>
          <w:tcPr>
            <w:tcW w:w="324" w:type="pct"/>
            <w:vMerge w:val="continue"/>
            <w:tcBorders>
              <w:left w:val="single" w:color="auto" w:sz="4" w:space="0"/>
              <w:right w:val="single" w:color="auto" w:sz="4" w:space="0"/>
            </w:tcBorders>
            <w:shd w:val="clear" w:color="auto" w:fill="auto"/>
            <w:vAlign w:val="center"/>
          </w:tcPr>
          <w:p w14:paraId="6EA13421">
            <w:pPr>
              <w:kinsoku/>
              <w:autoSpaceDE/>
              <w:autoSpaceDN/>
              <w:adjustRightInd/>
              <w:snapToGrid/>
              <w:textAlignment w:val="auto"/>
              <w:rPr>
                <w:rFonts w:hint="eastAsia" w:ascii="宋体" w:hAnsi="宋体" w:eastAsia="宋体" w:cs="宋体"/>
                <w:snapToGrid/>
                <w:sz w:val="18"/>
                <w:szCs w:val="18"/>
              </w:rPr>
            </w:pPr>
          </w:p>
        </w:tc>
        <w:tc>
          <w:tcPr>
            <w:tcW w:w="426" w:type="pct"/>
            <w:vMerge w:val="restart"/>
            <w:tcBorders>
              <w:top w:val="nil"/>
              <w:left w:val="single" w:color="auto" w:sz="4" w:space="0"/>
              <w:bottom w:val="nil"/>
              <w:right w:val="single" w:color="auto" w:sz="4" w:space="0"/>
            </w:tcBorders>
            <w:shd w:val="clear" w:color="auto" w:fill="auto"/>
            <w:vAlign w:val="center"/>
          </w:tcPr>
          <w:p w14:paraId="3959DB10">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B3 资产管理</w:t>
            </w:r>
          </w:p>
        </w:tc>
        <w:tc>
          <w:tcPr>
            <w:tcW w:w="524" w:type="pct"/>
            <w:tcBorders>
              <w:top w:val="nil"/>
              <w:left w:val="nil"/>
              <w:bottom w:val="single" w:color="auto" w:sz="4" w:space="0"/>
              <w:right w:val="single" w:color="auto" w:sz="4" w:space="0"/>
            </w:tcBorders>
            <w:shd w:val="clear" w:color="auto" w:fill="auto"/>
            <w:vAlign w:val="center"/>
          </w:tcPr>
          <w:p w14:paraId="4735BF1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B301已完工项目资产确权及时性</w:t>
            </w:r>
          </w:p>
        </w:tc>
        <w:tc>
          <w:tcPr>
            <w:tcW w:w="282" w:type="pct"/>
            <w:tcBorders>
              <w:top w:val="nil"/>
              <w:left w:val="nil"/>
              <w:bottom w:val="single" w:color="auto" w:sz="4" w:space="0"/>
              <w:right w:val="single" w:color="auto" w:sz="4" w:space="0"/>
            </w:tcBorders>
            <w:shd w:val="clear" w:color="auto" w:fill="auto"/>
            <w:vAlign w:val="center"/>
          </w:tcPr>
          <w:p w14:paraId="73EFC93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51080FB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及时完成</w:t>
            </w:r>
          </w:p>
        </w:tc>
        <w:tc>
          <w:tcPr>
            <w:tcW w:w="904" w:type="pct"/>
            <w:tcBorders>
              <w:top w:val="nil"/>
              <w:left w:val="nil"/>
              <w:bottom w:val="single" w:color="auto" w:sz="4" w:space="0"/>
              <w:right w:val="single" w:color="auto" w:sz="4" w:space="0"/>
            </w:tcBorders>
            <w:shd w:val="clear" w:color="auto" w:fill="auto"/>
            <w:vAlign w:val="center"/>
          </w:tcPr>
          <w:p w14:paraId="3D5092C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明确产权主体，并及时确权</w:t>
            </w:r>
          </w:p>
        </w:tc>
        <w:tc>
          <w:tcPr>
            <w:tcW w:w="1213" w:type="pct"/>
            <w:tcBorders>
              <w:top w:val="nil"/>
              <w:left w:val="nil"/>
              <w:bottom w:val="single" w:color="auto" w:sz="4" w:space="0"/>
              <w:right w:val="single" w:color="auto" w:sz="4" w:space="0"/>
            </w:tcBorders>
            <w:shd w:val="clear" w:color="auto" w:fill="auto"/>
            <w:vAlign w:val="center"/>
          </w:tcPr>
          <w:p w14:paraId="571B192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完成率＝完办产权项目数量/符合办理产权项目数量*100%</w:t>
            </w:r>
          </w:p>
        </w:tc>
        <w:tc>
          <w:tcPr>
            <w:tcW w:w="959" w:type="pct"/>
            <w:tcBorders>
              <w:top w:val="nil"/>
              <w:left w:val="nil"/>
              <w:bottom w:val="single" w:color="auto" w:sz="4" w:space="0"/>
              <w:right w:val="single" w:color="auto" w:sz="4" w:space="0"/>
            </w:tcBorders>
            <w:shd w:val="clear" w:color="auto" w:fill="auto"/>
            <w:vAlign w:val="center"/>
          </w:tcPr>
          <w:p w14:paraId="45A0F6F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1）完成率达到100%得满分；2）未达到80%-100%，得1分，资金到位率小于80%不得分</w:t>
            </w:r>
          </w:p>
        </w:tc>
      </w:tr>
      <w:tr w14:paraId="2BD44C0A">
        <w:tblPrEx>
          <w:tblCellMar>
            <w:top w:w="0" w:type="dxa"/>
            <w:left w:w="108" w:type="dxa"/>
            <w:bottom w:w="0" w:type="dxa"/>
            <w:right w:w="108" w:type="dxa"/>
          </w:tblCellMar>
        </w:tblPrEx>
        <w:trPr>
          <w:trHeight w:val="507" w:hRule="atLeast"/>
        </w:trPr>
        <w:tc>
          <w:tcPr>
            <w:tcW w:w="324" w:type="pct"/>
            <w:vMerge w:val="continue"/>
            <w:tcBorders>
              <w:left w:val="single" w:color="auto" w:sz="4" w:space="0"/>
              <w:right w:val="single" w:color="auto" w:sz="4" w:space="0"/>
            </w:tcBorders>
            <w:shd w:val="clear" w:color="auto" w:fill="auto"/>
            <w:vAlign w:val="center"/>
          </w:tcPr>
          <w:p w14:paraId="2B393069">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nil"/>
              <w:right w:val="single" w:color="auto" w:sz="4" w:space="0"/>
            </w:tcBorders>
            <w:vAlign w:val="center"/>
          </w:tcPr>
          <w:p w14:paraId="4C03017D">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nil"/>
              <w:bottom w:val="single" w:color="auto" w:sz="4" w:space="0"/>
              <w:right w:val="single" w:color="auto" w:sz="4" w:space="0"/>
            </w:tcBorders>
            <w:shd w:val="clear" w:color="auto" w:fill="auto"/>
            <w:vAlign w:val="center"/>
          </w:tcPr>
          <w:p w14:paraId="2A5CEDF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B302已完工项目安全、完整性</w:t>
            </w:r>
          </w:p>
        </w:tc>
        <w:tc>
          <w:tcPr>
            <w:tcW w:w="282" w:type="pct"/>
            <w:tcBorders>
              <w:top w:val="nil"/>
              <w:left w:val="nil"/>
              <w:bottom w:val="single" w:color="auto" w:sz="4" w:space="0"/>
              <w:right w:val="single" w:color="auto" w:sz="4" w:space="0"/>
            </w:tcBorders>
            <w:shd w:val="clear" w:color="auto" w:fill="auto"/>
            <w:vAlign w:val="center"/>
          </w:tcPr>
          <w:p w14:paraId="4A227A4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27BA6D5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资产安全</w:t>
            </w:r>
          </w:p>
        </w:tc>
        <w:tc>
          <w:tcPr>
            <w:tcW w:w="904" w:type="pct"/>
            <w:tcBorders>
              <w:top w:val="nil"/>
              <w:left w:val="nil"/>
              <w:bottom w:val="single" w:color="auto" w:sz="4" w:space="0"/>
              <w:right w:val="single" w:color="auto" w:sz="4" w:space="0"/>
            </w:tcBorders>
            <w:shd w:val="clear" w:color="auto" w:fill="auto"/>
            <w:vAlign w:val="center"/>
          </w:tcPr>
          <w:p w14:paraId="36021B4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项目资产安全、完整</w:t>
            </w:r>
          </w:p>
        </w:tc>
        <w:tc>
          <w:tcPr>
            <w:tcW w:w="1213" w:type="pct"/>
            <w:tcBorders>
              <w:top w:val="nil"/>
              <w:left w:val="nil"/>
              <w:bottom w:val="single" w:color="auto" w:sz="4" w:space="0"/>
              <w:right w:val="single" w:color="auto" w:sz="4" w:space="0"/>
            </w:tcBorders>
            <w:shd w:val="clear" w:color="auto" w:fill="auto"/>
            <w:vAlign w:val="center"/>
          </w:tcPr>
          <w:p w14:paraId="09DDE0E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项目资产是否被非法转移、违规抵押担保的</w:t>
            </w:r>
          </w:p>
        </w:tc>
        <w:tc>
          <w:tcPr>
            <w:tcW w:w="959" w:type="pct"/>
            <w:tcBorders>
              <w:top w:val="nil"/>
              <w:left w:val="nil"/>
              <w:bottom w:val="single" w:color="auto" w:sz="4" w:space="0"/>
              <w:right w:val="single" w:color="auto" w:sz="4" w:space="0"/>
            </w:tcBorders>
            <w:shd w:val="clear" w:color="auto" w:fill="auto"/>
            <w:vAlign w:val="center"/>
          </w:tcPr>
          <w:p w14:paraId="200A549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项目资产被非法转移、违规抵押担保的，不得分。</w:t>
            </w:r>
          </w:p>
        </w:tc>
      </w:tr>
      <w:tr w14:paraId="08A5DD83">
        <w:tblPrEx>
          <w:tblCellMar>
            <w:top w:w="0" w:type="dxa"/>
            <w:left w:w="108" w:type="dxa"/>
            <w:bottom w:w="0" w:type="dxa"/>
            <w:right w:w="108" w:type="dxa"/>
          </w:tblCellMar>
        </w:tblPrEx>
        <w:trPr>
          <w:trHeight w:val="782" w:hRule="atLeast"/>
        </w:trPr>
        <w:tc>
          <w:tcPr>
            <w:tcW w:w="324" w:type="pct"/>
            <w:vMerge w:val="continue"/>
            <w:tcBorders>
              <w:left w:val="single" w:color="auto" w:sz="4" w:space="0"/>
              <w:right w:val="single" w:color="auto" w:sz="4" w:space="0"/>
            </w:tcBorders>
            <w:shd w:val="clear" w:color="auto" w:fill="auto"/>
            <w:vAlign w:val="center"/>
          </w:tcPr>
          <w:p w14:paraId="0A75F434">
            <w:pPr>
              <w:kinsoku/>
              <w:autoSpaceDE/>
              <w:autoSpaceDN/>
              <w:adjustRightInd/>
              <w:snapToGrid/>
              <w:textAlignment w:val="auto"/>
              <w:rPr>
                <w:rFonts w:hint="eastAsia" w:ascii="宋体" w:hAnsi="宋体" w:eastAsia="宋体" w:cs="宋体"/>
                <w:snapToGrid/>
                <w:sz w:val="18"/>
                <w:szCs w:val="18"/>
              </w:rPr>
            </w:pPr>
          </w:p>
        </w:tc>
        <w:tc>
          <w:tcPr>
            <w:tcW w:w="426" w:type="pct"/>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6A2616D3">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B4项目管理</w:t>
            </w:r>
          </w:p>
        </w:tc>
        <w:tc>
          <w:tcPr>
            <w:tcW w:w="524" w:type="pct"/>
            <w:vMerge w:val="restart"/>
            <w:tcBorders>
              <w:top w:val="nil"/>
              <w:left w:val="single" w:color="auto" w:sz="4" w:space="0"/>
              <w:bottom w:val="single" w:color="auto" w:sz="4" w:space="0"/>
              <w:right w:val="single" w:color="auto" w:sz="4" w:space="0"/>
            </w:tcBorders>
            <w:shd w:val="clear" w:color="auto" w:fill="auto"/>
            <w:vAlign w:val="center"/>
          </w:tcPr>
          <w:p w14:paraId="524695B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B401信息系统管理使用情况</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78EB3B8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14:paraId="7357183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合规</w:t>
            </w:r>
          </w:p>
        </w:tc>
        <w:tc>
          <w:tcPr>
            <w:tcW w:w="904" w:type="pct"/>
            <w:vMerge w:val="restart"/>
            <w:tcBorders>
              <w:top w:val="nil"/>
              <w:left w:val="single" w:color="auto" w:sz="4" w:space="0"/>
              <w:bottom w:val="single" w:color="auto" w:sz="4" w:space="0"/>
              <w:right w:val="single" w:color="auto" w:sz="4" w:space="0"/>
            </w:tcBorders>
            <w:shd w:val="clear" w:color="auto" w:fill="auto"/>
            <w:vAlign w:val="center"/>
          </w:tcPr>
          <w:p w14:paraId="6F48A0C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是否按照地方政府债务信息公开规定，在中国债券信息网和本地区门户网站等媒体进行信息披露</w:t>
            </w:r>
          </w:p>
        </w:tc>
        <w:tc>
          <w:tcPr>
            <w:tcW w:w="1213" w:type="pct"/>
            <w:tcBorders>
              <w:top w:val="nil"/>
              <w:left w:val="nil"/>
              <w:bottom w:val="single" w:color="auto" w:sz="4" w:space="0"/>
              <w:right w:val="single" w:color="auto" w:sz="4" w:space="0"/>
            </w:tcBorders>
            <w:shd w:val="clear" w:color="auto" w:fill="auto"/>
            <w:vAlign w:val="center"/>
          </w:tcPr>
          <w:p w14:paraId="504C4E4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 按规定披露拟发行专项债券信息，包括规模、 期限及偿还方式等基本信息</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14:paraId="1A62DF5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1）按规定披露拟发行专项债券信息，包括规模、期限及偿还方式等基本信息得权重分的50%，否则 不得分；2）按规定披露第三方评估信息，包括财务评估 报告 (重点是项目预期收益和融资平衡情况评估) 、法律意见书、信用评级报告等，得权重分的50%， 否则不得分。</w:t>
            </w:r>
          </w:p>
        </w:tc>
      </w:tr>
      <w:tr w14:paraId="1FBDE53A">
        <w:tblPrEx>
          <w:tblCellMar>
            <w:top w:w="0" w:type="dxa"/>
            <w:left w:w="108" w:type="dxa"/>
            <w:bottom w:w="0" w:type="dxa"/>
            <w:right w:w="108" w:type="dxa"/>
          </w:tblCellMar>
        </w:tblPrEx>
        <w:trPr>
          <w:trHeight w:val="1120" w:hRule="atLeast"/>
        </w:trPr>
        <w:tc>
          <w:tcPr>
            <w:tcW w:w="324" w:type="pct"/>
            <w:vMerge w:val="continue"/>
            <w:tcBorders>
              <w:left w:val="single" w:color="auto" w:sz="4" w:space="0"/>
              <w:right w:val="single" w:color="auto" w:sz="4" w:space="0"/>
            </w:tcBorders>
            <w:shd w:val="clear" w:color="auto" w:fill="auto"/>
            <w:vAlign w:val="center"/>
          </w:tcPr>
          <w:p w14:paraId="5E2F98BF">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single" w:color="000000" w:sz="4" w:space="0"/>
              <w:left w:val="single" w:color="auto" w:sz="4" w:space="0"/>
              <w:bottom w:val="single" w:color="auto" w:sz="4" w:space="0"/>
              <w:right w:val="single" w:color="auto" w:sz="4" w:space="0"/>
            </w:tcBorders>
            <w:vAlign w:val="center"/>
          </w:tcPr>
          <w:p w14:paraId="6303AD07">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auto" w:sz="4" w:space="0"/>
              <w:right w:val="single" w:color="auto" w:sz="4" w:space="0"/>
            </w:tcBorders>
            <w:vAlign w:val="center"/>
          </w:tcPr>
          <w:p w14:paraId="1F11D6FD">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auto" w:sz="4" w:space="0"/>
              <w:right w:val="single" w:color="auto" w:sz="4" w:space="0"/>
            </w:tcBorders>
            <w:vAlign w:val="center"/>
          </w:tcPr>
          <w:p w14:paraId="0A715B8A">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auto" w:sz="4" w:space="0"/>
              <w:right w:val="single" w:color="auto" w:sz="4" w:space="0"/>
            </w:tcBorders>
            <w:vAlign w:val="center"/>
          </w:tcPr>
          <w:p w14:paraId="39D17661">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single" w:color="auto" w:sz="4" w:space="0"/>
              <w:right w:val="single" w:color="auto" w:sz="4" w:space="0"/>
            </w:tcBorders>
            <w:vAlign w:val="center"/>
          </w:tcPr>
          <w:p w14:paraId="33B73863">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16FAFCF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 按规定披露第三方评估信息，包括财务评估 报告 (重点是项目预期收益和融资平衡情况评估) 、 法律意见书、信用评级报告等</w:t>
            </w:r>
          </w:p>
        </w:tc>
        <w:tc>
          <w:tcPr>
            <w:tcW w:w="959" w:type="pct"/>
            <w:vMerge w:val="continue"/>
            <w:tcBorders>
              <w:top w:val="nil"/>
              <w:left w:val="single" w:color="auto" w:sz="4" w:space="0"/>
              <w:bottom w:val="single" w:color="auto" w:sz="4" w:space="0"/>
              <w:right w:val="single" w:color="auto" w:sz="4" w:space="0"/>
            </w:tcBorders>
            <w:vAlign w:val="center"/>
          </w:tcPr>
          <w:p w14:paraId="35C66E43">
            <w:pPr>
              <w:kinsoku/>
              <w:autoSpaceDE/>
              <w:autoSpaceDN/>
              <w:adjustRightInd/>
              <w:snapToGrid/>
              <w:jc w:val="both"/>
              <w:textAlignment w:val="auto"/>
              <w:rPr>
                <w:rFonts w:hint="eastAsia" w:ascii="宋体" w:hAnsi="宋体" w:eastAsia="宋体" w:cs="宋体"/>
                <w:snapToGrid/>
                <w:sz w:val="18"/>
                <w:szCs w:val="18"/>
              </w:rPr>
            </w:pPr>
          </w:p>
        </w:tc>
      </w:tr>
      <w:tr w14:paraId="2FA35040">
        <w:tblPrEx>
          <w:tblCellMar>
            <w:top w:w="0" w:type="dxa"/>
            <w:left w:w="108" w:type="dxa"/>
            <w:bottom w:w="0" w:type="dxa"/>
            <w:right w:w="108" w:type="dxa"/>
          </w:tblCellMar>
        </w:tblPrEx>
        <w:trPr>
          <w:trHeight w:val="784"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530F935F">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single" w:color="000000" w:sz="4" w:space="0"/>
              <w:left w:val="single" w:color="auto" w:sz="4" w:space="0"/>
              <w:bottom w:val="single" w:color="auto" w:sz="4" w:space="0"/>
              <w:right w:val="single" w:color="auto" w:sz="4" w:space="0"/>
            </w:tcBorders>
            <w:vAlign w:val="center"/>
          </w:tcPr>
          <w:p w14:paraId="17959149">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nil"/>
              <w:bottom w:val="single" w:color="auto" w:sz="4" w:space="0"/>
              <w:right w:val="single" w:color="auto" w:sz="4" w:space="0"/>
            </w:tcBorders>
            <w:shd w:val="clear" w:color="auto" w:fill="auto"/>
            <w:vAlign w:val="center"/>
          </w:tcPr>
          <w:p w14:paraId="5FF354F7">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B403及时办理工程结算和</w:t>
            </w:r>
            <w:r>
              <w:rPr>
                <w:rFonts w:hint="eastAsia" w:ascii="宋体" w:hAnsi="宋体" w:eastAsia="宋体" w:cs="宋体"/>
                <w:snapToGrid/>
                <w:sz w:val="18"/>
                <w:szCs w:val="18"/>
                <w:lang w:eastAsia="zh-CN"/>
              </w:rPr>
              <w:t>工程决算</w:t>
            </w:r>
          </w:p>
        </w:tc>
        <w:tc>
          <w:tcPr>
            <w:tcW w:w="282" w:type="pct"/>
            <w:tcBorders>
              <w:top w:val="nil"/>
              <w:left w:val="nil"/>
              <w:bottom w:val="single" w:color="auto" w:sz="4" w:space="0"/>
              <w:right w:val="single" w:color="auto" w:sz="4" w:space="0"/>
            </w:tcBorders>
            <w:shd w:val="clear" w:color="auto" w:fill="auto"/>
            <w:vAlign w:val="center"/>
          </w:tcPr>
          <w:p w14:paraId="150F717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68" w:type="pct"/>
            <w:tcBorders>
              <w:top w:val="nil"/>
              <w:left w:val="nil"/>
              <w:bottom w:val="single" w:color="auto" w:sz="4" w:space="0"/>
              <w:right w:val="single" w:color="auto" w:sz="4" w:space="0"/>
            </w:tcBorders>
            <w:shd w:val="clear" w:color="auto" w:fill="auto"/>
            <w:vAlign w:val="center"/>
          </w:tcPr>
          <w:p w14:paraId="0C80544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及时完成</w:t>
            </w:r>
          </w:p>
        </w:tc>
        <w:tc>
          <w:tcPr>
            <w:tcW w:w="904" w:type="pct"/>
            <w:tcBorders>
              <w:top w:val="nil"/>
              <w:left w:val="nil"/>
              <w:bottom w:val="single" w:color="auto" w:sz="4" w:space="0"/>
              <w:right w:val="single" w:color="auto" w:sz="4" w:space="0"/>
            </w:tcBorders>
            <w:shd w:val="clear" w:color="auto" w:fill="auto"/>
            <w:vAlign w:val="center"/>
          </w:tcPr>
          <w:p w14:paraId="322EA35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项目后期管理情况</w:t>
            </w:r>
          </w:p>
        </w:tc>
        <w:tc>
          <w:tcPr>
            <w:tcW w:w="1213" w:type="pct"/>
            <w:tcBorders>
              <w:top w:val="nil"/>
              <w:left w:val="nil"/>
              <w:bottom w:val="single" w:color="auto" w:sz="4" w:space="0"/>
              <w:right w:val="single" w:color="auto" w:sz="4" w:space="0"/>
            </w:tcBorders>
            <w:shd w:val="clear" w:color="auto" w:fill="auto"/>
            <w:vAlign w:val="center"/>
          </w:tcPr>
          <w:p w14:paraId="423C9E7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抽查项目办理工程结算、工程决算的情况</w:t>
            </w:r>
          </w:p>
        </w:tc>
        <w:tc>
          <w:tcPr>
            <w:tcW w:w="959" w:type="pct"/>
            <w:tcBorders>
              <w:top w:val="nil"/>
              <w:left w:val="nil"/>
              <w:bottom w:val="single" w:color="auto" w:sz="4" w:space="0"/>
              <w:right w:val="single" w:color="auto" w:sz="4" w:space="0"/>
            </w:tcBorders>
            <w:shd w:val="clear" w:color="auto" w:fill="auto"/>
            <w:vAlign w:val="center"/>
          </w:tcPr>
          <w:p w14:paraId="2A970F1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及时办理，得满分；未及时办理不得分</w:t>
            </w:r>
          </w:p>
        </w:tc>
      </w:tr>
      <w:tr w14:paraId="06518E7C">
        <w:tblPrEx>
          <w:tblCellMar>
            <w:top w:w="0" w:type="dxa"/>
            <w:left w:w="108" w:type="dxa"/>
            <w:bottom w:w="0" w:type="dxa"/>
            <w:right w:w="108" w:type="dxa"/>
          </w:tblCellMar>
        </w:tblPrEx>
        <w:trPr>
          <w:trHeight w:val="2113" w:hRule="atLeast"/>
        </w:trPr>
        <w:tc>
          <w:tcPr>
            <w:tcW w:w="324" w:type="pct"/>
            <w:tcBorders>
              <w:top w:val="nil"/>
              <w:left w:val="single" w:color="auto" w:sz="4" w:space="0"/>
              <w:right w:val="single" w:color="auto" w:sz="4" w:space="0"/>
            </w:tcBorders>
            <w:shd w:val="clear" w:color="auto" w:fill="auto"/>
            <w:vAlign w:val="center"/>
          </w:tcPr>
          <w:p w14:paraId="274A701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 产出(30分)</w:t>
            </w:r>
          </w:p>
        </w:tc>
        <w:tc>
          <w:tcPr>
            <w:tcW w:w="426" w:type="pct"/>
            <w:tcBorders>
              <w:top w:val="nil"/>
              <w:left w:val="single" w:color="auto" w:sz="4" w:space="0"/>
              <w:bottom w:val="single" w:color="auto" w:sz="4" w:space="0"/>
              <w:right w:val="single" w:color="auto" w:sz="4" w:space="0"/>
            </w:tcBorders>
            <w:shd w:val="clear" w:color="auto" w:fill="auto"/>
            <w:vAlign w:val="center"/>
          </w:tcPr>
          <w:p w14:paraId="6DBAACC5">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C1 产出数量</w:t>
            </w:r>
          </w:p>
        </w:tc>
        <w:tc>
          <w:tcPr>
            <w:tcW w:w="524" w:type="pct"/>
            <w:tcBorders>
              <w:top w:val="nil"/>
              <w:left w:val="single" w:color="auto" w:sz="4" w:space="0"/>
              <w:bottom w:val="single" w:color="000000" w:sz="4" w:space="0"/>
              <w:right w:val="single" w:color="auto" w:sz="4" w:space="0"/>
            </w:tcBorders>
            <w:shd w:val="clear" w:color="auto" w:fill="auto"/>
            <w:vAlign w:val="center"/>
          </w:tcPr>
          <w:p w14:paraId="2D82E4E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C101租赁率</w:t>
            </w:r>
          </w:p>
        </w:tc>
        <w:tc>
          <w:tcPr>
            <w:tcW w:w="282" w:type="pct"/>
            <w:tcBorders>
              <w:top w:val="nil"/>
              <w:left w:val="single" w:color="auto" w:sz="4" w:space="0"/>
              <w:bottom w:val="single" w:color="000000" w:sz="4" w:space="0"/>
              <w:right w:val="single" w:color="auto" w:sz="4" w:space="0"/>
            </w:tcBorders>
            <w:shd w:val="clear" w:color="auto" w:fill="auto"/>
            <w:vAlign w:val="center"/>
          </w:tcPr>
          <w:p w14:paraId="1195062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9</w:t>
            </w:r>
          </w:p>
        </w:tc>
        <w:tc>
          <w:tcPr>
            <w:tcW w:w="368" w:type="pct"/>
            <w:tcBorders>
              <w:top w:val="nil"/>
              <w:left w:val="single" w:color="auto" w:sz="4" w:space="0"/>
              <w:bottom w:val="single" w:color="000000" w:sz="4" w:space="0"/>
              <w:right w:val="single" w:color="auto" w:sz="4" w:space="0"/>
            </w:tcBorders>
            <w:shd w:val="clear" w:color="auto" w:fill="auto"/>
            <w:vAlign w:val="center"/>
          </w:tcPr>
          <w:p w14:paraId="1D1AE16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≥80%</w:t>
            </w:r>
          </w:p>
        </w:tc>
        <w:tc>
          <w:tcPr>
            <w:tcW w:w="904" w:type="pct"/>
            <w:tcBorders>
              <w:top w:val="nil"/>
              <w:left w:val="single" w:color="auto" w:sz="4" w:space="0"/>
              <w:bottom w:val="single" w:color="auto" w:sz="4" w:space="0"/>
              <w:right w:val="single" w:color="auto" w:sz="4" w:space="0"/>
            </w:tcBorders>
            <w:shd w:val="clear" w:color="auto" w:fill="auto"/>
            <w:vAlign w:val="center"/>
          </w:tcPr>
          <w:p w14:paraId="2B45622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项目实施的实际产出数与运营数的比率，用以反映和考核项目产出数量目标的实现程度。</w:t>
            </w:r>
          </w:p>
        </w:tc>
        <w:tc>
          <w:tcPr>
            <w:tcW w:w="1213" w:type="pct"/>
            <w:tcBorders>
              <w:top w:val="nil"/>
              <w:left w:val="single" w:color="auto" w:sz="4" w:space="0"/>
              <w:bottom w:val="single" w:color="auto" w:sz="4" w:space="0"/>
              <w:right w:val="single" w:color="auto" w:sz="4" w:space="0"/>
            </w:tcBorders>
            <w:shd w:val="clear" w:color="auto" w:fill="auto"/>
            <w:vAlign w:val="center"/>
          </w:tcPr>
          <w:p w14:paraId="1FD3BEE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 xml:space="preserve">租赁率=（已出租面积/可出租总面积）*100% </w:t>
            </w:r>
          </w:p>
        </w:tc>
        <w:tc>
          <w:tcPr>
            <w:tcW w:w="959" w:type="pct"/>
            <w:tcBorders>
              <w:top w:val="nil"/>
              <w:left w:val="single" w:color="auto" w:sz="4" w:space="0"/>
              <w:bottom w:val="single" w:color="auto" w:sz="4" w:space="0"/>
              <w:right w:val="single" w:color="auto" w:sz="4" w:space="0"/>
            </w:tcBorders>
            <w:shd w:val="clear" w:color="auto" w:fill="auto"/>
            <w:vAlign w:val="center"/>
          </w:tcPr>
          <w:p w14:paraId="194E542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实际完成率大于等于目标值得满分，每降低10%扣 除权重分的 3%，扣完为止。 (降低不足10%的部分按10%计)</w:t>
            </w:r>
          </w:p>
        </w:tc>
      </w:tr>
      <w:tr w14:paraId="006BE447">
        <w:tblPrEx>
          <w:tblCellMar>
            <w:top w:w="0" w:type="dxa"/>
            <w:left w:w="108" w:type="dxa"/>
            <w:bottom w:w="0" w:type="dxa"/>
            <w:right w:w="108" w:type="dxa"/>
          </w:tblCellMar>
        </w:tblPrEx>
        <w:trPr>
          <w:trHeight w:val="840" w:hRule="atLeast"/>
        </w:trPr>
        <w:tc>
          <w:tcPr>
            <w:tcW w:w="324" w:type="pct"/>
            <w:vMerge w:val="restart"/>
            <w:tcBorders>
              <w:top w:val="nil"/>
              <w:left w:val="single" w:color="auto" w:sz="4" w:space="0"/>
              <w:right w:val="single" w:color="auto" w:sz="4" w:space="0"/>
            </w:tcBorders>
            <w:shd w:val="clear" w:color="auto" w:fill="auto"/>
            <w:vAlign w:val="center"/>
          </w:tcPr>
          <w:p w14:paraId="48C9743D">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C 产出(30分)</w:t>
            </w:r>
          </w:p>
        </w:tc>
        <w:tc>
          <w:tcPr>
            <w:tcW w:w="426" w:type="pct"/>
            <w:vMerge w:val="restart"/>
            <w:tcBorders>
              <w:top w:val="nil"/>
              <w:left w:val="single" w:color="auto" w:sz="4" w:space="0"/>
              <w:bottom w:val="nil"/>
              <w:right w:val="single" w:color="auto" w:sz="4" w:space="0"/>
            </w:tcBorders>
            <w:shd w:val="clear" w:color="auto" w:fill="auto"/>
            <w:vAlign w:val="center"/>
          </w:tcPr>
          <w:p w14:paraId="737D27B1">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C2产出质量</w:t>
            </w:r>
          </w:p>
        </w:tc>
        <w:tc>
          <w:tcPr>
            <w:tcW w:w="524" w:type="pct"/>
            <w:vMerge w:val="restart"/>
            <w:tcBorders>
              <w:top w:val="nil"/>
              <w:left w:val="single" w:color="auto" w:sz="4" w:space="0"/>
              <w:bottom w:val="single" w:color="000000" w:sz="4" w:space="0"/>
              <w:right w:val="single" w:color="auto" w:sz="4" w:space="0"/>
            </w:tcBorders>
            <w:shd w:val="clear" w:color="auto" w:fill="auto"/>
            <w:vAlign w:val="center"/>
          </w:tcPr>
          <w:p w14:paraId="2368A1D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C201厂房及设备完好率</w:t>
            </w:r>
          </w:p>
        </w:tc>
        <w:tc>
          <w:tcPr>
            <w:tcW w:w="282" w:type="pct"/>
            <w:vMerge w:val="restart"/>
            <w:tcBorders>
              <w:top w:val="nil"/>
              <w:left w:val="single" w:color="auto" w:sz="4" w:space="0"/>
              <w:bottom w:val="single" w:color="000000" w:sz="4" w:space="0"/>
              <w:right w:val="single" w:color="auto" w:sz="4" w:space="0"/>
            </w:tcBorders>
            <w:shd w:val="clear" w:color="auto" w:fill="auto"/>
            <w:vAlign w:val="center"/>
          </w:tcPr>
          <w:p w14:paraId="0015AEB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8</w:t>
            </w:r>
          </w:p>
        </w:tc>
        <w:tc>
          <w:tcPr>
            <w:tcW w:w="368" w:type="pct"/>
            <w:vMerge w:val="restart"/>
            <w:tcBorders>
              <w:top w:val="nil"/>
              <w:left w:val="single" w:color="auto" w:sz="4" w:space="0"/>
              <w:bottom w:val="single" w:color="000000" w:sz="4" w:space="0"/>
              <w:right w:val="single" w:color="auto" w:sz="4" w:space="0"/>
            </w:tcBorders>
            <w:shd w:val="clear" w:color="auto" w:fill="auto"/>
            <w:vAlign w:val="center"/>
          </w:tcPr>
          <w:p w14:paraId="5ADC74C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未出现质量、安全等严重问题</w:t>
            </w:r>
          </w:p>
        </w:tc>
        <w:tc>
          <w:tcPr>
            <w:tcW w:w="904" w:type="pct"/>
            <w:vMerge w:val="restart"/>
            <w:tcBorders>
              <w:top w:val="nil"/>
              <w:left w:val="single" w:color="auto" w:sz="4" w:space="0"/>
              <w:bottom w:val="nil"/>
              <w:right w:val="single" w:color="auto" w:sz="4" w:space="0"/>
            </w:tcBorders>
            <w:shd w:val="clear" w:color="auto" w:fill="auto"/>
            <w:vAlign w:val="center"/>
          </w:tcPr>
          <w:p w14:paraId="5677D48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用于考核项目完成后质量</w:t>
            </w:r>
          </w:p>
        </w:tc>
        <w:tc>
          <w:tcPr>
            <w:tcW w:w="1213" w:type="pct"/>
            <w:tcBorders>
              <w:top w:val="nil"/>
              <w:left w:val="nil"/>
              <w:bottom w:val="single" w:color="auto" w:sz="4" w:space="0"/>
              <w:right w:val="single" w:color="auto" w:sz="4" w:space="0"/>
            </w:tcBorders>
            <w:shd w:val="clear" w:color="auto" w:fill="auto"/>
            <w:vAlign w:val="center"/>
          </w:tcPr>
          <w:p w14:paraId="4E20F9F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是否发生质量、安全事故被通报批评</w:t>
            </w:r>
          </w:p>
        </w:tc>
        <w:tc>
          <w:tcPr>
            <w:tcW w:w="959" w:type="pct"/>
            <w:tcBorders>
              <w:top w:val="nil"/>
              <w:left w:val="nil"/>
              <w:bottom w:val="single" w:color="auto" w:sz="4" w:space="0"/>
              <w:right w:val="single" w:color="auto" w:sz="4" w:space="0"/>
            </w:tcBorders>
            <w:shd w:val="clear" w:color="auto" w:fill="auto"/>
            <w:vAlign w:val="center"/>
          </w:tcPr>
          <w:p w14:paraId="62213D2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项目没有发生质量、安全事故被通报批评</w:t>
            </w:r>
          </w:p>
        </w:tc>
      </w:tr>
      <w:tr w14:paraId="7F1E6BFC">
        <w:tblPrEx>
          <w:tblCellMar>
            <w:top w:w="0" w:type="dxa"/>
            <w:left w:w="108" w:type="dxa"/>
            <w:bottom w:w="0" w:type="dxa"/>
            <w:right w:w="108" w:type="dxa"/>
          </w:tblCellMar>
        </w:tblPrEx>
        <w:trPr>
          <w:trHeight w:val="621" w:hRule="atLeast"/>
        </w:trPr>
        <w:tc>
          <w:tcPr>
            <w:tcW w:w="324" w:type="pct"/>
            <w:vMerge w:val="continue"/>
            <w:tcBorders>
              <w:left w:val="single" w:color="auto" w:sz="4" w:space="0"/>
              <w:right w:val="single" w:color="auto" w:sz="4" w:space="0"/>
            </w:tcBorders>
            <w:shd w:val="clear" w:color="auto" w:fill="auto"/>
            <w:vAlign w:val="center"/>
          </w:tcPr>
          <w:p w14:paraId="462119CF">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nil"/>
              <w:right w:val="single" w:color="auto" w:sz="4" w:space="0"/>
            </w:tcBorders>
            <w:vAlign w:val="center"/>
          </w:tcPr>
          <w:p w14:paraId="7EE805DE">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000000" w:sz="4" w:space="0"/>
              <w:right w:val="single" w:color="auto" w:sz="4" w:space="0"/>
            </w:tcBorders>
            <w:vAlign w:val="center"/>
          </w:tcPr>
          <w:p w14:paraId="263621FE">
            <w:pPr>
              <w:kinsoku/>
              <w:autoSpaceDE/>
              <w:autoSpaceDN/>
              <w:adjustRightInd/>
              <w:snapToGrid/>
              <w:textAlignment w:val="auto"/>
              <w:rPr>
                <w:rFonts w:hint="eastAsia" w:ascii="宋体" w:hAnsi="宋体" w:eastAsia="宋体" w:cs="宋体"/>
                <w:snapToGrid/>
                <w:sz w:val="18"/>
                <w:szCs w:val="18"/>
              </w:rPr>
            </w:pPr>
          </w:p>
        </w:tc>
        <w:tc>
          <w:tcPr>
            <w:tcW w:w="282" w:type="pct"/>
            <w:vMerge w:val="continue"/>
            <w:tcBorders>
              <w:top w:val="nil"/>
              <w:left w:val="single" w:color="auto" w:sz="4" w:space="0"/>
              <w:bottom w:val="single" w:color="000000" w:sz="4" w:space="0"/>
              <w:right w:val="single" w:color="auto" w:sz="4" w:space="0"/>
            </w:tcBorders>
            <w:vAlign w:val="center"/>
          </w:tcPr>
          <w:p w14:paraId="05C2C8FF">
            <w:pPr>
              <w:kinsoku/>
              <w:autoSpaceDE/>
              <w:autoSpaceDN/>
              <w:adjustRightInd/>
              <w:snapToGrid/>
              <w:textAlignment w:val="auto"/>
              <w:rPr>
                <w:rFonts w:hint="eastAsia" w:ascii="宋体" w:hAnsi="宋体" w:eastAsia="宋体" w:cs="宋体"/>
                <w:snapToGrid/>
                <w:sz w:val="18"/>
                <w:szCs w:val="18"/>
              </w:rPr>
            </w:pPr>
          </w:p>
        </w:tc>
        <w:tc>
          <w:tcPr>
            <w:tcW w:w="368" w:type="pct"/>
            <w:vMerge w:val="continue"/>
            <w:tcBorders>
              <w:top w:val="nil"/>
              <w:left w:val="single" w:color="auto" w:sz="4" w:space="0"/>
              <w:bottom w:val="single" w:color="000000" w:sz="4" w:space="0"/>
              <w:right w:val="single" w:color="auto" w:sz="4" w:space="0"/>
            </w:tcBorders>
            <w:vAlign w:val="center"/>
          </w:tcPr>
          <w:p w14:paraId="1CA58933">
            <w:pPr>
              <w:kinsoku/>
              <w:autoSpaceDE/>
              <w:autoSpaceDN/>
              <w:adjustRightInd/>
              <w:snapToGrid/>
              <w:textAlignment w:val="auto"/>
              <w:rPr>
                <w:rFonts w:hint="eastAsia" w:ascii="宋体" w:hAnsi="宋体" w:eastAsia="宋体" w:cs="宋体"/>
                <w:snapToGrid/>
                <w:sz w:val="18"/>
                <w:szCs w:val="18"/>
              </w:rPr>
            </w:pPr>
          </w:p>
        </w:tc>
        <w:tc>
          <w:tcPr>
            <w:tcW w:w="904" w:type="pct"/>
            <w:vMerge w:val="continue"/>
            <w:tcBorders>
              <w:top w:val="nil"/>
              <w:left w:val="single" w:color="auto" w:sz="4" w:space="0"/>
              <w:bottom w:val="nil"/>
              <w:right w:val="single" w:color="auto" w:sz="4" w:space="0"/>
            </w:tcBorders>
            <w:vAlign w:val="center"/>
          </w:tcPr>
          <w:p w14:paraId="158D239A">
            <w:pPr>
              <w:kinsoku/>
              <w:autoSpaceDE/>
              <w:autoSpaceDN/>
              <w:adjustRightInd/>
              <w:snapToGrid/>
              <w:jc w:val="both"/>
              <w:textAlignment w:val="auto"/>
              <w:rPr>
                <w:rFonts w:hint="eastAsia" w:ascii="宋体" w:hAnsi="宋体" w:eastAsia="宋体" w:cs="宋体"/>
                <w:snapToGrid/>
                <w:sz w:val="18"/>
                <w:szCs w:val="18"/>
              </w:rPr>
            </w:pPr>
          </w:p>
        </w:tc>
        <w:tc>
          <w:tcPr>
            <w:tcW w:w="1213" w:type="pct"/>
            <w:tcBorders>
              <w:top w:val="nil"/>
              <w:left w:val="nil"/>
              <w:bottom w:val="single" w:color="auto" w:sz="4" w:space="0"/>
              <w:right w:val="single" w:color="auto" w:sz="4" w:space="0"/>
            </w:tcBorders>
            <w:shd w:val="clear" w:color="auto" w:fill="auto"/>
            <w:vAlign w:val="center"/>
          </w:tcPr>
          <w:p w14:paraId="629B75A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巡检报告及维护支出中是否有大修事项及支出</w:t>
            </w:r>
          </w:p>
        </w:tc>
        <w:tc>
          <w:tcPr>
            <w:tcW w:w="959" w:type="pct"/>
            <w:tcBorders>
              <w:top w:val="nil"/>
              <w:left w:val="nil"/>
              <w:bottom w:val="single" w:color="auto" w:sz="4" w:space="0"/>
              <w:right w:val="single" w:color="auto" w:sz="4" w:space="0"/>
            </w:tcBorders>
            <w:shd w:val="clear" w:color="auto" w:fill="auto"/>
            <w:vAlign w:val="center"/>
          </w:tcPr>
          <w:p w14:paraId="00FD760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巡检报告及维护支出中没有大修事项及支出</w:t>
            </w:r>
          </w:p>
        </w:tc>
      </w:tr>
      <w:tr w14:paraId="744AF5B1">
        <w:tblPrEx>
          <w:tblCellMar>
            <w:top w:w="0" w:type="dxa"/>
            <w:left w:w="108" w:type="dxa"/>
            <w:bottom w:w="0" w:type="dxa"/>
            <w:right w:w="108" w:type="dxa"/>
          </w:tblCellMar>
        </w:tblPrEx>
        <w:trPr>
          <w:trHeight w:val="974" w:hRule="atLeast"/>
        </w:trPr>
        <w:tc>
          <w:tcPr>
            <w:tcW w:w="324" w:type="pct"/>
            <w:vMerge w:val="continue"/>
            <w:tcBorders>
              <w:left w:val="single" w:color="auto" w:sz="4" w:space="0"/>
              <w:right w:val="single" w:color="auto" w:sz="4" w:space="0"/>
            </w:tcBorders>
            <w:shd w:val="clear" w:color="auto" w:fill="auto"/>
            <w:vAlign w:val="center"/>
          </w:tcPr>
          <w:p w14:paraId="4D219633">
            <w:pPr>
              <w:kinsoku/>
              <w:autoSpaceDE/>
              <w:autoSpaceDN/>
              <w:adjustRightInd/>
              <w:snapToGrid/>
              <w:textAlignment w:val="auto"/>
              <w:rPr>
                <w:rFonts w:hint="eastAsia" w:ascii="宋体" w:hAnsi="宋体" w:eastAsia="宋体" w:cs="宋体"/>
                <w:snapToGrid/>
                <w:sz w:val="18"/>
                <w:szCs w:val="18"/>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1C8BF72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C3 产出时效</w:t>
            </w:r>
          </w:p>
        </w:tc>
        <w:tc>
          <w:tcPr>
            <w:tcW w:w="524" w:type="pct"/>
            <w:tcBorders>
              <w:top w:val="nil"/>
              <w:left w:val="nil"/>
              <w:bottom w:val="nil"/>
              <w:right w:val="single" w:color="auto" w:sz="4" w:space="0"/>
            </w:tcBorders>
            <w:shd w:val="clear" w:color="auto" w:fill="auto"/>
            <w:vAlign w:val="center"/>
          </w:tcPr>
          <w:p w14:paraId="40943CE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C301租金收缴及时性</w:t>
            </w:r>
          </w:p>
        </w:tc>
        <w:tc>
          <w:tcPr>
            <w:tcW w:w="282" w:type="pct"/>
            <w:tcBorders>
              <w:top w:val="nil"/>
              <w:left w:val="nil"/>
              <w:bottom w:val="nil"/>
              <w:right w:val="single" w:color="auto" w:sz="4" w:space="0"/>
            </w:tcBorders>
            <w:shd w:val="clear" w:color="auto" w:fill="auto"/>
            <w:vAlign w:val="center"/>
          </w:tcPr>
          <w:p w14:paraId="11F0245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8</w:t>
            </w:r>
          </w:p>
        </w:tc>
        <w:tc>
          <w:tcPr>
            <w:tcW w:w="368" w:type="pct"/>
            <w:tcBorders>
              <w:top w:val="nil"/>
              <w:left w:val="nil"/>
              <w:bottom w:val="nil"/>
              <w:right w:val="single" w:color="auto" w:sz="4" w:space="0"/>
            </w:tcBorders>
            <w:shd w:val="clear" w:color="auto" w:fill="auto"/>
            <w:vAlign w:val="center"/>
          </w:tcPr>
          <w:p w14:paraId="44AEAB3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≤10天</w:t>
            </w:r>
          </w:p>
        </w:tc>
        <w:tc>
          <w:tcPr>
            <w:tcW w:w="904" w:type="pct"/>
            <w:tcBorders>
              <w:top w:val="single" w:color="auto" w:sz="4" w:space="0"/>
              <w:left w:val="nil"/>
              <w:bottom w:val="single" w:color="auto" w:sz="4" w:space="0"/>
              <w:right w:val="single" w:color="auto" w:sz="4" w:space="0"/>
            </w:tcBorders>
            <w:shd w:val="clear" w:color="auto" w:fill="auto"/>
            <w:vAlign w:val="center"/>
          </w:tcPr>
          <w:p w14:paraId="7BEC459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考核是否按照规定</w:t>
            </w:r>
            <w:r>
              <w:rPr>
                <w:rFonts w:hint="eastAsia" w:ascii="宋体" w:hAnsi="宋体" w:eastAsia="宋体" w:cs="宋体"/>
                <w:snapToGrid/>
                <w:sz w:val="18"/>
                <w:szCs w:val="18"/>
                <w:lang w:eastAsia="zh-CN"/>
              </w:rPr>
              <w:t>时间</w:t>
            </w:r>
            <w:r>
              <w:rPr>
                <w:rFonts w:hint="eastAsia" w:ascii="宋体" w:hAnsi="宋体" w:eastAsia="宋体" w:cs="宋体"/>
                <w:snapToGrid/>
                <w:sz w:val="18"/>
                <w:szCs w:val="18"/>
              </w:rPr>
              <w:t>完成租金收缴。</w:t>
            </w:r>
          </w:p>
        </w:tc>
        <w:tc>
          <w:tcPr>
            <w:tcW w:w="1213" w:type="pct"/>
            <w:tcBorders>
              <w:top w:val="nil"/>
              <w:left w:val="nil"/>
              <w:bottom w:val="single" w:color="auto" w:sz="4" w:space="0"/>
              <w:right w:val="single" w:color="auto" w:sz="4" w:space="0"/>
            </w:tcBorders>
            <w:shd w:val="clear" w:color="auto" w:fill="auto"/>
            <w:vAlign w:val="center"/>
          </w:tcPr>
          <w:p w14:paraId="3237549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租金收缴延迟天数=实际收到租金日-按合同应收到租金日</w:t>
            </w:r>
          </w:p>
        </w:tc>
        <w:tc>
          <w:tcPr>
            <w:tcW w:w="959" w:type="pct"/>
            <w:tcBorders>
              <w:top w:val="nil"/>
              <w:left w:val="nil"/>
              <w:bottom w:val="single" w:color="auto" w:sz="4" w:space="0"/>
              <w:right w:val="single" w:color="auto" w:sz="4" w:space="0"/>
            </w:tcBorders>
            <w:shd w:val="clear" w:color="auto" w:fill="auto"/>
            <w:vAlign w:val="center"/>
          </w:tcPr>
          <w:p w14:paraId="0FB4829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1）租金收缴延迟天数小于等于10天得8分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2）10-30天得4分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3）30-60天得2分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4）大于60天不得分</w:t>
            </w:r>
          </w:p>
        </w:tc>
      </w:tr>
      <w:tr w14:paraId="5C526BCD">
        <w:tblPrEx>
          <w:tblCellMar>
            <w:top w:w="0" w:type="dxa"/>
            <w:left w:w="108" w:type="dxa"/>
            <w:bottom w:w="0" w:type="dxa"/>
            <w:right w:w="108" w:type="dxa"/>
          </w:tblCellMar>
        </w:tblPrEx>
        <w:trPr>
          <w:trHeight w:val="1258"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7AC0754B">
            <w:pPr>
              <w:kinsoku/>
              <w:autoSpaceDE/>
              <w:autoSpaceDN/>
              <w:adjustRightInd/>
              <w:snapToGrid/>
              <w:textAlignment w:val="auto"/>
              <w:rPr>
                <w:rFonts w:hint="eastAsia" w:ascii="宋体" w:hAnsi="宋体" w:eastAsia="宋体" w:cs="宋体"/>
                <w:snapToGrid/>
                <w:sz w:val="18"/>
                <w:szCs w:val="18"/>
              </w:rPr>
            </w:pPr>
          </w:p>
        </w:tc>
        <w:tc>
          <w:tcPr>
            <w:tcW w:w="426" w:type="pct"/>
            <w:tcBorders>
              <w:top w:val="nil"/>
              <w:left w:val="nil"/>
              <w:bottom w:val="nil"/>
              <w:right w:val="single" w:color="auto" w:sz="4" w:space="0"/>
            </w:tcBorders>
            <w:shd w:val="clear" w:color="auto" w:fill="auto"/>
            <w:vAlign w:val="center"/>
          </w:tcPr>
          <w:p w14:paraId="4460B0F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C4</w:t>
            </w:r>
          </w:p>
        </w:tc>
        <w:tc>
          <w:tcPr>
            <w:tcW w:w="524" w:type="pct"/>
            <w:tcBorders>
              <w:top w:val="single" w:color="auto" w:sz="4" w:space="0"/>
              <w:left w:val="nil"/>
              <w:bottom w:val="single" w:color="auto" w:sz="4" w:space="0"/>
              <w:right w:val="single" w:color="auto" w:sz="4" w:space="0"/>
            </w:tcBorders>
            <w:shd w:val="clear" w:color="auto" w:fill="auto"/>
            <w:vAlign w:val="center"/>
          </w:tcPr>
          <w:p w14:paraId="4C71AACD">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成本节约率</w:t>
            </w:r>
          </w:p>
        </w:tc>
        <w:tc>
          <w:tcPr>
            <w:tcW w:w="282" w:type="pct"/>
            <w:tcBorders>
              <w:top w:val="single" w:color="auto" w:sz="4" w:space="0"/>
              <w:left w:val="nil"/>
              <w:bottom w:val="single" w:color="auto" w:sz="4" w:space="0"/>
              <w:right w:val="single" w:color="auto" w:sz="4" w:space="0"/>
            </w:tcBorders>
            <w:shd w:val="clear" w:color="auto" w:fill="auto"/>
            <w:vAlign w:val="center"/>
          </w:tcPr>
          <w:p w14:paraId="3FB267B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5</w:t>
            </w:r>
          </w:p>
        </w:tc>
        <w:tc>
          <w:tcPr>
            <w:tcW w:w="368" w:type="pct"/>
            <w:tcBorders>
              <w:top w:val="single" w:color="auto" w:sz="4" w:space="0"/>
              <w:left w:val="nil"/>
              <w:bottom w:val="single" w:color="auto" w:sz="4" w:space="0"/>
              <w:right w:val="single" w:color="auto" w:sz="4" w:space="0"/>
            </w:tcBorders>
            <w:shd w:val="clear" w:color="auto" w:fill="auto"/>
            <w:vAlign w:val="center"/>
          </w:tcPr>
          <w:p w14:paraId="3A41D13D">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大于等于</w:t>
            </w:r>
            <w:r>
              <w:rPr>
                <w:rFonts w:hint="eastAsia" w:ascii="宋体" w:hAnsi="宋体" w:eastAsia="宋体" w:cs="宋体"/>
                <w:snapToGrid/>
                <w:sz w:val="18"/>
                <w:szCs w:val="18"/>
                <w:lang w:eastAsia="zh-CN"/>
              </w:rPr>
              <w:t>5%</w:t>
            </w:r>
          </w:p>
        </w:tc>
        <w:tc>
          <w:tcPr>
            <w:tcW w:w="904" w:type="pct"/>
            <w:tcBorders>
              <w:top w:val="nil"/>
              <w:left w:val="nil"/>
              <w:bottom w:val="single" w:color="auto" w:sz="4" w:space="0"/>
              <w:right w:val="single" w:color="auto" w:sz="4" w:space="0"/>
            </w:tcBorders>
            <w:shd w:val="clear" w:color="auto" w:fill="auto"/>
            <w:vAlign w:val="center"/>
          </w:tcPr>
          <w:p w14:paraId="0A04F15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实际运营成本较预算的节约比例</w:t>
            </w:r>
          </w:p>
        </w:tc>
        <w:tc>
          <w:tcPr>
            <w:tcW w:w="1213" w:type="pct"/>
            <w:tcBorders>
              <w:top w:val="nil"/>
              <w:left w:val="nil"/>
              <w:bottom w:val="single" w:color="auto" w:sz="4" w:space="0"/>
              <w:right w:val="single" w:color="auto" w:sz="4" w:space="0"/>
            </w:tcBorders>
            <w:shd w:val="clear" w:color="auto" w:fill="auto"/>
            <w:vAlign w:val="center"/>
          </w:tcPr>
          <w:p w14:paraId="7AAC85A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成本节约率=（预算成本 - 实际成本）÷ 预算成本*100%</w:t>
            </w:r>
          </w:p>
        </w:tc>
        <w:tc>
          <w:tcPr>
            <w:tcW w:w="959" w:type="pct"/>
            <w:tcBorders>
              <w:top w:val="nil"/>
              <w:left w:val="nil"/>
              <w:bottom w:val="single" w:color="auto" w:sz="4" w:space="0"/>
              <w:right w:val="single" w:color="auto" w:sz="4" w:space="0"/>
            </w:tcBorders>
            <w:shd w:val="clear" w:color="auto" w:fill="auto"/>
            <w:vAlign w:val="center"/>
          </w:tcPr>
          <w:p w14:paraId="4791389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1）成本节约率达到5%及以上得满分；</w:t>
            </w:r>
            <w:r>
              <w:rPr>
                <w:rFonts w:hint="eastAsia" w:ascii="宋体" w:hAnsi="宋体" w:eastAsia="宋体" w:cs="宋体"/>
                <w:snapToGrid/>
                <w:sz w:val="18"/>
                <w:szCs w:val="18"/>
                <w:lang w:val="en-US" w:eastAsia="zh-CN"/>
              </w:rPr>
              <w:t>2</w:t>
            </w:r>
            <w:r>
              <w:rPr>
                <w:rFonts w:hint="eastAsia" w:ascii="宋体" w:hAnsi="宋体" w:eastAsia="宋体" w:cs="宋体"/>
                <w:snapToGrid/>
                <w:sz w:val="18"/>
                <w:szCs w:val="18"/>
              </w:rPr>
              <w:t>）成本节约率在1%（含）－5%之间的，计算公式为（实际成本节约率－1%）/(5%-1%)*100% 指标值</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3）成本节约率小于1%不得分</w:t>
            </w:r>
          </w:p>
        </w:tc>
      </w:tr>
      <w:tr w14:paraId="78619BCA">
        <w:tblPrEx>
          <w:tblCellMar>
            <w:top w:w="0" w:type="dxa"/>
            <w:left w:w="108" w:type="dxa"/>
            <w:bottom w:w="0" w:type="dxa"/>
            <w:right w:w="108" w:type="dxa"/>
          </w:tblCellMar>
        </w:tblPrEx>
        <w:trPr>
          <w:trHeight w:val="1076" w:hRule="atLeast"/>
        </w:trPr>
        <w:tc>
          <w:tcPr>
            <w:tcW w:w="324" w:type="pct"/>
            <w:vMerge w:val="restart"/>
            <w:tcBorders>
              <w:top w:val="nil"/>
              <w:left w:val="single" w:color="auto" w:sz="4" w:space="0"/>
              <w:right w:val="single" w:color="auto" w:sz="4" w:space="0"/>
            </w:tcBorders>
            <w:shd w:val="clear" w:color="auto" w:fill="auto"/>
            <w:vAlign w:val="center"/>
          </w:tcPr>
          <w:p w14:paraId="60FE8ED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 效益(25 分)</w:t>
            </w:r>
          </w:p>
        </w:tc>
        <w:tc>
          <w:tcPr>
            <w:tcW w:w="42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0BA68C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D1 经济效益指标</w:t>
            </w:r>
          </w:p>
        </w:tc>
        <w:tc>
          <w:tcPr>
            <w:tcW w:w="524" w:type="pct"/>
            <w:tcBorders>
              <w:top w:val="nil"/>
              <w:left w:val="nil"/>
              <w:bottom w:val="single" w:color="auto" w:sz="4" w:space="0"/>
              <w:right w:val="single" w:color="auto" w:sz="4" w:space="0"/>
            </w:tcBorders>
            <w:shd w:val="clear" w:color="auto" w:fill="auto"/>
            <w:vAlign w:val="center"/>
          </w:tcPr>
          <w:p w14:paraId="2A528D9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D101项目带动社会有效投资情况</w:t>
            </w:r>
          </w:p>
        </w:tc>
        <w:tc>
          <w:tcPr>
            <w:tcW w:w="282" w:type="pct"/>
            <w:tcBorders>
              <w:top w:val="nil"/>
              <w:left w:val="nil"/>
              <w:bottom w:val="single" w:color="auto" w:sz="4" w:space="0"/>
              <w:right w:val="single" w:color="auto" w:sz="4" w:space="0"/>
            </w:tcBorders>
            <w:shd w:val="clear" w:color="auto" w:fill="auto"/>
            <w:vAlign w:val="center"/>
          </w:tcPr>
          <w:p w14:paraId="3C0F620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tcBorders>
              <w:top w:val="nil"/>
              <w:left w:val="nil"/>
              <w:bottom w:val="single" w:color="auto" w:sz="4" w:space="0"/>
              <w:right w:val="single" w:color="auto" w:sz="4" w:space="0"/>
            </w:tcBorders>
            <w:shd w:val="clear" w:color="auto" w:fill="auto"/>
            <w:vAlign w:val="center"/>
          </w:tcPr>
          <w:p w14:paraId="35317865">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按计划投入资金</w:t>
            </w:r>
          </w:p>
        </w:tc>
        <w:tc>
          <w:tcPr>
            <w:tcW w:w="904" w:type="pct"/>
            <w:tcBorders>
              <w:top w:val="nil"/>
              <w:left w:val="nil"/>
              <w:bottom w:val="single" w:color="auto" w:sz="4" w:space="0"/>
              <w:right w:val="single" w:color="auto" w:sz="4" w:space="0"/>
            </w:tcBorders>
            <w:shd w:val="clear" w:color="auto" w:fill="auto"/>
            <w:vAlign w:val="center"/>
          </w:tcPr>
          <w:p w14:paraId="45E4953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考察带动社会资金情况</w:t>
            </w:r>
          </w:p>
        </w:tc>
        <w:tc>
          <w:tcPr>
            <w:tcW w:w="1213" w:type="pct"/>
            <w:tcBorders>
              <w:top w:val="nil"/>
              <w:left w:val="nil"/>
              <w:bottom w:val="single" w:color="auto" w:sz="4" w:space="0"/>
              <w:right w:val="single" w:color="auto" w:sz="4" w:space="0"/>
            </w:tcBorders>
            <w:shd w:val="clear" w:color="auto" w:fill="auto"/>
            <w:vAlign w:val="center"/>
          </w:tcPr>
          <w:p w14:paraId="6D3CD5E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A=实际自筹资金/自筹资金计划到位数</w:t>
            </w:r>
          </w:p>
        </w:tc>
        <w:tc>
          <w:tcPr>
            <w:tcW w:w="959" w:type="pct"/>
            <w:tcBorders>
              <w:top w:val="nil"/>
              <w:left w:val="nil"/>
              <w:bottom w:val="single" w:color="auto" w:sz="4" w:space="0"/>
              <w:right w:val="single" w:color="auto" w:sz="4" w:space="0"/>
            </w:tcBorders>
            <w:shd w:val="clear" w:color="auto" w:fill="auto"/>
            <w:vAlign w:val="center"/>
          </w:tcPr>
          <w:p w14:paraId="51E74CA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自筹资金包括自有资金和其他融资，A大于等于100%，得满分，100%－90%得权重</w:t>
            </w:r>
            <w:r>
              <w:rPr>
                <w:rFonts w:hint="eastAsia" w:ascii="宋体" w:hAnsi="宋体" w:eastAsia="宋体" w:cs="宋体"/>
                <w:snapToGrid/>
                <w:sz w:val="18"/>
                <w:szCs w:val="18"/>
                <w:lang w:eastAsia="zh-CN"/>
              </w:rPr>
              <w:t>的</w:t>
            </w:r>
            <w:r>
              <w:rPr>
                <w:rFonts w:hint="eastAsia" w:ascii="宋体" w:hAnsi="宋体" w:eastAsia="宋体" w:cs="宋体"/>
                <w:snapToGrid/>
                <w:sz w:val="18"/>
                <w:szCs w:val="18"/>
              </w:rPr>
              <w:t>80%,90%以下不得分</w:t>
            </w:r>
          </w:p>
        </w:tc>
      </w:tr>
      <w:tr w14:paraId="73BDFBBF">
        <w:tblPrEx>
          <w:tblCellMar>
            <w:top w:w="0" w:type="dxa"/>
            <w:left w:w="108" w:type="dxa"/>
            <w:bottom w:w="0" w:type="dxa"/>
            <w:right w:w="108" w:type="dxa"/>
          </w:tblCellMar>
        </w:tblPrEx>
        <w:trPr>
          <w:trHeight w:val="695" w:hRule="atLeast"/>
        </w:trPr>
        <w:tc>
          <w:tcPr>
            <w:tcW w:w="324" w:type="pct"/>
            <w:vMerge w:val="continue"/>
            <w:tcBorders>
              <w:left w:val="single" w:color="auto" w:sz="4" w:space="0"/>
              <w:right w:val="single" w:color="auto" w:sz="4" w:space="0"/>
            </w:tcBorders>
            <w:shd w:val="clear" w:color="auto" w:fill="auto"/>
            <w:vAlign w:val="center"/>
          </w:tcPr>
          <w:p w14:paraId="53A284D9">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single" w:color="auto" w:sz="4" w:space="0"/>
              <w:left w:val="single" w:color="auto" w:sz="4" w:space="0"/>
              <w:bottom w:val="single" w:color="000000" w:sz="4" w:space="0"/>
              <w:right w:val="single" w:color="auto" w:sz="4" w:space="0"/>
            </w:tcBorders>
            <w:vAlign w:val="center"/>
          </w:tcPr>
          <w:p w14:paraId="1CCF6B66">
            <w:pPr>
              <w:kinsoku/>
              <w:autoSpaceDE/>
              <w:autoSpaceDN/>
              <w:adjustRightInd/>
              <w:snapToGrid/>
              <w:textAlignment w:val="auto"/>
              <w:rPr>
                <w:rFonts w:hint="eastAsia" w:ascii="宋体" w:hAnsi="宋体" w:eastAsia="宋体" w:cs="宋体"/>
                <w:snapToGrid/>
                <w:sz w:val="18"/>
                <w:szCs w:val="18"/>
              </w:rPr>
            </w:pPr>
          </w:p>
        </w:tc>
        <w:tc>
          <w:tcPr>
            <w:tcW w:w="524" w:type="pct"/>
            <w:tcBorders>
              <w:top w:val="nil"/>
              <w:left w:val="nil"/>
              <w:bottom w:val="single" w:color="auto" w:sz="4" w:space="0"/>
              <w:right w:val="single" w:color="auto" w:sz="4" w:space="0"/>
            </w:tcBorders>
            <w:shd w:val="clear" w:color="auto" w:fill="auto"/>
            <w:vAlign w:val="center"/>
          </w:tcPr>
          <w:p w14:paraId="5C57F77A">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D102项目综合收益情况</w:t>
            </w:r>
          </w:p>
        </w:tc>
        <w:tc>
          <w:tcPr>
            <w:tcW w:w="282" w:type="pct"/>
            <w:tcBorders>
              <w:top w:val="nil"/>
              <w:left w:val="nil"/>
              <w:bottom w:val="single" w:color="auto" w:sz="4" w:space="0"/>
              <w:right w:val="single" w:color="auto" w:sz="4" w:space="0"/>
            </w:tcBorders>
            <w:shd w:val="clear" w:color="auto" w:fill="auto"/>
            <w:vAlign w:val="center"/>
          </w:tcPr>
          <w:p w14:paraId="35BDF1D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tcBorders>
              <w:top w:val="nil"/>
              <w:left w:val="nil"/>
              <w:bottom w:val="single" w:color="auto" w:sz="4" w:space="0"/>
              <w:right w:val="single" w:color="auto" w:sz="4" w:space="0"/>
            </w:tcBorders>
            <w:shd w:val="clear" w:color="auto" w:fill="auto"/>
            <w:vAlign w:val="center"/>
          </w:tcPr>
          <w:p w14:paraId="52F39BD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实现预期收益</w:t>
            </w:r>
          </w:p>
        </w:tc>
        <w:tc>
          <w:tcPr>
            <w:tcW w:w="904" w:type="pct"/>
            <w:tcBorders>
              <w:top w:val="nil"/>
              <w:left w:val="nil"/>
              <w:bottom w:val="single" w:color="auto" w:sz="4" w:space="0"/>
              <w:right w:val="single" w:color="auto" w:sz="4" w:space="0"/>
            </w:tcBorders>
            <w:shd w:val="clear" w:color="auto" w:fill="auto"/>
            <w:vAlign w:val="center"/>
          </w:tcPr>
          <w:p w14:paraId="66AFA0E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项目综合效益实现情况</w:t>
            </w:r>
          </w:p>
        </w:tc>
        <w:tc>
          <w:tcPr>
            <w:tcW w:w="1213" w:type="pct"/>
            <w:tcBorders>
              <w:top w:val="nil"/>
              <w:left w:val="nil"/>
              <w:bottom w:val="single" w:color="auto" w:sz="4" w:space="0"/>
              <w:right w:val="single" w:color="auto" w:sz="4" w:space="0"/>
            </w:tcBorders>
            <w:shd w:val="clear" w:color="auto" w:fill="auto"/>
            <w:vAlign w:val="center"/>
          </w:tcPr>
          <w:p w14:paraId="7ABC0D5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A=实际收益/发债测算的收益*100%</w:t>
            </w:r>
          </w:p>
        </w:tc>
        <w:tc>
          <w:tcPr>
            <w:tcW w:w="959" w:type="pct"/>
            <w:tcBorders>
              <w:top w:val="nil"/>
              <w:left w:val="nil"/>
              <w:bottom w:val="single" w:color="auto" w:sz="4" w:space="0"/>
              <w:right w:val="single" w:color="auto" w:sz="4" w:space="0"/>
            </w:tcBorders>
            <w:shd w:val="clear" w:color="auto" w:fill="auto"/>
            <w:vAlign w:val="center"/>
          </w:tcPr>
          <w:p w14:paraId="1B598E0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A大于等于100%，得满分，100%－90%得权重</w:t>
            </w:r>
            <w:r>
              <w:rPr>
                <w:rFonts w:hint="eastAsia" w:ascii="宋体" w:hAnsi="宋体" w:eastAsia="宋体" w:cs="宋体"/>
                <w:snapToGrid/>
                <w:sz w:val="18"/>
                <w:szCs w:val="18"/>
                <w:lang w:eastAsia="zh-CN"/>
              </w:rPr>
              <w:t>的</w:t>
            </w:r>
            <w:r>
              <w:rPr>
                <w:rFonts w:hint="eastAsia" w:ascii="宋体" w:hAnsi="宋体" w:eastAsia="宋体" w:cs="宋体"/>
                <w:snapToGrid/>
                <w:sz w:val="18"/>
                <w:szCs w:val="18"/>
              </w:rPr>
              <w:t>80%,90%以下不得分</w:t>
            </w:r>
          </w:p>
        </w:tc>
      </w:tr>
      <w:tr w14:paraId="151A1C46">
        <w:tblPrEx>
          <w:tblCellMar>
            <w:top w:w="0" w:type="dxa"/>
            <w:left w:w="108" w:type="dxa"/>
            <w:bottom w:w="0" w:type="dxa"/>
            <w:right w:w="108" w:type="dxa"/>
          </w:tblCellMar>
        </w:tblPrEx>
        <w:trPr>
          <w:trHeight w:val="1020" w:hRule="atLeast"/>
        </w:trPr>
        <w:tc>
          <w:tcPr>
            <w:tcW w:w="324" w:type="pct"/>
            <w:vMerge w:val="continue"/>
            <w:tcBorders>
              <w:left w:val="single" w:color="auto" w:sz="4" w:space="0"/>
              <w:right w:val="single" w:color="auto" w:sz="4" w:space="0"/>
            </w:tcBorders>
            <w:shd w:val="clear" w:color="auto" w:fill="auto"/>
            <w:vAlign w:val="center"/>
          </w:tcPr>
          <w:p w14:paraId="5A6FD16F">
            <w:pPr>
              <w:kinsoku/>
              <w:autoSpaceDE/>
              <w:autoSpaceDN/>
              <w:adjustRightInd/>
              <w:snapToGrid/>
              <w:textAlignment w:val="auto"/>
              <w:rPr>
                <w:rFonts w:hint="eastAsia" w:ascii="宋体" w:hAnsi="宋体" w:eastAsia="宋体" w:cs="宋体"/>
                <w:snapToGrid/>
                <w:sz w:val="18"/>
                <w:szCs w:val="18"/>
              </w:rPr>
            </w:pPr>
          </w:p>
        </w:tc>
        <w:tc>
          <w:tcPr>
            <w:tcW w:w="426" w:type="pct"/>
            <w:vMerge w:val="restart"/>
            <w:tcBorders>
              <w:top w:val="nil"/>
              <w:left w:val="single" w:color="auto" w:sz="4" w:space="0"/>
              <w:bottom w:val="single" w:color="000000" w:sz="4" w:space="0"/>
              <w:right w:val="single" w:color="auto" w:sz="4" w:space="0"/>
            </w:tcBorders>
            <w:shd w:val="clear" w:color="auto" w:fill="auto"/>
            <w:vAlign w:val="center"/>
          </w:tcPr>
          <w:p w14:paraId="0EC283B1">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D2社会效益指标</w:t>
            </w:r>
          </w:p>
        </w:tc>
        <w:tc>
          <w:tcPr>
            <w:tcW w:w="524" w:type="pct"/>
            <w:vMerge w:val="restart"/>
            <w:tcBorders>
              <w:top w:val="nil"/>
              <w:left w:val="single" w:color="auto" w:sz="4" w:space="0"/>
              <w:bottom w:val="single" w:color="000000" w:sz="4" w:space="0"/>
              <w:right w:val="single" w:color="auto" w:sz="4" w:space="0"/>
            </w:tcBorders>
            <w:shd w:val="clear" w:color="auto" w:fill="auto"/>
            <w:vAlign w:val="center"/>
          </w:tcPr>
          <w:p w14:paraId="5742D42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D201项目带动社会就业、税收情况</w:t>
            </w:r>
          </w:p>
        </w:tc>
        <w:tc>
          <w:tcPr>
            <w:tcW w:w="282" w:type="pct"/>
            <w:tcBorders>
              <w:top w:val="nil"/>
              <w:left w:val="nil"/>
              <w:bottom w:val="single" w:color="auto" w:sz="4" w:space="0"/>
              <w:right w:val="single" w:color="auto" w:sz="4" w:space="0"/>
            </w:tcBorders>
            <w:shd w:val="clear" w:color="auto" w:fill="auto"/>
            <w:vAlign w:val="center"/>
          </w:tcPr>
          <w:p w14:paraId="39D18E2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vMerge w:val="restart"/>
            <w:tcBorders>
              <w:top w:val="nil"/>
              <w:left w:val="single" w:color="auto" w:sz="4" w:space="0"/>
              <w:bottom w:val="single" w:color="000000" w:sz="4" w:space="0"/>
              <w:right w:val="single" w:color="auto" w:sz="4" w:space="0"/>
            </w:tcBorders>
            <w:shd w:val="clear" w:color="auto" w:fill="auto"/>
            <w:vAlign w:val="center"/>
          </w:tcPr>
          <w:p w14:paraId="3747013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计划完成情况</w:t>
            </w:r>
          </w:p>
        </w:tc>
        <w:tc>
          <w:tcPr>
            <w:tcW w:w="904" w:type="pct"/>
            <w:tcBorders>
              <w:top w:val="nil"/>
              <w:left w:val="nil"/>
              <w:bottom w:val="single" w:color="auto" w:sz="4" w:space="0"/>
              <w:right w:val="single" w:color="auto" w:sz="4" w:space="0"/>
            </w:tcBorders>
            <w:shd w:val="clear" w:color="auto" w:fill="auto"/>
            <w:vAlign w:val="center"/>
          </w:tcPr>
          <w:p w14:paraId="3A05E09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项目带动社会就业情况</w:t>
            </w:r>
          </w:p>
        </w:tc>
        <w:tc>
          <w:tcPr>
            <w:tcW w:w="1213" w:type="pct"/>
            <w:tcBorders>
              <w:top w:val="nil"/>
              <w:left w:val="nil"/>
              <w:bottom w:val="single" w:color="auto" w:sz="4" w:space="0"/>
              <w:right w:val="single" w:color="auto" w:sz="4" w:space="0"/>
            </w:tcBorders>
            <w:shd w:val="clear" w:color="auto" w:fill="auto"/>
            <w:vAlign w:val="center"/>
          </w:tcPr>
          <w:p w14:paraId="0E86ADC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带动社会就业</w:t>
            </w:r>
          </w:p>
        </w:tc>
        <w:tc>
          <w:tcPr>
            <w:tcW w:w="959" w:type="pct"/>
            <w:tcBorders>
              <w:top w:val="nil"/>
              <w:left w:val="nil"/>
              <w:bottom w:val="single" w:color="auto" w:sz="4" w:space="0"/>
              <w:right w:val="single" w:color="auto" w:sz="4" w:space="0"/>
            </w:tcBorders>
            <w:shd w:val="clear" w:color="auto" w:fill="auto"/>
            <w:vAlign w:val="center"/>
          </w:tcPr>
          <w:p w14:paraId="5FC5240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就业人数大于0</w:t>
            </w:r>
          </w:p>
        </w:tc>
      </w:tr>
      <w:tr w14:paraId="1EC437F1">
        <w:tblPrEx>
          <w:tblCellMar>
            <w:top w:w="0" w:type="dxa"/>
            <w:left w:w="108" w:type="dxa"/>
            <w:bottom w:w="0" w:type="dxa"/>
            <w:right w:w="108" w:type="dxa"/>
          </w:tblCellMar>
        </w:tblPrEx>
        <w:trPr>
          <w:trHeight w:val="981" w:hRule="atLeast"/>
        </w:trPr>
        <w:tc>
          <w:tcPr>
            <w:tcW w:w="324" w:type="pct"/>
            <w:vMerge w:val="continue"/>
            <w:tcBorders>
              <w:left w:val="single" w:color="auto" w:sz="4" w:space="0"/>
              <w:right w:val="single" w:color="auto" w:sz="4" w:space="0"/>
            </w:tcBorders>
            <w:shd w:val="clear" w:color="auto" w:fill="auto"/>
            <w:vAlign w:val="center"/>
          </w:tcPr>
          <w:p w14:paraId="25BB5E7B">
            <w:pPr>
              <w:kinsoku/>
              <w:autoSpaceDE/>
              <w:autoSpaceDN/>
              <w:adjustRightInd/>
              <w:snapToGrid/>
              <w:textAlignment w:val="auto"/>
              <w:rPr>
                <w:rFonts w:hint="eastAsia" w:ascii="宋体" w:hAnsi="宋体" w:eastAsia="宋体" w:cs="宋体"/>
                <w:snapToGrid/>
                <w:sz w:val="18"/>
                <w:szCs w:val="18"/>
              </w:rPr>
            </w:pPr>
          </w:p>
        </w:tc>
        <w:tc>
          <w:tcPr>
            <w:tcW w:w="426" w:type="pct"/>
            <w:vMerge w:val="continue"/>
            <w:tcBorders>
              <w:top w:val="nil"/>
              <w:left w:val="single" w:color="auto" w:sz="4" w:space="0"/>
              <w:bottom w:val="single" w:color="000000" w:sz="4" w:space="0"/>
              <w:right w:val="single" w:color="auto" w:sz="4" w:space="0"/>
            </w:tcBorders>
            <w:vAlign w:val="center"/>
          </w:tcPr>
          <w:p w14:paraId="20245F3D">
            <w:pPr>
              <w:kinsoku/>
              <w:autoSpaceDE/>
              <w:autoSpaceDN/>
              <w:adjustRightInd/>
              <w:snapToGrid/>
              <w:textAlignment w:val="auto"/>
              <w:rPr>
                <w:rFonts w:hint="eastAsia" w:ascii="宋体" w:hAnsi="宋体" w:eastAsia="宋体" w:cs="宋体"/>
                <w:snapToGrid/>
                <w:sz w:val="18"/>
                <w:szCs w:val="18"/>
              </w:rPr>
            </w:pPr>
          </w:p>
        </w:tc>
        <w:tc>
          <w:tcPr>
            <w:tcW w:w="524" w:type="pct"/>
            <w:vMerge w:val="continue"/>
            <w:tcBorders>
              <w:top w:val="nil"/>
              <w:left w:val="single" w:color="auto" w:sz="4" w:space="0"/>
              <w:bottom w:val="single" w:color="000000" w:sz="4" w:space="0"/>
              <w:right w:val="single" w:color="auto" w:sz="4" w:space="0"/>
            </w:tcBorders>
            <w:vAlign w:val="center"/>
          </w:tcPr>
          <w:p w14:paraId="2E6676BC">
            <w:pPr>
              <w:kinsoku/>
              <w:autoSpaceDE/>
              <w:autoSpaceDN/>
              <w:adjustRightInd/>
              <w:snapToGrid/>
              <w:textAlignment w:val="auto"/>
              <w:rPr>
                <w:rFonts w:hint="eastAsia" w:ascii="宋体" w:hAnsi="宋体" w:eastAsia="宋体" w:cs="宋体"/>
                <w:snapToGrid/>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BE5E06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68" w:type="pct"/>
            <w:vMerge w:val="continue"/>
            <w:tcBorders>
              <w:top w:val="nil"/>
              <w:left w:val="single" w:color="auto" w:sz="4" w:space="0"/>
              <w:bottom w:val="single" w:color="000000" w:sz="4" w:space="0"/>
              <w:right w:val="single" w:color="auto" w:sz="4" w:space="0"/>
            </w:tcBorders>
            <w:vAlign w:val="center"/>
          </w:tcPr>
          <w:p w14:paraId="2CDE2ADB">
            <w:pPr>
              <w:kinsoku/>
              <w:autoSpaceDE/>
              <w:autoSpaceDN/>
              <w:adjustRightInd/>
              <w:snapToGrid/>
              <w:textAlignment w:val="auto"/>
              <w:rPr>
                <w:rFonts w:hint="eastAsia" w:ascii="宋体" w:hAnsi="宋体" w:eastAsia="宋体" w:cs="宋体"/>
                <w:snapToGrid/>
                <w:sz w:val="18"/>
                <w:szCs w:val="18"/>
              </w:rPr>
            </w:pPr>
          </w:p>
        </w:tc>
        <w:tc>
          <w:tcPr>
            <w:tcW w:w="904" w:type="pct"/>
            <w:tcBorders>
              <w:top w:val="nil"/>
              <w:left w:val="nil"/>
              <w:bottom w:val="single" w:color="auto" w:sz="4" w:space="0"/>
              <w:right w:val="single" w:color="auto" w:sz="4" w:space="0"/>
            </w:tcBorders>
            <w:shd w:val="clear" w:color="auto" w:fill="auto"/>
            <w:vAlign w:val="center"/>
          </w:tcPr>
          <w:p w14:paraId="621ED4D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税收带动额</w:t>
            </w:r>
          </w:p>
        </w:tc>
        <w:tc>
          <w:tcPr>
            <w:tcW w:w="1213" w:type="pct"/>
            <w:tcBorders>
              <w:top w:val="nil"/>
              <w:left w:val="nil"/>
              <w:bottom w:val="single" w:color="auto" w:sz="4" w:space="0"/>
              <w:right w:val="single" w:color="auto" w:sz="4" w:space="0"/>
            </w:tcBorders>
            <w:shd w:val="clear" w:color="auto" w:fill="auto"/>
            <w:vAlign w:val="center"/>
          </w:tcPr>
          <w:p w14:paraId="53D75E2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带动税收额</w:t>
            </w:r>
          </w:p>
        </w:tc>
        <w:tc>
          <w:tcPr>
            <w:tcW w:w="959" w:type="pct"/>
            <w:tcBorders>
              <w:top w:val="nil"/>
              <w:left w:val="nil"/>
              <w:bottom w:val="single" w:color="auto" w:sz="4" w:space="0"/>
              <w:right w:val="single" w:color="auto" w:sz="4" w:space="0"/>
            </w:tcBorders>
            <w:shd w:val="clear" w:color="auto" w:fill="auto"/>
            <w:vAlign w:val="center"/>
          </w:tcPr>
          <w:p w14:paraId="084393D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税收大于0</w:t>
            </w:r>
          </w:p>
        </w:tc>
      </w:tr>
      <w:tr w14:paraId="6BE9E5AA">
        <w:tblPrEx>
          <w:tblCellMar>
            <w:top w:w="0" w:type="dxa"/>
            <w:left w:w="108" w:type="dxa"/>
            <w:bottom w:w="0" w:type="dxa"/>
            <w:right w:w="108" w:type="dxa"/>
          </w:tblCellMar>
        </w:tblPrEx>
        <w:trPr>
          <w:trHeight w:val="1281" w:hRule="atLeast"/>
        </w:trPr>
        <w:tc>
          <w:tcPr>
            <w:tcW w:w="324" w:type="pct"/>
            <w:vMerge w:val="restart"/>
            <w:tcBorders>
              <w:left w:val="single" w:color="auto" w:sz="4" w:space="0"/>
              <w:right w:val="single" w:color="auto" w:sz="4" w:space="0"/>
            </w:tcBorders>
            <w:shd w:val="clear" w:color="auto" w:fill="auto"/>
            <w:vAlign w:val="center"/>
          </w:tcPr>
          <w:p w14:paraId="68A2EB1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 效益(25 分)</w:t>
            </w:r>
          </w:p>
        </w:tc>
        <w:tc>
          <w:tcPr>
            <w:tcW w:w="426" w:type="pct"/>
            <w:tcBorders>
              <w:top w:val="nil"/>
              <w:left w:val="nil"/>
              <w:bottom w:val="single" w:color="auto" w:sz="4" w:space="0"/>
              <w:right w:val="single" w:color="auto" w:sz="4" w:space="0"/>
            </w:tcBorders>
            <w:shd w:val="clear" w:color="auto" w:fill="auto"/>
            <w:vAlign w:val="center"/>
          </w:tcPr>
          <w:p w14:paraId="4D22E48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D3 生态效益指标</w:t>
            </w:r>
          </w:p>
        </w:tc>
        <w:tc>
          <w:tcPr>
            <w:tcW w:w="524" w:type="pct"/>
            <w:tcBorders>
              <w:top w:val="nil"/>
              <w:left w:val="nil"/>
              <w:bottom w:val="single" w:color="auto" w:sz="4" w:space="0"/>
              <w:right w:val="single" w:color="auto" w:sz="4" w:space="0"/>
            </w:tcBorders>
            <w:shd w:val="clear" w:color="auto" w:fill="auto"/>
            <w:vAlign w:val="center"/>
          </w:tcPr>
          <w:p w14:paraId="4EA691F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D301 保护生态环境</w:t>
            </w:r>
          </w:p>
        </w:tc>
        <w:tc>
          <w:tcPr>
            <w:tcW w:w="282" w:type="pct"/>
            <w:tcBorders>
              <w:top w:val="nil"/>
              <w:left w:val="nil"/>
              <w:bottom w:val="single" w:color="auto" w:sz="4" w:space="0"/>
              <w:right w:val="single" w:color="auto" w:sz="4" w:space="0"/>
            </w:tcBorders>
            <w:shd w:val="clear" w:color="auto" w:fill="auto"/>
            <w:vAlign w:val="center"/>
          </w:tcPr>
          <w:p w14:paraId="673BB3E2">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68" w:type="pct"/>
            <w:tcBorders>
              <w:top w:val="nil"/>
              <w:left w:val="nil"/>
              <w:bottom w:val="single" w:color="auto" w:sz="4" w:space="0"/>
              <w:right w:val="single" w:color="auto" w:sz="4" w:space="0"/>
            </w:tcBorders>
            <w:shd w:val="clear" w:color="auto" w:fill="auto"/>
            <w:vAlign w:val="center"/>
          </w:tcPr>
          <w:p w14:paraId="7870D38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保护</w:t>
            </w:r>
          </w:p>
        </w:tc>
        <w:tc>
          <w:tcPr>
            <w:tcW w:w="904" w:type="pct"/>
            <w:tcBorders>
              <w:top w:val="nil"/>
              <w:left w:val="nil"/>
              <w:bottom w:val="single" w:color="auto" w:sz="4" w:space="0"/>
              <w:right w:val="single" w:color="auto" w:sz="4" w:space="0"/>
            </w:tcBorders>
            <w:shd w:val="clear" w:color="auto" w:fill="auto"/>
            <w:vAlign w:val="center"/>
          </w:tcPr>
          <w:p w14:paraId="1B7071A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是否保护生态环境</w:t>
            </w:r>
          </w:p>
        </w:tc>
        <w:tc>
          <w:tcPr>
            <w:tcW w:w="1213" w:type="pct"/>
            <w:tcBorders>
              <w:top w:val="nil"/>
              <w:left w:val="nil"/>
              <w:bottom w:val="single" w:color="auto" w:sz="4" w:space="0"/>
              <w:right w:val="single" w:color="auto" w:sz="4" w:space="0"/>
            </w:tcBorders>
            <w:shd w:val="clear" w:color="auto" w:fill="auto"/>
            <w:vAlign w:val="center"/>
          </w:tcPr>
          <w:p w14:paraId="43C5251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项目在建设期对生态环境的影响</w:t>
            </w:r>
          </w:p>
        </w:tc>
        <w:tc>
          <w:tcPr>
            <w:tcW w:w="959" w:type="pct"/>
            <w:tcBorders>
              <w:top w:val="nil"/>
              <w:left w:val="nil"/>
              <w:bottom w:val="single" w:color="auto" w:sz="4" w:space="0"/>
              <w:right w:val="single" w:color="auto" w:sz="4" w:space="0"/>
            </w:tcBorders>
            <w:shd w:val="clear" w:color="auto" w:fill="auto"/>
            <w:vAlign w:val="center"/>
          </w:tcPr>
          <w:p w14:paraId="7D2D45E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破坏生态环境根据专家意见酌情扣分</w:t>
            </w:r>
          </w:p>
        </w:tc>
      </w:tr>
      <w:tr w14:paraId="3F84462A">
        <w:tblPrEx>
          <w:tblCellMar>
            <w:top w:w="0" w:type="dxa"/>
            <w:left w:w="108" w:type="dxa"/>
            <w:bottom w:w="0" w:type="dxa"/>
            <w:right w:w="108" w:type="dxa"/>
          </w:tblCellMar>
        </w:tblPrEx>
        <w:trPr>
          <w:trHeight w:val="820" w:hRule="atLeast"/>
        </w:trPr>
        <w:tc>
          <w:tcPr>
            <w:tcW w:w="324" w:type="pct"/>
            <w:vMerge w:val="continue"/>
            <w:tcBorders>
              <w:left w:val="single" w:color="auto" w:sz="4" w:space="0"/>
              <w:bottom w:val="single" w:color="auto" w:sz="4" w:space="0"/>
              <w:right w:val="single" w:color="auto" w:sz="4" w:space="0"/>
            </w:tcBorders>
            <w:shd w:val="clear" w:color="auto" w:fill="auto"/>
            <w:vAlign w:val="center"/>
          </w:tcPr>
          <w:p w14:paraId="071C9F80">
            <w:pPr>
              <w:kinsoku/>
              <w:autoSpaceDE/>
              <w:autoSpaceDN/>
              <w:adjustRightInd/>
              <w:snapToGrid/>
              <w:textAlignment w:val="auto"/>
              <w:rPr>
                <w:rFonts w:hint="eastAsia" w:ascii="宋体" w:hAnsi="宋体" w:eastAsia="宋体" w:cs="宋体"/>
                <w:snapToGrid/>
                <w:sz w:val="18"/>
                <w:szCs w:val="18"/>
              </w:rPr>
            </w:pPr>
          </w:p>
        </w:tc>
        <w:tc>
          <w:tcPr>
            <w:tcW w:w="426" w:type="pct"/>
            <w:tcBorders>
              <w:top w:val="nil"/>
              <w:left w:val="nil"/>
              <w:bottom w:val="single" w:color="auto" w:sz="4" w:space="0"/>
              <w:right w:val="single" w:color="auto" w:sz="4" w:space="0"/>
            </w:tcBorders>
            <w:shd w:val="clear" w:color="auto" w:fill="auto"/>
            <w:vAlign w:val="center"/>
          </w:tcPr>
          <w:p w14:paraId="701FA4F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D4 可持续影响指标</w:t>
            </w:r>
          </w:p>
        </w:tc>
        <w:tc>
          <w:tcPr>
            <w:tcW w:w="524" w:type="pct"/>
            <w:tcBorders>
              <w:top w:val="nil"/>
              <w:left w:val="nil"/>
              <w:bottom w:val="single" w:color="auto" w:sz="4" w:space="0"/>
              <w:right w:val="single" w:color="auto" w:sz="4" w:space="0"/>
            </w:tcBorders>
            <w:shd w:val="clear" w:color="auto" w:fill="auto"/>
            <w:vAlign w:val="center"/>
          </w:tcPr>
          <w:p w14:paraId="0908DC7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D401项目产生收益是否可持续</w:t>
            </w:r>
          </w:p>
        </w:tc>
        <w:tc>
          <w:tcPr>
            <w:tcW w:w="282" w:type="pct"/>
            <w:tcBorders>
              <w:top w:val="nil"/>
              <w:left w:val="nil"/>
              <w:bottom w:val="single" w:color="auto" w:sz="4" w:space="0"/>
              <w:right w:val="single" w:color="auto" w:sz="4" w:space="0"/>
            </w:tcBorders>
            <w:shd w:val="clear" w:color="auto" w:fill="auto"/>
            <w:vAlign w:val="center"/>
          </w:tcPr>
          <w:p w14:paraId="33FFA75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5</w:t>
            </w:r>
          </w:p>
        </w:tc>
        <w:tc>
          <w:tcPr>
            <w:tcW w:w="368" w:type="pct"/>
            <w:tcBorders>
              <w:top w:val="nil"/>
              <w:left w:val="nil"/>
              <w:bottom w:val="single" w:color="auto" w:sz="4" w:space="0"/>
              <w:right w:val="single" w:color="auto" w:sz="4" w:space="0"/>
            </w:tcBorders>
            <w:shd w:val="clear" w:color="auto" w:fill="auto"/>
            <w:vAlign w:val="center"/>
          </w:tcPr>
          <w:p w14:paraId="71C2843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收益可持续</w:t>
            </w:r>
          </w:p>
        </w:tc>
        <w:tc>
          <w:tcPr>
            <w:tcW w:w="904" w:type="pct"/>
            <w:tcBorders>
              <w:top w:val="nil"/>
              <w:left w:val="nil"/>
              <w:bottom w:val="single" w:color="auto" w:sz="4" w:space="0"/>
              <w:right w:val="single" w:color="auto" w:sz="4" w:space="0"/>
            </w:tcBorders>
            <w:shd w:val="clear" w:color="auto" w:fill="auto"/>
            <w:vAlign w:val="center"/>
          </w:tcPr>
          <w:p w14:paraId="4E57689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是否可持续发展</w:t>
            </w:r>
          </w:p>
        </w:tc>
        <w:tc>
          <w:tcPr>
            <w:tcW w:w="1213" w:type="pct"/>
            <w:tcBorders>
              <w:top w:val="nil"/>
              <w:left w:val="nil"/>
              <w:bottom w:val="single" w:color="auto" w:sz="4" w:space="0"/>
              <w:right w:val="single" w:color="auto" w:sz="4" w:space="0"/>
            </w:tcBorders>
            <w:shd w:val="clear" w:color="auto" w:fill="auto"/>
            <w:vAlign w:val="center"/>
          </w:tcPr>
          <w:p w14:paraId="0A53E8E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未来产生的收益能覆盖项目所有债务本息视可持续性</w:t>
            </w:r>
          </w:p>
        </w:tc>
        <w:tc>
          <w:tcPr>
            <w:tcW w:w="959" w:type="pct"/>
            <w:tcBorders>
              <w:top w:val="nil"/>
              <w:left w:val="nil"/>
              <w:bottom w:val="single" w:color="auto" w:sz="4" w:space="0"/>
              <w:right w:val="single" w:color="auto" w:sz="4" w:space="0"/>
            </w:tcBorders>
            <w:shd w:val="clear" w:color="auto" w:fill="auto"/>
            <w:vAlign w:val="center"/>
          </w:tcPr>
          <w:p w14:paraId="501BD34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通过项目的监测表，测算未来收益，能覆盖得满分，否则不得分</w:t>
            </w:r>
          </w:p>
        </w:tc>
      </w:tr>
    </w:tbl>
    <w:p w14:paraId="3593FB2B">
      <w:pPr>
        <w:spacing w:before="74" w:after="240" w:afterLines="100" w:line="228" w:lineRule="auto"/>
        <w:jc w:val="both"/>
        <w:outlineLvl w:val="0"/>
        <w:rPr>
          <w:rFonts w:hint="eastAsia" w:ascii="宋体" w:hAnsi="宋体" w:eastAsia="宋体" w:cs="宋体"/>
          <w:sz w:val="23"/>
          <w:szCs w:val="23"/>
        </w:rPr>
      </w:pPr>
    </w:p>
    <w:sectPr>
      <w:headerReference r:id="rId7" w:type="default"/>
      <w:footerReference r:id="rId8" w:type="default"/>
      <w:pgSz w:w="16839" w:h="11906" w:orient="landscape"/>
      <w:pgMar w:top="1785" w:right="1118" w:bottom="1304" w:left="1043" w:header="878" w:footer="83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114383"/>
      <w:docPartObj>
        <w:docPartGallery w:val="autotext"/>
      </w:docPartObj>
    </w:sdtPr>
    <w:sdtContent>
      <w:p w14:paraId="11F59F2E">
        <w:pPr>
          <w:pStyle w:val="10"/>
          <w:jc w:val="center"/>
        </w:pPr>
        <w:r>
          <w:fldChar w:fldCharType="begin"/>
        </w:r>
        <w:r>
          <w:instrText xml:space="preserve">PAGE   \* MERGEFORMAT</w:instrText>
        </w:r>
        <w:r>
          <w:fldChar w:fldCharType="separate"/>
        </w:r>
        <w:r>
          <w:rPr>
            <w:lang w:val="zh-CN"/>
          </w:rPr>
          <w:t>2</w:t>
        </w:r>
        <w:r>
          <w:fldChar w:fldCharType="end"/>
        </w:r>
      </w:p>
    </w:sdtContent>
  </w:sdt>
  <w:p w14:paraId="40E78DF7">
    <w:pPr>
      <w:pStyle w:val="10"/>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907855"/>
      <w:docPartObj>
        <w:docPartGallery w:val="autotext"/>
      </w:docPartObj>
    </w:sdtPr>
    <w:sdtContent>
      <w:p w14:paraId="4CAAD8C1">
        <w:pPr>
          <w:pStyle w:val="10"/>
          <w:jc w:val="center"/>
        </w:pPr>
        <w:r>
          <w:fldChar w:fldCharType="begin"/>
        </w:r>
        <w:r>
          <w:instrText xml:space="preserve">PAGE   \* MERGEFORMAT</w:instrText>
        </w:r>
        <w:r>
          <w:fldChar w:fldCharType="separate"/>
        </w:r>
        <w:r>
          <w:rPr>
            <w:lang w:val="zh-CN"/>
          </w:rPr>
          <w:t>2</w:t>
        </w:r>
        <w:r>
          <w:fldChar w:fldCharType="end"/>
        </w:r>
      </w:p>
    </w:sdtContent>
  </w:sdt>
  <w:p w14:paraId="1E300EC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4748"/>
    </w:sdtPr>
    <w:sdtContent>
      <w:p w14:paraId="2EF751CF">
        <w:pPr>
          <w:pStyle w:val="10"/>
          <w:jc w:val="center"/>
        </w:pPr>
        <w:r>
          <w:fldChar w:fldCharType="begin"/>
        </w:r>
        <w:r>
          <w:instrText xml:space="preserve">PAGE   \* MERGEFORMAT</w:instrText>
        </w:r>
        <w:r>
          <w:fldChar w:fldCharType="separate"/>
        </w:r>
        <w:r>
          <w:rPr>
            <w:lang w:val="zh-CN"/>
          </w:rPr>
          <w:t>55</w:t>
        </w:r>
        <w:r>
          <w:fldChar w:fldCharType="end"/>
        </w:r>
      </w:p>
    </w:sdtContent>
  </w:sdt>
  <w:p w14:paraId="024BF26C">
    <w:pPr>
      <w:spacing w:line="230" w:lineRule="auto"/>
      <w:ind w:left="3690"/>
      <w:rPr>
        <w:rFonts w:hint="eastAsia"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5A91">
    <w:pPr>
      <w:spacing w:line="199" w:lineRule="auto"/>
      <w:ind w:left="109"/>
      <w:rPr>
        <w:rFonts w:hint="eastAsia" w:ascii="宋体" w:hAnsi="宋体" w:cs="宋体"/>
        <w:sz w:val="17"/>
        <w:szCs w:val="17"/>
      </w:rPr>
    </w:pPr>
    <w:r>
      <w:rPr>
        <w:rFonts w:hint="eastAsia" w:eastAsia="Arial"/>
      </w:rPr>
      <w:pict>
        <v:rect id="_x0000_s3073" o:spid="_x0000_s3073" o:spt="1" style="position:absolute;left:0pt;margin-left:4.3pt;margin-top:11.05pt;height:0.6pt;width:436.4pt;z-index:251659264;mso-width-relative:page;mso-height-relative:page;" fillcolor="#000000" filled="t" stroked="f" coordsize="21600,21600">
          <v:path/>
          <v:fill on="t" focussize="0,0"/>
          <v:stroke on="f"/>
          <v:imagedata o:title=""/>
          <o:lock v:ext="edit"/>
        </v:rect>
      </w:pict>
    </w:r>
    <w:r>
      <w:rPr>
        <w:rFonts w:hint="eastAsia" w:eastAsia="宋体"/>
      </w:rPr>
      <w:t>吉林民鑫绩效评价有限公司</w:t>
    </w:r>
    <w:r>
      <w:rPr>
        <w:rFonts w:hint="eastAsia" w:ascii="宋体" w:hAnsi="宋体" w:eastAsia="宋体" w:cs="宋体"/>
        <w:spacing w:val="2"/>
        <w:sz w:val="17"/>
        <w:szCs w:val="17"/>
      </w:rPr>
      <w:t xml:space="preserve">                </w:t>
    </w:r>
    <w:r>
      <w:rPr>
        <w:rFonts w:ascii="Calibri" w:hAnsi="Calibri" w:eastAsia="Calibri" w:cs="Calibri"/>
        <w:spacing w:val="2"/>
        <w:sz w:val="17"/>
        <w:szCs w:val="17"/>
      </w:rPr>
      <w:t xml:space="preserve">                                                                          </w:t>
    </w:r>
    <w:r>
      <w:rPr>
        <w:rFonts w:ascii="Calibri" w:hAnsi="Calibri" w:eastAsia="Calibri" w:cs="Calibri"/>
        <w:sz w:val="17"/>
        <w:szCs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8D08">
    <w:pPr>
      <w:spacing w:after="240" w:afterLines="100" w:line="228" w:lineRule="auto"/>
      <w:ind w:left="108"/>
      <w:rPr>
        <w:rFonts w:hint="eastAsia" w:ascii="宋体" w:hAnsi="宋体" w:eastAsia="宋体" w:cs="宋体"/>
        <w:sz w:val="17"/>
        <w:szCs w:val="17"/>
      </w:rPr>
    </w:pPr>
    <w:r>
      <w:rPr>
        <w:rFonts w:hint="eastAsia" w:eastAsia="Arial"/>
      </w:rPr>
      <w:pict>
        <v:shape id="_x0000_s3075" o:spid="_x0000_s3075" style="position:absolute;left:0pt;margin-left:89.45pt;margin-top:56.9pt;height:0.75pt;width:456.4pt;mso-position-horizontal-relative:page;mso-position-vertical-relative:page;z-index:251660288;mso-width-relative:page;mso-height-relative:page;" fillcolor="#000000" filled="t" stroked="f" coordsize="8730,15" o:allowincell="f" path="m0,0l8730,0,8730,14,0,14,0,0xe">
          <v:path/>
          <v:fill on="t" focussize="0,0"/>
          <v:stroke on="f"/>
          <v:imagedata o:title=""/>
          <o:lock v:ext="edit"/>
        </v:shape>
      </w:pict>
    </w:r>
    <w:r>
      <w:rPr>
        <w:rFonts w:hint="eastAsia" w:eastAsia="宋体"/>
      </w:rPr>
      <w:t>吉林民鑫绩效评价有限公司</w:t>
    </w:r>
    <w:r>
      <w:rPr>
        <w:rFonts w:ascii="Calibri" w:hAnsi="Calibri" w:eastAsia="Calibri" w:cs="Calibri"/>
        <w:spacing w:val="2"/>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C404">
    <w:pPr>
      <w:spacing w:line="229" w:lineRule="auto"/>
      <w:ind w:left="109"/>
      <w:rPr>
        <w:rFonts w:hint="eastAsia" w:ascii="宋体" w:hAnsi="宋体" w:eastAsia="宋体" w:cs="宋体"/>
        <w:sz w:val="17"/>
        <w:szCs w:val="17"/>
      </w:rPr>
    </w:pPr>
    <w:r>
      <w:rPr>
        <w:rFonts w:hint="eastAsia" w:eastAsia="Arial"/>
      </w:rPr>
      <w:pict>
        <v:shape id="_x0000_s3077" o:spid="_x0000_s3077" style="position:absolute;left:0pt;margin-left:93.55pt;margin-top:55.2pt;height:0.75pt;width:566.95pt;mso-position-horizontal-relative:page;mso-position-vertical-relative:page;z-index:251661312;mso-width-relative:page;mso-height-relative:page;" fillcolor="#000000" filled="t" stroked="f" coordsize="8730,15" o:allowincell="f" path="m0,0l8730,0,8730,14,0,14,0,0xe">
          <v:path/>
          <v:fill on="t" focussize="0,0"/>
          <v:stroke on="f"/>
          <v:imagedata o:title=""/>
          <o:lock v:ext="edit"/>
        </v:shape>
      </w:pict>
    </w:r>
    <w:r>
      <w:rPr>
        <w:rFonts w:hint="eastAsia" w:eastAsia="宋体"/>
      </w:rPr>
      <w:t>吉林民鑫绩效评价有限公司</w:t>
    </w:r>
    <w:r>
      <w:rPr>
        <w:rFonts w:ascii="Calibri" w:hAnsi="Calibri" w:eastAsia="Calibri" w:cs="Calibri"/>
        <w:spacing w:val="2"/>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8122A"/>
    <w:multiLevelType w:val="singleLevel"/>
    <w:tmpl w:val="85C8122A"/>
    <w:lvl w:ilvl="0" w:tentative="0">
      <w:start w:val="1"/>
      <w:numFmt w:val="chineseCounting"/>
      <w:suff w:val="nothing"/>
      <w:lvlText w:val="（%1）"/>
      <w:lvlJc w:val="left"/>
      <w:pPr>
        <w:ind w:left="-1" w:firstLine="420"/>
      </w:pPr>
      <w:rPr>
        <w:rFonts w:hint="eastAsia"/>
      </w:rPr>
    </w:lvl>
  </w:abstractNum>
  <w:abstractNum w:abstractNumId="1">
    <w:nsid w:val="876A536F"/>
    <w:multiLevelType w:val="singleLevel"/>
    <w:tmpl w:val="876A536F"/>
    <w:lvl w:ilvl="0" w:tentative="0">
      <w:start w:val="1"/>
      <w:numFmt w:val="decimal"/>
      <w:suff w:val="nothing"/>
      <w:lvlText w:val="（%1）"/>
      <w:lvlJc w:val="left"/>
    </w:lvl>
  </w:abstractNum>
  <w:abstractNum w:abstractNumId="2">
    <w:nsid w:val="91C5A0CB"/>
    <w:multiLevelType w:val="singleLevel"/>
    <w:tmpl w:val="91C5A0CB"/>
    <w:lvl w:ilvl="0" w:tentative="0">
      <w:start w:val="1"/>
      <w:numFmt w:val="decimal"/>
      <w:lvlText w:val="(%1)"/>
      <w:lvlJc w:val="left"/>
      <w:pPr>
        <w:ind w:left="425" w:hanging="425"/>
      </w:pPr>
      <w:rPr>
        <w:rFonts w:hint="default"/>
      </w:rPr>
    </w:lvl>
  </w:abstractNum>
  <w:abstractNum w:abstractNumId="3">
    <w:nsid w:val="95CB8F3D"/>
    <w:multiLevelType w:val="singleLevel"/>
    <w:tmpl w:val="95CB8F3D"/>
    <w:lvl w:ilvl="0" w:tentative="0">
      <w:start w:val="1"/>
      <w:numFmt w:val="chineseCounting"/>
      <w:suff w:val="nothing"/>
      <w:lvlText w:val="（%1）"/>
      <w:lvlJc w:val="left"/>
      <w:pPr>
        <w:ind w:left="0" w:firstLine="420"/>
      </w:pPr>
      <w:rPr>
        <w:rFonts w:hint="eastAsia"/>
      </w:rPr>
    </w:lvl>
  </w:abstractNum>
  <w:abstractNum w:abstractNumId="4">
    <w:nsid w:val="99E90E76"/>
    <w:multiLevelType w:val="singleLevel"/>
    <w:tmpl w:val="99E90E76"/>
    <w:lvl w:ilvl="0" w:tentative="0">
      <w:start w:val="1"/>
      <w:numFmt w:val="chineseCounting"/>
      <w:pStyle w:val="29"/>
      <w:suff w:val="nothing"/>
      <w:lvlText w:val="（%1）"/>
      <w:lvlJc w:val="left"/>
      <w:pPr>
        <w:ind w:left="0" w:firstLine="420"/>
      </w:pPr>
      <w:rPr>
        <w:rFonts w:hint="eastAsia"/>
      </w:rPr>
    </w:lvl>
  </w:abstractNum>
  <w:abstractNum w:abstractNumId="5">
    <w:nsid w:val="9FB9B3EF"/>
    <w:multiLevelType w:val="singleLevel"/>
    <w:tmpl w:val="9FB9B3EF"/>
    <w:lvl w:ilvl="0" w:tentative="0">
      <w:start w:val="1"/>
      <w:numFmt w:val="chineseCounting"/>
      <w:suff w:val="nothing"/>
      <w:lvlText w:val="（%1）"/>
      <w:lvlJc w:val="left"/>
      <w:pPr>
        <w:ind w:left="0" w:firstLine="420"/>
      </w:pPr>
      <w:rPr>
        <w:rFonts w:hint="eastAsia"/>
      </w:rPr>
    </w:lvl>
  </w:abstractNum>
  <w:abstractNum w:abstractNumId="6">
    <w:nsid w:val="A2317270"/>
    <w:multiLevelType w:val="singleLevel"/>
    <w:tmpl w:val="A2317270"/>
    <w:lvl w:ilvl="0" w:tentative="0">
      <w:start w:val="1"/>
      <w:numFmt w:val="decimal"/>
      <w:lvlText w:val="%1."/>
      <w:lvlJc w:val="left"/>
      <w:pPr>
        <w:ind w:left="425" w:hanging="425"/>
      </w:pPr>
      <w:rPr>
        <w:rFonts w:hint="default"/>
      </w:rPr>
    </w:lvl>
  </w:abstractNum>
  <w:abstractNum w:abstractNumId="7">
    <w:nsid w:val="A9EECF6C"/>
    <w:multiLevelType w:val="singleLevel"/>
    <w:tmpl w:val="A9EECF6C"/>
    <w:lvl w:ilvl="0" w:tentative="0">
      <w:start w:val="1"/>
      <w:numFmt w:val="decimal"/>
      <w:lvlText w:val="%1."/>
      <w:lvlJc w:val="left"/>
      <w:pPr>
        <w:ind w:left="425" w:hanging="425"/>
      </w:pPr>
      <w:rPr>
        <w:rFonts w:hint="default"/>
      </w:rPr>
    </w:lvl>
  </w:abstractNum>
  <w:abstractNum w:abstractNumId="8">
    <w:nsid w:val="BFB7EE85"/>
    <w:multiLevelType w:val="singleLevel"/>
    <w:tmpl w:val="BFB7EE85"/>
    <w:lvl w:ilvl="0" w:tentative="0">
      <w:start w:val="1"/>
      <w:numFmt w:val="decimal"/>
      <w:lvlText w:val="(%1)"/>
      <w:lvlJc w:val="left"/>
      <w:pPr>
        <w:ind w:left="425" w:hanging="425"/>
      </w:pPr>
      <w:rPr>
        <w:rFonts w:hint="default"/>
      </w:rPr>
    </w:lvl>
  </w:abstractNum>
  <w:abstractNum w:abstractNumId="9">
    <w:nsid w:val="D7528984"/>
    <w:multiLevelType w:val="singleLevel"/>
    <w:tmpl w:val="D7528984"/>
    <w:lvl w:ilvl="0" w:tentative="0">
      <w:start w:val="1"/>
      <w:numFmt w:val="decimal"/>
      <w:lvlText w:val="(%1)"/>
      <w:lvlJc w:val="left"/>
      <w:pPr>
        <w:ind w:left="305" w:hanging="425"/>
      </w:pPr>
      <w:rPr>
        <w:rFonts w:hint="default"/>
      </w:rPr>
    </w:lvl>
  </w:abstractNum>
  <w:abstractNum w:abstractNumId="10">
    <w:nsid w:val="F16B1A4B"/>
    <w:multiLevelType w:val="singleLevel"/>
    <w:tmpl w:val="F16B1A4B"/>
    <w:lvl w:ilvl="0" w:tentative="0">
      <w:start w:val="1"/>
      <w:numFmt w:val="chineseCounting"/>
      <w:pStyle w:val="30"/>
      <w:suff w:val="nothing"/>
      <w:lvlText w:val="%1、"/>
      <w:lvlJc w:val="left"/>
      <w:pPr>
        <w:ind w:left="0" w:firstLine="420"/>
      </w:pPr>
      <w:rPr>
        <w:rFonts w:hint="eastAsia" w:ascii="宋体" w:hAnsi="宋体" w:eastAsia="宋体" w:cs="宋体"/>
        <w:sz w:val="24"/>
        <w:szCs w:val="24"/>
      </w:rPr>
    </w:lvl>
  </w:abstractNum>
  <w:abstractNum w:abstractNumId="11">
    <w:nsid w:val="F8E4ED4F"/>
    <w:multiLevelType w:val="singleLevel"/>
    <w:tmpl w:val="F8E4ED4F"/>
    <w:lvl w:ilvl="0" w:tentative="0">
      <w:start w:val="1"/>
      <w:numFmt w:val="decimal"/>
      <w:suff w:val="nothing"/>
      <w:lvlText w:val="（%1）"/>
      <w:lvlJc w:val="left"/>
    </w:lvl>
  </w:abstractNum>
  <w:abstractNum w:abstractNumId="12">
    <w:nsid w:val="180B3317"/>
    <w:multiLevelType w:val="singleLevel"/>
    <w:tmpl w:val="180B3317"/>
    <w:lvl w:ilvl="0" w:tentative="0">
      <w:start w:val="6"/>
      <w:numFmt w:val="chineseCounting"/>
      <w:suff w:val="nothing"/>
      <w:lvlText w:val="（%1）"/>
      <w:lvlJc w:val="left"/>
      <w:pPr>
        <w:ind w:left="0" w:firstLine="420"/>
      </w:pPr>
      <w:rPr>
        <w:rFonts w:hint="eastAsia"/>
      </w:rPr>
    </w:lvl>
  </w:abstractNum>
  <w:abstractNum w:abstractNumId="13">
    <w:nsid w:val="29BBD5F9"/>
    <w:multiLevelType w:val="singleLevel"/>
    <w:tmpl w:val="29BBD5F9"/>
    <w:lvl w:ilvl="0" w:tentative="0">
      <w:start w:val="1"/>
      <w:numFmt w:val="chineseCounting"/>
      <w:suff w:val="nothing"/>
      <w:lvlText w:val="%1、"/>
      <w:lvlJc w:val="left"/>
      <w:pPr>
        <w:ind w:left="0" w:firstLine="420"/>
      </w:pPr>
      <w:rPr>
        <w:rFonts w:hint="eastAsia"/>
      </w:rPr>
    </w:lvl>
  </w:abstractNum>
  <w:abstractNum w:abstractNumId="14">
    <w:nsid w:val="2B30BAFC"/>
    <w:multiLevelType w:val="singleLevel"/>
    <w:tmpl w:val="2B30BAFC"/>
    <w:lvl w:ilvl="0" w:tentative="0">
      <w:start w:val="1"/>
      <w:numFmt w:val="decimal"/>
      <w:lvlText w:val="%1."/>
      <w:lvlJc w:val="left"/>
      <w:pPr>
        <w:ind w:left="425" w:hanging="425"/>
      </w:pPr>
      <w:rPr>
        <w:rFonts w:hint="default"/>
      </w:rPr>
    </w:lvl>
  </w:abstractNum>
  <w:abstractNum w:abstractNumId="15">
    <w:nsid w:val="379B7618"/>
    <w:multiLevelType w:val="singleLevel"/>
    <w:tmpl w:val="379B7618"/>
    <w:lvl w:ilvl="0" w:tentative="0">
      <w:start w:val="1"/>
      <w:numFmt w:val="decimal"/>
      <w:lvlText w:val="%1."/>
      <w:lvlJc w:val="left"/>
      <w:pPr>
        <w:ind w:left="425" w:hanging="425"/>
      </w:pPr>
      <w:rPr>
        <w:rFonts w:hint="default"/>
      </w:rPr>
    </w:lvl>
  </w:abstractNum>
  <w:abstractNum w:abstractNumId="16">
    <w:nsid w:val="40AAF93F"/>
    <w:multiLevelType w:val="singleLevel"/>
    <w:tmpl w:val="40AAF93F"/>
    <w:lvl w:ilvl="0" w:tentative="0">
      <w:start w:val="1"/>
      <w:numFmt w:val="decimal"/>
      <w:lvlText w:val="(%1)"/>
      <w:lvlJc w:val="left"/>
      <w:pPr>
        <w:ind w:left="425" w:hanging="425"/>
      </w:pPr>
      <w:rPr>
        <w:rFonts w:hint="default"/>
      </w:rPr>
    </w:lvl>
  </w:abstractNum>
  <w:abstractNum w:abstractNumId="17">
    <w:nsid w:val="500F10C4"/>
    <w:multiLevelType w:val="singleLevel"/>
    <w:tmpl w:val="500F10C4"/>
    <w:lvl w:ilvl="0" w:tentative="0">
      <w:start w:val="1"/>
      <w:numFmt w:val="decimal"/>
      <w:lvlText w:val="%1."/>
      <w:lvlJc w:val="left"/>
      <w:pPr>
        <w:ind w:left="425" w:hanging="425"/>
      </w:pPr>
      <w:rPr>
        <w:rFonts w:hint="default"/>
      </w:rPr>
    </w:lvl>
  </w:abstractNum>
  <w:abstractNum w:abstractNumId="18">
    <w:nsid w:val="5E0D6978"/>
    <w:multiLevelType w:val="multilevel"/>
    <w:tmpl w:val="5E0D6978"/>
    <w:lvl w:ilvl="0" w:tentative="0">
      <w:start w:val="7"/>
      <w:numFmt w:val="japaneseCounting"/>
      <w:lvlText w:val="%1、"/>
      <w:lvlJc w:val="left"/>
      <w:pPr>
        <w:ind w:left="1206" w:hanging="720"/>
      </w:pPr>
      <w:rPr>
        <w:rFonts w:hint="default"/>
      </w:rPr>
    </w:lvl>
    <w:lvl w:ilvl="1" w:tentative="0">
      <w:start w:val="1"/>
      <w:numFmt w:val="lowerLetter"/>
      <w:lvlText w:val="%2)"/>
      <w:lvlJc w:val="left"/>
      <w:pPr>
        <w:ind w:left="1366" w:hanging="440"/>
      </w:pPr>
    </w:lvl>
    <w:lvl w:ilvl="2" w:tentative="0">
      <w:start w:val="1"/>
      <w:numFmt w:val="lowerRoman"/>
      <w:lvlText w:val="%3."/>
      <w:lvlJc w:val="right"/>
      <w:pPr>
        <w:ind w:left="1806" w:hanging="440"/>
      </w:pPr>
    </w:lvl>
    <w:lvl w:ilvl="3" w:tentative="0">
      <w:start w:val="1"/>
      <w:numFmt w:val="decimal"/>
      <w:lvlText w:val="%4."/>
      <w:lvlJc w:val="left"/>
      <w:pPr>
        <w:ind w:left="2246" w:hanging="440"/>
      </w:pPr>
    </w:lvl>
    <w:lvl w:ilvl="4" w:tentative="0">
      <w:start w:val="1"/>
      <w:numFmt w:val="lowerLetter"/>
      <w:lvlText w:val="%5)"/>
      <w:lvlJc w:val="left"/>
      <w:pPr>
        <w:ind w:left="2686" w:hanging="440"/>
      </w:pPr>
    </w:lvl>
    <w:lvl w:ilvl="5" w:tentative="0">
      <w:start w:val="1"/>
      <w:numFmt w:val="lowerRoman"/>
      <w:lvlText w:val="%6."/>
      <w:lvlJc w:val="right"/>
      <w:pPr>
        <w:ind w:left="3126" w:hanging="440"/>
      </w:pPr>
    </w:lvl>
    <w:lvl w:ilvl="6" w:tentative="0">
      <w:start w:val="1"/>
      <w:numFmt w:val="decimal"/>
      <w:lvlText w:val="%7."/>
      <w:lvlJc w:val="left"/>
      <w:pPr>
        <w:ind w:left="3566" w:hanging="440"/>
      </w:pPr>
    </w:lvl>
    <w:lvl w:ilvl="7" w:tentative="0">
      <w:start w:val="1"/>
      <w:numFmt w:val="lowerLetter"/>
      <w:lvlText w:val="%8)"/>
      <w:lvlJc w:val="left"/>
      <w:pPr>
        <w:ind w:left="4006" w:hanging="440"/>
      </w:pPr>
    </w:lvl>
    <w:lvl w:ilvl="8" w:tentative="0">
      <w:start w:val="1"/>
      <w:numFmt w:val="lowerRoman"/>
      <w:lvlText w:val="%9."/>
      <w:lvlJc w:val="right"/>
      <w:pPr>
        <w:ind w:left="4446" w:hanging="440"/>
      </w:pPr>
    </w:lvl>
  </w:abstractNum>
  <w:num w:numId="1">
    <w:abstractNumId w:val="4"/>
  </w:num>
  <w:num w:numId="2">
    <w:abstractNumId w:val="10"/>
  </w:num>
  <w:num w:numId="3">
    <w:abstractNumId w:val="13"/>
  </w:num>
  <w:num w:numId="4">
    <w:abstractNumId w:val="18"/>
  </w:num>
  <w:num w:numId="5">
    <w:abstractNumId w:val="5"/>
  </w:num>
  <w:num w:numId="6">
    <w:abstractNumId w:val="12"/>
  </w:num>
  <w:num w:numId="7">
    <w:abstractNumId w:val="15"/>
  </w:num>
  <w:num w:numId="8">
    <w:abstractNumId w:val="16"/>
  </w:num>
  <w:num w:numId="9">
    <w:abstractNumId w:val="9"/>
  </w:num>
  <w:num w:numId="10">
    <w:abstractNumId w:val="0"/>
  </w:num>
  <w:num w:numId="11">
    <w:abstractNumId w:val="14"/>
  </w:num>
  <w:num w:numId="12">
    <w:abstractNumId w:val="1"/>
  </w:num>
  <w:num w:numId="13">
    <w:abstractNumId w:val="17"/>
  </w:num>
  <w:num w:numId="14">
    <w:abstractNumId w:val="2"/>
  </w:num>
  <w:num w:numId="15">
    <w:abstractNumId w:val="8"/>
  </w:num>
  <w:num w:numId="16">
    <w:abstractNumId w:val="6"/>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221962"/>
    <w:rsid w:val="0000107B"/>
    <w:rsid w:val="00040349"/>
    <w:rsid w:val="0005313F"/>
    <w:rsid w:val="000561D4"/>
    <w:rsid w:val="0006345D"/>
    <w:rsid w:val="00073C37"/>
    <w:rsid w:val="00080BFB"/>
    <w:rsid w:val="00083308"/>
    <w:rsid w:val="000B2765"/>
    <w:rsid w:val="000C4529"/>
    <w:rsid w:val="00114F72"/>
    <w:rsid w:val="00121434"/>
    <w:rsid w:val="0012511A"/>
    <w:rsid w:val="00126D59"/>
    <w:rsid w:val="001346E4"/>
    <w:rsid w:val="00135C79"/>
    <w:rsid w:val="00137371"/>
    <w:rsid w:val="00163207"/>
    <w:rsid w:val="00166C8E"/>
    <w:rsid w:val="00166D53"/>
    <w:rsid w:val="001721FE"/>
    <w:rsid w:val="00172C5B"/>
    <w:rsid w:val="00176333"/>
    <w:rsid w:val="00185F5E"/>
    <w:rsid w:val="0019390D"/>
    <w:rsid w:val="001B63E0"/>
    <w:rsid w:val="001B6C99"/>
    <w:rsid w:val="001B77BD"/>
    <w:rsid w:val="001D1A9F"/>
    <w:rsid w:val="001D2CBB"/>
    <w:rsid w:val="001E6877"/>
    <w:rsid w:val="001F154A"/>
    <w:rsid w:val="001F7160"/>
    <w:rsid w:val="00202C0E"/>
    <w:rsid w:val="00221962"/>
    <w:rsid w:val="00221D38"/>
    <w:rsid w:val="00231B71"/>
    <w:rsid w:val="002344E2"/>
    <w:rsid w:val="002360D8"/>
    <w:rsid w:val="002414D1"/>
    <w:rsid w:val="00244394"/>
    <w:rsid w:val="00260A0C"/>
    <w:rsid w:val="00261FA3"/>
    <w:rsid w:val="00271061"/>
    <w:rsid w:val="002766C3"/>
    <w:rsid w:val="002A220F"/>
    <w:rsid w:val="002A302D"/>
    <w:rsid w:val="002C1569"/>
    <w:rsid w:val="002D7222"/>
    <w:rsid w:val="002E1ECC"/>
    <w:rsid w:val="002F4052"/>
    <w:rsid w:val="002F4AAD"/>
    <w:rsid w:val="003001DF"/>
    <w:rsid w:val="00301CF4"/>
    <w:rsid w:val="00305C8F"/>
    <w:rsid w:val="003126EF"/>
    <w:rsid w:val="0031494A"/>
    <w:rsid w:val="00331E3F"/>
    <w:rsid w:val="0034508D"/>
    <w:rsid w:val="00347140"/>
    <w:rsid w:val="00347939"/>
    <w:rsid w:val="003604E1"/>
    <w:rsid w:val="00362747"/>
    <w:rsid w:val="003714A1"/>
    <w:rsid w:val="0037195E"/>
    <w:rsid w:val="00371F06"/>
    <w:rsid w:val="00385A40"/>
    <w:rsid w:val="003863B4"/>
    <w:rsid w:val="00390B31"/>
    <w:rsid w:val="003A0CEE"/>
    <w:rsid w:val="003B674D"/>
    <w:rsid w:val="003C3365"/>
    <w:rsid w:val="003E5C61"/>
    <w:rsid w:val="003F20BB"/>
    <w:rsid w:val="003F2AA5"/>
    <w:rsid w:val="00412E23"/>
    <w:rsid w:val="00445C67"/>
    <w:rsid w:val="00446E53"/>
    <w:rsid w:val="00447820"/>
    <w:rsid w:val="00450DBE"/>
    <w:rsid w:val="00452B71"/>
    <w:rsid w:val="00452FD1"/>
    <w:rsid w:val="00460922"/>
    <w:rsid w:val="0046117F"/>
    <w:rsid w:val="0047342E"/>
    <w:rsid w:val="00483878"/>
    <w:rsid w:val="0048478D"/>
    <w:rsid w:val="004A12C4"/>
    <w:rsid w:val="004A599E"/>
    <w:rsid w:val="004C58F7"/>
    <w:rsid w:val="004E0267"/>
    <w:rsid w:val="004F0D44"/>
    <w:rsid w:val="004F40E1"/>
    <w:rsid w:val="00507AC1"/>
    <w:rsid w:val="00511E2C"/>
    <w:rsid w:val="00512FB9"/>
    <w:rsid w:val="005209CB"/>
    <w:rsid w:val="00533384"/>
    <w:rsid w:val="00546A67"/>
    <w:rsid w:val="00547B8F"/>
    <w:rsid w:val="005555C0"/>
    <w:rsid w:val="0055767E"/>
    <w:rsid w:val="0056495F"/>
    <w:rsid w:val="005746E3"/>
    <w:rsid w:val="005824B2"/>
    <w:rsid w:val="0058592F"/>
    <w:rsid w:val="00597B56"/>
    <w:rsid w:val="005B09A7"/>
    <w:rsid w:val="005C2577"/>
    <w:rsid w:val="005D587A"/>
    <w:rsid w:val="005D7C54"/>
    <w:rsid w:val="005E37E0"/>
    <w:rsid w:val="005F3561"/>
    <w:rsid w:val="00600AE4"/>
    <w:rsid w:val="00611A6B"/>
    <w:rsid w:val="00622044"/>
    <w:rsid w:val="00625CEF"/>
    <w:rsid w:val="00625EF1"/>
    <w:rsid w:val="006312DE"/>
    <w:rsid w:val="00640B9A"/>
    <w:rsid w:val="00640FF7"/>
    <w:rsid w:val="00644293"/>
    <w:rsid w:val="00654ECD"/>
    <w:rsid w:val="00675062"/>
    <w:rsid w:val="00677EF9"/>
    <w:rsid w:val="006A1304"/>
    <w:rsid w:val="00702050"/>
    <w:rsid w:val="0071125C"/>
    <w:rsid w:val="00711F20"/>
    <w:rsid w:val="007167C6"/>
    <w:rsid w:val="00723CCC"/>
    <w:rsid w:val="00737C31"/>
    <w:rsid w:val="00754C0C"/>
    <w:rsid w:val="007638C4"/>
    <w:rsid w:val="00775B62"/>
    <w:rsid w:val="00792214"/>
    <w:rsid w:val="00794E33"/>
    <w:rsid w:val="007D18C3"/>
    <w:rsid w:val="007E689E"/>
    <w:rsid w:val="00807B4F"/>
    <w:rsid w:val="00813D4F"/>
    <w:rsid w:val="00825B3F"/>
    <w:rsid w:val="0084644E"/>
    <w:rsid w:val="00847E74"/>
    <w:rsid w:val="00862216"/>
    <w:rsid w:val="00894213"/>
    <w:rsid w:val="00894423"/>
    <w:rsid w:val="008A5B57"/>
    <w:rsid w:val="008C4393"/>
    <w:rsid w:val="008D051A"/>
    <w:rsid w:val="008D3E04"/>
    <w:rsid w:val="008D56FE"/>
    <w:rsid w:val="008F2640"/>
    <w:rsid w:val="008F586A"/>
    <w:rsid w:val="009066F4"/>
    <w:rsid w:val="00914985"/>
    <w:rsid w:val="00917C39"/>
    <w:rsid w:val="00921E02"/>
    <w:rsid w:val="0092705E"/>
    <w:rsid w:val="009330EA"/>
    <w:rsid w:val="009530A4"/>
    <w:rsid w:val="009554BE"/>
    <w:rsid w:val="00962F48"/>
    <w:rsid w:val="0096761E"/>
    <w:rsid w:val="00997E1A"/>
    <w:rsid w:val="009A0A0A"/>
    <w:rsid w:val="009A6D59"/>
    <w:rsid w:val="009B7E94"/>
    <w:rsid w:val="009C4DEC"/>
    <w:rsid w:val="009C588F"/>
    <w:rsid w:val="009C780D"/>
    <w:rsid w:val="009D14FD"/>
    <w:rsid w:val="009E0FD7"/>
    <w:rsid w:val="009E3C5B"/>
    <w:rsid w:val="009E4C17"/>
    <w:rsid w:val="009E7004"/>
    <w:rsid w:val="009E7E67"/>
    <w:rsid w:val="00A009D0"/>
    <w:rsid w:val="00A02057"/>
    <w:rsid w:val="00A1489F"/>
    <w:rsid w:val="00A14CF7"/>
    <w:rsid w:val="00A16410"/>
    <w:rsid w:val="00A21557"/>
    <w:rsid w:val="00A42269"/>
    <w:rsid w:val="00A61D12"/>
    <w:rsid w:val="00A6726A"/>
    <w:rsid w:val="00A729AE"/>
    <w:rsid w:val="00A81D22"/>
    <w:rsid w:val="00A95364"/>
    <w:rsid w:val="00AA0818"/>
    <w:rsid w:val="00AB0F70"/>
    <w:rsid w:val="00AD001D"/>
    <w:rsid w:val="00AD301D"/>
    <w:rsid w:val="00AD77F8"/>
    <w:rsid w:val="00AE0E55"/>
    <w:rsid w:val="00AE477D"/>
    <w:rsid w:val="00AE6432"/>
    <w:rsid w:val="00AE78A0"/>
    <w:rsid w:val="00B109FD"/>
    <w:rsid w:val="00B232F9"/>
    <w:rsid w:val="00B368DE"/>
    <w:rsid w:val="00B506B0"/>
    <w:rsid w:val="00B96E6C"/>
    <w:rsid w:val="00BA732D"/>
    <w:rsid w:val="00BB538F"/>
    <w:rsid w:val="00BC4982"/>
    <w:rsid w:val="00BC7DC4"/>
    <w:rsid w:val="00BE2148"/>
    <w:rsid w:val="00BF29E2"/>
    <w:rsid w:val="00BF52AC"/>
    <w:rsid w:val="00BF772D"/>
    <w:rsid w:val="00C01861"/>
    <w:rsid w:val="00C03938"/>
    <w:rsid w:val="00C167B8"/>
    <w:rsid w:val="00C22444"/>
    <w:rsid w:val="00C32DEC"/>
    <w:rsid w:val="00C33365"/>
    <w:rsid w:val="00C37F4F"/>
    <w:rsid w:val="00C43E09"/>
    <w:rsid w:val="00C57E8C"/>
    <w:rsid w:val="00C77D19"/>
    <w:rsid w:val="00CB5AB6"/>
    <w:rsid w:val="00CD0CA9"/>
    <w:rsid w:val="00CE4EBA"/>
    <w:rsid w:val="00CF590E"/>
    <w:rsid w:val="00D0297C"/>
    <w:rsid w:val="00D17141"/>
    <w:rsid w:val="00D1797F"/>
    <w:rsid w:val="00D22991"/>
    <w:rsid w:val="00D26EDE"/>
    <w:rsid w:val="00D30203"/>
    <w:rsid w:val="00D46A88"/>
    <w:rsid w:val="00D517EA"/>
    <w:rsid w:val="00D70240"/>
    <w:rsid w:val="00D74204"/>
    <w:rsid w:val="00D93872"/>
    <w:rsid w:val="00DB21F1"/>
    <w:rsid w:val="00DC35F5"/>
    <w:rsid w:val="00DE0D6E"/>
    <w:rsid w:val="00E44C8B"/>
    <w:rsid w:val="00E74E9B"/>
    <w:rsid w:val="00E85BE6"/>
    <w:rsid w:val="00E91136"/>
    <w:rsid w:val="00EA0EA9"/>
    <w:rsid w:val="00EA17E1"/>
    <w:rsid w:val="00EB0B95"/>
    <w:rsid w:val="00F072FE"/>
    <w:rsid w:val="00F10258"/>
    <w:rsid w:val="00F24896"/>
    <w:rsid w:val="00F34440"/>
    <w:rsid w:val="00F369C6"/>
    <w:rsid w:val="00F45135"/>
    <w:rsid w:val="00F568F3"/>
    <w:rsid w:val="00F710F3"/>
    <w:rsid w:val="00F92C14"/>
    <w:rsid w:val="00FB4CFC"/>
    <w:rsid w:val="00FB7935"/>
    <w:rsid w:val="00FD03C5"/>
    <w:rsid w:val="00FD0B3C"/>
    <w:rsid w:val="00FE09B1"/>
    <w:rsid w:val="00FE53C2"/>
    <w:rsid w:val="00FE7F1B"/>
    <w:rsid w:val="00FF1BED"/>
    <w:rsid w:val="01145609"/>
    <w:rsid w:val="01166304"/>
    <w:rsid w:val="019C73F2"/>
    <w:rsid w:val="01D54D98"/>
    <w:rsid w:val="01E44FDB"/>
    <w:rsid w:val="021B3004"/>
    <w:rsid w:val="028D5673"/>
    <w:rsid w:val="02D92666"/>
    <w:rsid w:val="03284C5E"/>
    <w:rsid w:val="03D65E84"/>
    <w:rsid w:val="03DE3CAC"/>
    <w:rsid w:val="03E5503B"/>
    <w:rsid w:val="040A4AA1"/>
    <w:rsid w:val="04243DB5"/>
    <w:rsid w:val="048565DD"/>
    <w:rsid w:val="048C54B6"/>
    <w:rsid w:val="04F41D30"/>
    <w:rsid w:val="04F96FF0"/>
    <w:rsid w:val="052501D3"/>
    <w:rsid w:val="0560706F"/>
    <w:rsid w:val="057228FE"/>
    <w:rsid w:val="057F3ADE"/>
    <w:rsid w:val="059F496C"/>
    <w:rsid w:val="05AF4F47"/>
    <w:rsid w:val="066C04EC"/>
    <w:rsid w:val="06CC6E92"/>
    <w:rsid w:val="076D18CD"/>
    <w:rsid w:val="07AD055F"/>
    <w:rsid w:val="07B90CB8"/>
    <w:rsid w:val="089A4646"/>
    <w:rsid w:val="08C07E24"/>
    <w:rsid w:val="08DB7FFD"/>
    <w:rsid w:val="096D3B08"/>
    <w:rsid w:val="0983157E"/>
    <w:rsid w:val="09861B1C"/>
    <w:rsid w:val="0A59408D"/>
    <w:rsid w:val="0A9B28F7"/>
    <w:rsid w:val="0AF53DB5"/>
    <w:rsid w:val="0B042B9A"/>
    <w:rsid w:val="0B350656"/>
    <w:rsid w:val="0B5C2B84"/>
    <w:rsid w:val="0B731D45"/>
    <w:rsid w:val="0BB21CA6"/>
    <w:rsid w:val="0BBF43C3"/>
    <w:rsid w:val="0C756C7F"/>
    <w:rsid w:val="0CFB7007"/>
    <w:rsid w:val="0D564439"/>
    <w:rsid w:val="0DAD0977"/>
    <w:rsid w:val="0EF3685E"/>
    <w:rsid w:val="0F1862C4"/>
    <w:rsid w:val="0FB35FED"/>
    <w:rsid w:val="0FD70997"/>
    <w:rsid w:val="0FD75BE1"/>
    <w:rsid w:val="10967DE9"/>
    <w:rsid w:val="112738A6"/>
    <w:rsid w:val="11294287"/>
    <w:rsid w:val="112E1DCF"/>
    <w:rsid w:val="120314AE"/>
    <w:rsid w:val="125A4E46"/>
    <w:rsid w:val="13705E66"/>
    <w:rsid w:val="13B501C8"/>
    <w:rsid w:val="13B54A2A"/>
    <w:rsid w:val="13D6674E"/>
    <w:rsid w:val="14972381"/>
    <w:rsid w:val="149A59CD"/>
    <w:rsid w:val="14BD0A96"/>
    <w:rsid w:val="14CB3DD9"/>
    <w:rsid w:val="14F450DE"/>
    <w:rsid w:val="1517701E"/>
    <w:rsid w:val="15315925"/>
    <w:rsid w:val="15491A2E"/>
    <w:rsid w:val="159D5775"/>
    <w:rsid w:val="15ED1B91"/>
    <w:rsid w:val="15F51A6C"/>
    <w:rsid w:val="16577FC2"/>
    <w:rsid w:val="17457E73"/>
    <w:rsid w:val="1752258F"/>
    <w:rsid w:val="17DB07D7"/>
    <w:rsid w:val="18420856"/>
    <w:rsid w:val="19053D5D"/>
    <w:rsid w:val="191E5442"/>
    <w:rsid w:val="19375EE1"/>
    <w:rsid w:val="19670574"/>
    <w:rsid w:val="19FD67E3"/>
    <w:rsid w:val="1AE45BF4"/>
    <w:rsid w:val="1AEB49A8"/>
    <w:rsid w:val="1AF06347"/>
    <w:rsid w:val="1B4407AD"/>
    <w:rsid w:val="1B974A15"/>
    <w:rsid w:val="1BAE3446"/>
    <w:rsid w:val="1C2362A8"/>
    <w:rsid w:val="1C546E46"/>
    <w:rsid w:val="1C556DAA"/>
    <w:rsid w:val="1C770118"/>
    <w:rsid w:val="1CC41839"/>
    <w:rsid w:val="1CFF4A8D"/>
    <w:rsid w:val="1D32554B"/>
    <w:rsid w:val="1D350989"/>
    <w:rsid w:val="1D4110DC"/>
    <w:rsid w:val="1D5801D4"/>
    <w:rsid w:val="1F38650F"/>
    <w:rsid w:val="1F574BE7"/>
    <w:rsid w:val="1F6204FF"/>
    <w:rsid w:val="20390790"/>
    <w:rsid w:val="207420E9"/>
    <w:rsid w:val="20745FEF"/>
    <w:rsid w:val="21621621"/>
    <w:rsid w:val="21FB3F4F"/>
    <w:rsid w:val="222D7E81"/>
    <w:rsid w:val="223C09CE"/>
    <w:rsid w:val="2245341D"/>
    <w:rsid w:val="22870DB9"/>
    <w:rsid w:val="228F4698"/>
    <w:rsid w:val="228F6446"/>
    <w:rsid w:val="239A50A8"/>
    <w:rsid w:val="243D776E"/>
    <w:rsid w:val="24667517"/>
    <w:rsid w:val="24AA7567"/>
    <w:rsid w:val="24AD43EB"/>
    <w:rsid w:val="25695674"/>
    <w:rsid w:val="25CD5C03"/>
    <w:rsid w:val="25FC7E3F"/>
    <w:rsid w:val="262B0B7B"/>
    <w:rsid w:val="26600825"/>
    <w:rsid w:val="26667E05"/>
    <w:rsid w:val="26A15F29"/>
    <w:rsid w:val="26DC3C24"/>
    <w:rsid w:val="26EF7DFB"/>
    <w:rsid w:val="27190DCC"/>
    <w:rsid w:val="27984543"/>
    <w:rsid w:val="28151B5C"/>
    <w:rsid w:val="283755B5"/>
    <w:rsid w:val="287C746C"/>
    <w:rsid w:val="288F53F1"/>
    <w:rsid w:val="2920604A"/>
    <w:rsid w:val="292D0604"/>
    <w:rsid w:val="296E1A34"/>
    <w:rsid w:val="2984482A"/>
    <w:rsid w:val="2A094D30"/>
    <w:rsid w:val="2A4B17EC"/>
    <w:rsid w:val="2A581813"/>
    <w:rsid w:val="2A821298"/>
    <w:rsid w:val="2A8F792B"/>
    <w:rsid w:val="2AAA005F"/>
    <w:rsid w:val="2AAA6513"/>
    <w:rsid w:val="2AD43590"/>
    <w:rsid w:val="2BC6067C"/>
    <w:rsid w:val="2C026B5B"/>
    <w:rsid w:val="2C0C0B07"/>
    <w:rsid w:val="2C29552E"/>
    <w:rsid w:val="2C4D7E70"/>
    <w:rsid w:val="2CC16930"/>
    <w:rsid w:val="2D0F4C2F"/>
    <w:rsid w:val="2D1C7470"/>
    <w:rsid w:val="2D4D13D7"/>
    <w:rsid w:val="2E100D83"/>
    <w:rsid w:val="2E1A42A9"/>
    <w:rsid w:val="2E9D638E"/>
    <w:rsid w:val="2ECC0D01"/>
    <w:rsid w:val="2EFC1307"/>
    <w:rsid w:val="2F544C9F"/>
    <w:rsid w:val="30012F74"/>
    <w:rsid w:val="300D4E4E"/>
    <w:rsid w:val="301D3930"/>
    <w:rsid w:val="303F12D2"/>
    <w:rsid w:val="30403475"/>
    <w:rsid w:val="30CB0F91"/>
    <w:rsid w:val="31104BF6"/>
    <w:rsid w:val="3148219C"/>
    <w:rsid w:val="31741628"/>
    <w:rsid w:val="318B7E1F"/>
    <w:rsid w:val="31F91B2E"/>
    <w:rsid w:val="32625925"/>
    <w:rsid w:val="32DD4FAB"/>
    <w:rsid w:val="331E3F49"/>
    <w:rsid w:val="33B51A84"/>
    <w:rsid w:val="345A47B8"/>
    <w:rsid w:val="35132F06"/>
    <w:rsid w:val="35487054"/>
    <w:rsid w:val="35551771"/>
    <w:rsid w:val="355C36F2"/>
    <w:rsid w:val="364A6DFC"/>
    <w:rsid w:val="364F4412"/>
    <w:rsid w:val="368857DA"/>
    <w:rsid w:val="36940077"/>
    <w:rsid w:val="369B31B3"/>
    <w:rsid w:val="375D2B5F"/>
    <w:rsid w:val="37A60062"/>
    <w:rsid w:val="37C30C14"/>
    <w:rsid w:val="388C54AA"/>
    <w:rsid w:val="389D3601"/>
    <w:rsid w:val="390239BE"/>
    <w:rsid w:val="39355B41"/>
    <w:rsid w:val="395121E8"/>
    <w:rsid w:val="39873363"/>
    <w:rsid w:val="39B8209C"/>
    <w:rsid w:val="39C230A0"/>
    <w:rsid w:val="39F71049"/>
    <w:rsid w:val="3A2B7C7D"/>
    <w:rsid w:val="3A3B3B69"/>
    <w:rsid w:val="3A687850"/>
    <w:rsid w:val="3ADC3D9A"/>
    <w:rsid w:val="3AE710BD"/>
    <w:rsid w:val="3AEF1D20"/>
    <w:rsid w:val="3AFD268F"/>
    <w:rsid w:val="3B365BA1"/>
    <w:rsid w:val="3B677E26"/>
    <w:rsid w:val="3B697D24"/>
    <w:rsid w:val="3B6F5ABB"/>
    <w:rsid w:val="3C463BC1"/>
    <w:rsid w:val="3C762309"/>
    <w:rsid w:val="3CBE7BFC"/>
    <w:rsid w:val="3D8F1598"/>
    <w:rsid w:val="3DA52B6A"/>
    <w:rsid w:val="3E410AE4"/>
    <w:rsid w:val="3E5C2DFB"/>
    <w:rsid w:val="3E99447C"/>
    <w:rsid w:val="3F1104B7"/>
    <w:rsid w:val="3FB62E0C"/>
    <w:rsid w:val="40280116"/>
    <w:rsid w:val="402F4409"/>
    <w:rsid w:val="40953369"/>
    <w:rsid w:val="40CD665F"/>
    <w:rsid w:val="40D519B8"/>
    <w:rsid w:val="41432DC5"/>
    <w:rsid w:val="416F7716"/>
    <w:rsid w:val="41780CC1"/>
    <w:rsid w:val="41E719A3"/>
    <w:rsid w:val="42002A64"/>
    <w:rsid w:val="42042555"/>
    <w:rsid w:val="423746D8"/>
    <w:rsid w:val="424075E9"/>
    <w:rsid w:val="42601C37"/>
    <w:rsid w:val="42764AD5"/>
    <w:rsid w:val="42982C9D"/>
    <w:rsid w:val="431E13F4"/>
    <w:rsid w:val="441F5424"/>
    <w:rsid w:val="444460B6"/>
    <w:rsid w:val="462F3918"/>
    <w:rsid w:val="46D36999"/>
    <w:rsid w:val="47460F19"/>
    <w:rsid w:val="476A10AC"/>
    <w:rsid w:val="481608EC"/>
    <w:rsid w:val="482079BC"/>
    <w:rsid w:val="483D40CA"/>
    <w:rsid w:val="48A203D1"/>
    <w:rsid w:val="496B110B"/>
    <w:rsid w:val="49D84C26"/>
    <w:rsid w:val="4A161077"/>
    <w:rsid w:val="4AF31CAD"/>
    <w:rsid w:val="4B5C51AF"/>
    <w:rsid w:val="4B6E4EE3"/>
    <w:rsid w:val="4B7818BD"/>
    <w:rsid w:val="4C327CBE"/>
    <w:rsid w:val="4C4A325A"/>
    <w:rsid w:val="4C8F47D1"/>
    <w:rsid w:val="4CCF030E"/>
    <w:rsid w:val="4D383CAF"/>
    <w:rsid w:val="4D4759EB"/>
    <w:rsid w:val="4D701389"/>
    <w:rsid w:val="4D7560B4"/>
    <w:rsid w:val="4D9604F4"/>
    <w:rsid w:val="4DA30E74"/>
    <w:rsid w:val="4DC94652"/>
    <w:rsid w:val="4DF27705"/>
    <w:rsid w:val="4DFA0CB0"/>
    <w:rsid w:val="4E467A51"/>
    <w:rsid w:val="4F3854C4"/>
    <w:rsid w:val="4FAB04B3"/>
    <w:rsid w:val="4FCB6460"/>
    <w:rsid w:val="51163349"/>
    <w:rsid w:val="51295B34"/>
    <w:rsid w:val="51616E44"/>
    <w:rsid w:val="51764AF1"/>
    <w:rsid w:val="51DB1491"/>
    <w:rsid w:val="524A3FB4"/>
    <w:rsid w:val="52D27B05"/>
    <w:rsid w:val="52F65EE9"/>
    <w:rsid w:val="53AC35AD"/>
    <w:rsid w:val="53BF42ED"/>
    <w:rsid w:val="53CB2ED2"/>
    <w:rsid w:val="544D3552"/>
    <w:rsid w:val="545A4256"/>
    <w:rsid w:val="5490340D"/>
    <w:rsid w:val="556E7441"/>
    <w:rsid w:val="55EF09CE"/>
    <w:rsid w:val="56206DD9"/>
    <w:rsid w:val="56D025AE"/>
    <w:rsid w:val="56EE0D80"/>
    <w:rsid w:val="5785631B"/>
    <w:rsid w:val="583F79EB"/>
    <w:rsid w:val="5859504F"/>
    <w:rsid w:val="58737694"/>
    <w:rsid w:val="58BA1767"/>
    <w:rsid w:val="598F6769"/>
    <w:rsid w:val="5A0D3E42"/>
    <w:rsid w:val="5A302504"/>
    <w:rsid w:val="5A9C7376"/>
    <w:rsid w:val="5B0D2022"/>
    <w:rsid w:val="5B4A138C"/>
    <w:rsid w:val="5B8514C3"/>
    <w:rsid w:val="5C8557DA"/>
    <w:rsid w:val="5CD226D1"/>
    <w:rsid w:val="5CDF179C"/>
    <w:rsid w:val="5D1F470D"/>
    <w:rsid w:val="5D485594"/>
    <w:rsid w:val="5E1E4546"/>
    <w:rsid w:val="5EA7453C"/>
    <w:rsid w:val="60932FCA"/>
    <w:rsid w:val="61016185"/>
    <w:rsid w:val="61167757"/>
    <w:rsid w:val="6118527D"/>
    <w:rsid w:val="613B0C43"/>
    <w:rsid w:val="61AA57FD"/>
    <w:rsid w:val="61C814DA"/>
    <w:rsid w:val="61F31DDA"/>
    <w:rsid w:val="6263278A"/>
    <w:rsid w:val="62DD22DA"/>
    <w:rsid w:val="63424833"/>
    <w:rsid w:val="63495BC1"/>
    <w:rsid w:val="64063AB3"/>
    <w:rsid w:val="641F5294"/>
    <w:rsid w:val="647A17BA"/>
    <w:rsid w:val="64B56841"/>
    <w:rsid w:val="65106F49"/>
    <w:rsid w:val="651641C9"/>
    <w:rsid w:val="65223308"/>
    <w:rsid w:val="65CD2ADA"/>
    <w:rsid w:val="666343BB"/>
    <w:rsid w:val="670A489A"/>
    <w:rsid w:val="673F17B5"/>
    <w:rsid w:val="6759214B"/>
    <w:rsid w:val="67694A84"/>
    <w:rsid w:val="678216A2"/>
    <w:rsid w:val="6809591F"/>
    <w:rsid w:val="68297D70"/>
    <w:rsid w:val="683230C8"/>
    <w:rsid w:val="68BB130F"/>
    <w:rsid w:val="69423360"/>
    <w:rsid w:val="6A1C4030"/>
    <w:rsid w:val="6A5E63F6"/>
    <w:rsid w:val="6A7F6AA5"/>
    <w:rsid w:val="6ACF2E50"/>
    <w:rsid w:val="6B225610"/>
    <w:rsid w:val="6B340F05"/>
    <w:rsid w:val="6B8F25E0"/>
    <w:rsid w:val="6C0E1756"/>
    <w:rsid w:val="6C22511C"/>
    <w:rsid w:val="6C7565F2"/>
    <w:rsid w:val="6CF21078"/>
    <w:rsid w:val="6D522C0E"/>
    <w:rsid w:val="6D6F6D96"/>
    <w:rsid w:val="6DD10C8D"/>
    <w:rsid w:val="6E4E6782"/>
    <w:rsid w:val="6E7206C2"/>
    <w:rsid w:val="6EC16F54"/>
    <w:rsid w:val="6F1420BD"/>
    <w:rsid w:val="6F4B0F13"/>
    <w:rsid w:val="6FB62831"/>
    <w:rsid w:val="6FE32EFA"/>
    <w:rsid w:val="70097799"/>
    <w:rsid w:val="702E0619"/>
    <w:rsid w:val="7036571F"/>
    <w:rsid w:val="70822713"/>
    <w:rsid w:val="70981F36"/>
    <w:rsid w:val="70AB1C6A"/>
    <w:rsid w:val="70CC5AD4"/>
    <w:rsid w:val="70F3716D"/>
    <w:rsid w:val="71891414"/>
    <w:rsid w:val="71970440"/>
    <w:rsid w:val="71CC633B"/>
    <w:rsid w:val="72083438"/>
    <w:rsid w:val="72200435"/>
    <w:rsid w:val="733F2D28"/>
    <w:rsid w:val="73886292"/>
    <w:rsid w:val="73927111"/>
    <w:rsid w:val="739E2E58"/>
    <w:rsid w:val="73AC7DE7"/>
    <w:rsid w:val="74065409"/>
    <w:rsid w:val="744319FF"/>
    <w:rsid w:val="7496678D"/>
    <w:rsid w:val="74A25C1A"/>
    <w:rsid w:val="74CB28DA"/>
    <w:rsid w:val="74FF4533"/>
    <w:rsid w:val="7501454E"/>
    <w:rsid w:val="752C0E9F"/>
    <w:rsid w:val="75566C74"/>
    <w:rsid w:val="75575F1C"/>
    <w:rsid w:val="76CF5F13"/>
    <w:rsid w:val="772D28AD"/>
    <w:rsid w:val="77530965"/>
    <w:rsid w:val="77732652"/>
    <w:rsid w:val="77A03980"/>
    <w:rsid w:val="78054355"/>
    <w:rsid w:val="780620EB"/>
    <w:rsid w:val="78992CEF"/>
    <w:rsid w:val="78F16688"/>
    <w:rsid w:val="791F1447"/>
    <w:rsid w:val="794A5D98"/>
    <w:rsid w:val="79507852"/>
    <w:rsid w:val="7AD1051F"/>
    <w:rsid w:val="7B086D89"/>
    <w:rsid w:val="7BA23C69"/>
    <w:rsid w:val="7BB51BEE"/>
    <w:rsid w:val="7C3C6C20"/>
    <w:rsid w:val="7C7C270C"/>
    <w:rsid w:val="7D012C11"/>
    <w:rsid w:val="7D7E4262"/>
    <w:rsid w:val="7DCC321F"/>
    <w:rsid w:val="7DDD2DFA"/>
    <w:rsid w:val="7E2272E3"/>
    <w:rsid w:val="7E4C610E"/>
    <w:rsid w:val="7E8A583A"/>
    <w:rsid w:val="7F474413"/>
    <w:rsid w:val="7F8B3C47"/>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b/>
      <w:bCs/>
      <w:sz w:val="44"/>
      <w:szCs w:val="32"/>
    </w:rPr>
  </w:style>
  <w:style w:type="paragraph" w:styleId="4">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cstheme="minorBidi"/>
      <w:snapToGrid/>
      <w:color w:val="auto"/>
      <w:kern w:val="2"/>
      <w:szCs w:val="22"/>
    </w:rPr>
  </w:style>
  <w:style w:type="paragraph" w:styleId="5">
    <w:name w:val="annotation text"/>
    <w:basedOn w:val="1"/>
    <w:semiHidden/>
    <w:unhideWhenUsed/>
    <w:qFormat/>
    <w:uiPriority w:val="99"/>
    <w:pPr>
      <w:jc w:val="left"/>
    </w:pPr>
  </w:style>
  <w:style w:type="paragraph" w:styleId="6">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cstheme="minorBidi"/>
      <w:snapToGrid/>
      <w:color w:val="auto"/>
      <w:kern w:val="2"/>
      <w:szCs w:val="22"/>
    </w:r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cstheme="minorBidi"/>
      <w:snapToGrid/>
      <w:color w:val="auto"/>
      <w:kern w:val="2"/>
      <w:szCs w:val="22"/>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cstheme="minorBidi"/>
      <w:snapToGrid/>
      <w:color w:val="auto"/>
      <w:kern w:val="2"/>
      <w:szCs w:val="22"/>
    </w:rPr>
  </w:style>
  <w:style w:type="paragraph" w:styleId="14">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cstheme="minorBidi"/>
      <w:snapToGrid/>
      <w:color w:val="auto"/>
      <w:kern w:val="2"/>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cstheme="minorBidi"/>
      <w:snapToGrid/>
      <w:color w:val="auto"/>
      <w:kern w:val="2"/>
      <w:szCs w:val="22"/>
    </w:rPr>
  </w:style>
  <w:style w:type="paragraph" w:styleId="17">
    <w:name w:val="Normal (Web)"/>
    <w:basedOn w:val="1"/>
    <w:qFormat/>
    <w:uiPriority w:val="0"/>
    <w:pPr>
      <w:kinsoku/>
      <w:autoSpaceDE/>
      <w:autoSpaceDN/>
      <w:adjustRightInd/>
      <w:snapToGrid/>
      <w:spacing w:before="100" w:beforeAutospacing="1" w:after="100" w:afterAutospacing="1"/>
      <w:textAlignment w:val="auto"/>
    </w:pPr>
    <w:rPr>
      <w:rFonts w:ascii="Times New Roman" w:hAnsi="Times New Roman" w:eastAsia="宋体" w:cs="Times New Roman"/>
      <w:snapToGrid/>
      <w:color w:val="auto"/>
      <w:sz w:val="24"/>
      <w:szCs w:val="24"/>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页眉 字符"/>
    <w:basedOn w:val="19"/>
    <w:link w:val="11"/>
    <w:qFormat/>
    <w:uiPriority w:val="99"/>
    <w:rPr>
      <w:sz w:val="18"/>
      <w:szCs w:val="18"/>
    </w:rPr>
  </w:style>
  <w:style w:type="character" w:customStyle="1" w:styleId="23">
    <w:name w:val="页脚 字符"/>
    <w:basedOn w:val="19"/>
    <w:link w:val="10"/>
    <w:qFormat/>
    <w:uiPriority w:val="99"/>
    <w:rPr>
      <w:sz w:val="18"/>
      <w:szCs w:val="18"/>
    </w:rPr>
  </w:style>
  <w:style w:type="character" w:customStyle="1" w:styleId="24">
    <w:name w:val="批注框文本 字符"/>
    <w:basedOn w:val="19"/>
    <w:link w:val="9"/>
    <w:semiHidden/>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1 字符"/>
    <w:basedOn w:val="19"/>
    <w:link w:val="3"/>
    <w:qFormat/>
    <w:uiPriority w:val="9"/>
    <w:rPr>
      <w:b/>
      <w:bCs/>
      <w:kern w:val="44"/>
      <w:sz w:val="44"/>
      <w:szCs w:val="44"/>
    </w:rPr>
  </w:style>
  <w:style w:type="paragraph" w:customStyle="1" w:styleId="27">
    <w:name w:val="TOC 标题1"/>
    <w:basedOn w:val="3"/>
    <w:next w:val="1"/>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rPr>
  </w:style>
  <w:style w:type="character" w:styleId="28">
    <w:name w:val="Placeholder Text"/>
    <w:basedOn w:val="19"/>
    <w:semiHidden/>
    <w:qFormat/>
    <w:uiPriority w:val="99"/>
    <w:rPr>
      <w:color w:val="808080"/>
    </w:rPr>
  </w:style>
  <w:style w:type="paragraph" w:customStyle="1" w:styleId="29">
    <w:name w:val="二级标题"/>
    <w:basedOn w:val="1"/>
    <w:link w:val="31"/>
    <w:qFormat/>
    <w:uiPriority w:val="0"/>
    <w:pPr>
      <w:numPr>
        <w:ilvl w:val="0"/>
        <w:numId w:val="1"/>
      </w:numPr>
      <w:spacing w:line="480" w:lineRule="exact"/>
      <w:ind w:firstLine="200" w:firstLineChars="200"/>
      <w:outlineLvl w:val="1"/>
    </w:pPr>
    <w:rPr>
      <w:rFonts w:hint="eastAsia" w:ascii="宋体" w:hAnsi="宋体" w:eastAsia="宋体" w:cs="宋体"/>
      <w:spacing w:val="2"/>
      <w:sz w:val="24"/>
      <w:szCs w:val="24"/>
    </w:rPr>
  </w:style>
  <w:style w:type="paragraph" w:customStyle="1" w:styleId="30">
    <w:name w:val="一级标题"/>
    <w:basedOn w:val="1"/>
    <w:qFormat/>
    <w:uiPriority w:val="0"/>
    <w:pPr>
      <w:numPr>
        <w:ilvl w:val="0"/>
        <w:numId w:val="2"/>
      </w:numPr>
      <w:spacing w:line="480" w:lineRule="exact"/>
      <w:outlineLvl w:val="0"/>
    </w:pPr>
    <w:rPr>
      <w:rFonts w:hint="eastAsia" w:ascii="宋体" w:hAnsi="宋体" w:eastAsia="宋体" w:cs="宋体"/>
      <w:b/>
      <w:bCs/>
      <w:spacing w:val="2"/>
      <w:sz w:val="28"/>
      <w:szCs w:val="28"/>
    </w:rPr>
  </w:style>
  <w:style w:type="character" w:customStyle="1" w:styleId="31">
    <w:name w:val="二级标题 Char"/>
    <w:link w:val="29"/>
    <w:qFormat/>
    <w:uiPriority w:val="0"/>
    <w:rPr>
      <w:rFonts w:hint="eastAsia" w:ascii="宋体" w:hAnsi="宋体" w:eastAsia="宋体" w:cs="宋体"/>
      <w:spacing w:val="2"/>
      <w:sz w:val="24"/>
      <w:szCs w:val="24"/>
    </w:rPr>
  </w:style>
  <w:style w:type="paragraph" w:customStyle="1" w:styleId="32">
    <w:name w:val="正文呀"/>
    <w:basedOn w:val="1"/>
    <w:link w:val="33"/>
    <w:qFormat/>
    <w:uiPriority w:val="0"/>
    <w:pPr>
      <w:spacing w:line="480" w:lineRule="atLeast"/>
      <w:ind w:firstLine="420" w:firstLineChars="200"/>
    </w:pPr>
    <w:rPr>
      <w:rFonts w:hint="eastAsia" w:ascii="宋体" w:hAnsi="宋体" w:eastAsia="宋体" w:cs="宋体"/>
      <w:spacing w:val="20"/>
      <w:sz w:val="24"/>
      <w:szCs w:val="23"/>
    </w:rPr>
  </w:style>
  <w:style w:type="character" w:customStyle="1" w:styleId="33">
    <w:name w:val="正文呀 Char"/>
    <w:link w:val="32"/>
    <w:qFormat/>
    <w:uiPriority w:val="0"/>
    <w:rPr>
      <w:rFonts w:hint="eastAsia" w:ascii="宋体" w:hAnsi="宋体" w:eastAsia="宋体" w:cs="宋体"/>
      <w:spacing w:val="20"/>
      <w:sz w:val="24"/>
      <w:szCs w:val="23"/>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5"/>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48CCE-2FAF-49C2-8578-779D25EB0E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7885</Words>
  <Characters>8954</Characters>
  <Lines>1222</Lines>
  <Paragraphs>1227</Paragraphs>
  <TotalTime>1</TotalTime>
  <ScaleCrop>false</ScaleCrop>
  <LinksUpToDate>false</LinksUpToDate>
  <CharactersWithSpaces>9100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2022-11-10T14:40:00Z</dcterms:created>
  <dc:creator>Administrator</dc:creator>
  <cp:lastModifiedBy>李威</cp:lastModifiedBy>
  <cp:lastPrinted>2025-06-25T02:18:00Z</cp:lastPrinted>
  <dcterms:modified xsi:type="dcterms:W3CDTF">2025-06-26T04:23:32Z</dcterms:modified>
  <dc:title>Administrator</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2023-06-16T09:41:00Z</vt:filetime>
  </property>
  <property fmtid="{D5CDD505-2E9C-101B-9397-08002B2CF9AE}" pid="4" name="KSOProductBuildVer">
    <vt:lpwstr>2052-12.1.0.21915</vt:lpwstr>
  </property>
  <property fmtid="{D5CDD505-2E9C-101B-9397-08002B2CF9AE}" pid="5" name="ICV">
    <vt:lpwstr>EFD7CF61BB6A4827840AB361674EDC48_12</vt:lpwstr>
  </property>
  <property fmtid="{D5CDD505-2E9C-101B-9397-08002B2CF9AE}" pid="6" name="KSOTemplateDocerSaveRecord">
    <vt:lpwstr>eyJoZGlkIjoiZThiODZjMzU1MjA1ZTE2NjI3ZDI1ZTk5OWE4MjVlNmMiLCJ1c2VySWQiOiI0OTk5MTQ5MTgifQ==</vt:lpwstr>
  </property>
</Properties>
</file>