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color w:val="000000" w:themeColor="text1"/>
          <w:sz w:val="44"/>
          <w:szCs w:val="4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highlight w:val="none"/>
          <w14:textFill>
            <w14:solidFill>
              <w14:schemeClr w14:val="tx1"/>
            </w14:solidFill>
          </w14:textFill>
        </w:rPr>
        <w:t>中韩（长春）国际合作示范区</w:t>
      </w:r>
      <w:r>
        <w:rPr>
          <w:rFonts w:hint="eastAsia" w:ascii="方正小标宋_GBK" w:hAnsi="方正小标宋_GBK" w:eastAsia="方正小标宋_GBK" w:cs="方正小标宋_GBK"/>
          <w:b w:val="0"/>
          <w:bCs w:val="0"/>
          <w:color w:val="000000" w:themeColor="text1"/>
          <w:sz w:val="44"/>
          <w:szCs w:val="44"/>
          <w:highlight w:val="none"/>
          <w:lang w:val="en-US" w:eastAsia="zh-CN"/>
          <w14:textFill>
            <w14:solidFill>
              <w14:schemeClr w14:val="tx1"/>
            </w14:solidFill>
          </w14:textFill>
        </w:rPr>
        <w:t>关于</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202</w:t>
      </w:r>
      <w:r>
        <w:rPr>
          <w:rFonts w:hint="eastAsia" w:ascii="方正小标宋_GBK" w:hAnsi="方正小标宋_GBK" w:eastAsia="方正小标宋_GBK" w:cs="方正小标宋_GBK"/>
          <w:b w:val="0"/>
          <w:bCs w:val="0"/>
          <w:sz w:val="44"/>
          <w:szCs w:val="44"/>
          <w:lang w:val="en-US" w:eastAsia="zh-CN"/>
        </w:rPr>
        <w:t>5</w:t>
      </w:r>
      <w:r>
        <w:rPr>
          <w:rFonts w:hint="eastAsia" w:ascii="方正小标宋_GBK" w:hAnsi="方正小标宋_GBK" w:eastAsia="方正小标宋_GBK" w:cs="方正小标宋_GBK"/>
          <w:b w:val="0"/>
          <w:bCs w:val="0"/>
          <w:sz w:val="44"/>
          <w:szCs w:val="44"/>
        </w:rPr>
        <w:t>年</w:t>
      </w:r>
      <w:r>
        <w:rPr>
          <w:rFonts w:hint="eastAsia" w:ascii="方正小标宋_GBK" w:hAnsi="方正小标宋_GBK" w:eastAsia="方正小标宋_GBK" w:cs="方正小标宋_GBK"/>
          <w:b w:val="0"/>
          <w:bCs w:val="0"/>
          <w:sz w:val="44"/>
          <w:szCs w:val="44"/>
          <w:lang w:val="en-US" w:eastAsia="zh-CN"/>
        </w:rPr>
        <w:t>财政决算</w:t>
      </w:r>
      <w:r>
        <w:rPr>
          <w:rFonts w:hint="eastAsia" w:ascii="方正小标宋_GBK" w:hAnsi="方正小标宋_GBK" w:eastAsia="方正小标宋_GBK" w:cs="方正小标宋_GBK"/>
          <w:b w:val="0"/>
          <w:bCs w:val="0"/>
          <w:sz w:val="44"/>
          <w:szCs w:val="44"/>
        </w:rPr>
        <w:t>的报告</w:t>
      </w:r>
    </w:p>
    <w:p>
      <w:pPr>
        <w:keepNext w:val="0"/>
        <w:keepLines w:val="0"/>
        <w:pageBreakBefore w:val="0"/>
        <w:widowControl w:val="0"/>
        <w:kinsoku/>
        <w:wordWrap/>
        <w:overflowPunct/>
        <w:topLinePunct w:val="0"/>
        <w:autoSpaceDE/>
        <w:autoSpaceDN/>
        <w:bidi w:val="0"/>
        <w:adjustRightInd/>
        <w:snapToGrid/>
        <w:spacing w:line="520" w:lineRule="exact"/>
        <w:textAlignment w:val="auto"/>
        <w:rPr>
          <w:color w:val="FF0000"/>
          <w:sz w:val="44"/>
          <w:szCs w:val="44"/>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color w:val="auto"/>
          <w:sz w:val="32"/>
          <w:szCs w:val="40"/>
          <w:highlight w:val="none"/>
        </w:rPr>
      </w:pPr>
      <w:r>
        <w:rPr>
          <w:rFonts w:hint="eastAsia" w:ascii="仿宋" w:hAnsi="仿宋" w:eastAsia="仿宋" w:cs="仿宋"/>
          <w:color w:val="auto"/>
          <w:sz w:val="32"/>
          <w:szCs w:val="40"/>
          <w:highlight w:val="none"/>
        </w:rPr>
        <w:t>现将中韩（长春）国际合作示范区（以下</w:t>
      </w:r>
      <w:r>
        <w:rPr>
          <w:rFonts w:hint="eastAsia" w:ascii="仿宋" w:hAnsi="仿宋" w:eastAsia="仿宋" w:cs="仿宋"/>
          <w:color w:val="auto"/>
          <w:sz w:val="32"/>
          <w:szCs w:val="40"/>
          <w:highlight w:val="none"/>
          <w:lang w:val="en-US" w:eastAsia="zh-CN"/>
        </w:rPr>
        <w:t>简</w:t>
      </w:r>
      <w:r>
        <w:rPr>
          <w:rFonts w:hint="eastAsia" w:ascii="仿宋" w:hAnsi="仿宋" w:eastAsia="仿宋" w:cs="仿宋"/>
          <w:color w:val="auto"/>
          <w:sz w:val="32"/>
          <w:szCs w:val="40"/>
          <w:highlight w:val="none"/>
        </w:rPr>
        <w:t>称“示范区”）的</w:t>
      </w:r>
      <w:r>
        <w:rPr>
          <w:rFonts w:hint="eastAsia" w:ascii="仿宋" w:hAnsi="仿宋" w:eastAsia="仿宋" w:cs="仿宋"/>
          <w:color w:val="auto"/>
          <w:sz w:val="32"/>
          <w:szCs w:val="40"/>
          <w:highlight w:val="none"/>
          <w:lang w:eastAsia="zh-CN"/>
        </w:rPr>
        <w:t>202</w:t>
      </w:r>
      <w:r>
        <w:rPr>
          <w:rFonts w:hint="eastAsia" w:ascii="仿宋" w:hAnsi="仿宋" w:eastAsia="仿宋" w:cs="仿宋"/>
          <w:color w:val="auto"/>
          <w:sz w:val="32"/>
          <w:szCs w:val="40"/>
          <w:highlight w:val="none"/>
          <w:lang w:val="en-US" w:eastAsia="zh-CN"/>
        </w:rPr>
        <w:t>5</w:t>
      </w:r>
      <w:r>
        <w:rPr>
          <w:rFonts w:hint="eastAsia" w:ascii="仿宋" w:hAnsi="仿宋" w:eastAsia="仿宋" w:cs="仿宋"/>
          <w:color w:val="auto"/>
          <w:sz w:val="32"/>
          <w:szCs w:val="40"/>
          <w:highlight w:val="none"/>
        </w:rPr>
        <w:t>年</w:t>
      </w:r>
      <w:r>
        <w:rPr>
          <w:rFonts w:hint="eastAsia" w:ascii="仿宋" w:hAnsi="仿宋" w:eastAsia="仿宋" w:cs="仿宋"/>
          <w:color w:val="auto"/>
          <w:sz w:val="32"/>
          <w:szCs w:val="40"/>
          <w:highlight w:val="none"/>
          <w:lang w:val="en-US" w:eastAsia="zh-CN"/>
        </w:rPr>
        <w:t>财政</w:t>
      </w:r>
      <w:r>
        <w:rPr>
          <w:rFonts w:hint="eastAsia" w:ascii="仿宋" w:hAnsi="仿宋" w:eastAsia="仿宋" w:cs="仿宋"/>
          <w:color w:val="auto"/>
          <w:sz w:val="32"/>
          <w:szCs w:val="40"/>
          <w:highlight w:val="none"/>
        </w:rPr>
        <w:t>决算情况</w:t>
      </w:r>
      <w:r>
        <w:rPr>
          <w:rFonts w:hint="eastAsia" w:ascii="仿宋" w:hAnsi="仿宋" w:eastAsia="仿宋" w:cs="仿宋"/>
          <w:color w:val="auto"/>
          <w:sz w:val="32"/>
          <w:szCs w:val="40"/>
          <w:highlight w:val="none"/>
          <w:lang w:val="en-US" w:eastAsia="zh-CN"/>
        </w:rPr>
        <w:t>汇报如下</w:t>
      </w:r>
      <w:r>
        <w:rPr>
          <w:rFonts w:hint="eastAsia" w:ascii="仿宋" w:hAnsi="仿宋" w:eastAsia="仿宋" w:cs="仿宋"/>
          <w:color w:val="auto"/>
          <w:sz w:val="32"/>
          <w:szCs w:val="40"/>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ascii="仿宋" w:hAnsi="仿宋" w:eastAsia="仿宋" w:cs="仿宋"/>
          <w:b/>
          <w:bCs/>
          <w:color w:val="auto"/>
          <w:sz w:val="32"/>
          <w:szCs w:val="40"/>
          <w:highlight w:val="none"/>
        </w:rPr>
      </w:pPr>
      <w:r>
        <w:rPr>
          <w:rFonts w:hint="eastAsia" w:ascii="仿宋" w:hAnsi="仿宋" w:eastAsia="仿宋" w:cs="仿宋"/>
          <w:b/>
          <w:bCs/>
          <w:color w:val="auto"/>
          <w:sz w:val="32"/>
          <w:szCs w:val="40"/>
          <w:highlight w:val="none"/>
          <w:lang w:val="en-US" w:eastAsia="zh-CN"/>
        </w:rPr>
        <w:t>一、</w:t>
      </w:r>
      <w:r>
        <w:rPr>
          <w:rFonts w:hint="eastAsia" w:ascii="仿宋" w:hAnsi="仿宋" w:eastAsia="仿宋" w:cs="仿宋"/>
          <w:b/>
          <w:bCs/>
          <w:color w:val="auto"/>
          <w:sz w:val="32"/>
          <w:szCs w:val="40"/>
          <w:highlight w:val="none"/>
        </w:rPr>
        <w:t>示范区概况</w:t>
      </w:r>
    </w:p>
    <w:p>
      <w:pPr>
        <w:widowControl w:val="0"/>
        <w:autoSpaceDE/>
        <w:autoSpaceDN/>
        <w:snapToGrid/>
        <w:spacing w:beforeLines="0" w:afterLines="0" w:line="560" w:lineRule="exact"/>
        <w:ind w:left="317" w:leftChars="151" w:firstLine="154" w:firstLineChars="48"/>
        <w:textAlignment w:val="auto"/>
        <w:rPr>
          <w:rFonts w:hint="eastAsia" w:ascii="仿宋" w:hAnsi="仿宋" w:eastAsia="仿宋" w:cs="仿宋"/>
          <w:b/>
          <w:sz w:val="32"/>
          <w:szCs w:val="32"/>
        </w:rPr>
      </w:pPr>
      <w:r>
        <w:rPr>
          <w:rFonts w:hint="eastAsia" w:ascii="仿宋" w:hAnsi="仿宋" w:eastAsia="仿宋" w:cs="仿宋"/>
          <w:b/>
          <w:sz w:val="32"/>
          <w:szCs w:val="32"/>
        </w:rPr>
        <w:t>（一）基本情况</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2020年4月21日，国务院批复同意设立中韩（长春）国际合作示范区总体方案（国函[2020]45号），</w:t>
      </w:r>
      <w:r>
        <w:rPr>
          <w:rFonts w:hint="eastAsia" w:ascii="仿宋" w:hAnsi="仿宋" w:eastAsia="仿宋" w:cs="仿宋"/>
          <w:sz w:val="32"/>
          <w:szCs w:val="40"/>
          <w:lang w:eastAsia="zh-CN"/>
        </w:rPr>
        <w:t>示范区</w:t>
      </w:r>
      <w:r>
        <w:rPr>
          <w:rFonts w:hint="eastAsia" w:ascii="仿宋" w:hAnsi="仿宋" w:eastAsia="仿宋" w:cs="仿宋"/>
          <w:sz w:val="32"/>
          <w:szCs w:val="40"/>
        </w:rPr>
        <w:t>同年6月29日揭牌正式成立。示范区的设立，是深入贯彻落实习近平总书记关于东北振兴工作重要指示精神的重大举措，是深度融入共建“一带一路”、打造东北亚区域开发合作新格局的重大行动，是实施“三个五”发展战略、推动中部创新转型核心区建设的重要步骤，是加快长春现代化都市圈发展、推动长吉长平一体化、提升在哈大城市群中地位作用的重要支撑。</w:t>
      </w:r>
    </w:p>
    <w:p>
      <w:pPr>
        <w:widowControl w:val="0"/>
        <w:autoSpaceDE/>
        <w:autoSpaceDN/>
        <w:snapToGrid/>
        <w:spacing w:beforeLines="0" w:afterLines="0" w:line="560" w:lineRule="exact"/>
        <w:ind w:firstLine="640" w:firstLineChars="200"/>
        <w:textAlignment w:val="auto"/>
        <w:rPr>
          <w:rFonts w:hint="eastAsia" w:ascii="仿宋" w:hAnsi="仿宋" w:eastAsia="仿宋" w:cs="仿宋"/>
          <w:sz w:val="32"/>
          <w:szCs w:val="40"/>
          <w:lang w:eastAsia="zh-CN"/>
        </w:rPr>
      </w:pPr>
      <w:r>
        <w:rPr>
          <w:rFonts w:hint="eastAsia" w:ascii="仿宋" w:hAnsi="仿宋" w:eastAsia="仿宋" w:cs="仿宋"/>
          <w:sz w:val="32"/>
          <w:szCs w:val="40"/>
        </w:rPr>
        <w:t>示范区位于长春市</w:t>
      </w:r>
      <w:r>
        <w:rPr>
          <w:rFonts w:hint="eastAsia" w:ascii="仿宋" w:hAnsi="仿宋" w:eastAsia="仿宋" w:cs="仿宋"/>
          <w:sz w:val="32"/>
          <w:szCs w:val="40"/>
          <w:lang w:eastAsia="zh-CN"/>
        </w:rPr>
        <w:t>，</w:t>
      </w:r>
      <w:r>
        <w:rPr>
          <w:rFonts w:hint="eastAsia" w:ascii="仿宋" w:hAnsi="仿宋" w:eastAsia="仿宋" w:cs="仿宋"/>
          <w:sz w:val="32"/>
          <w:szCs w:val="40"/>
        </w:rPr>
        <w:t>地处东北亚区域地理中心，东联韩日朝，西通俄蒙，至韩国首都首尔直线距离 700公里，经吉林省珲春市可通达日本海沿岸港口，经辽宁省丹东市可通达韩国东西海岸主要城市，是中蒙俄经济走廊和图们江区域合作开发的重要节点，也是东北亚各国合作的重要区域。示范区批复面积210平方公里，管辖面积</w:t>
      </w:r>
      <w:r>
        <w:rPr>
          <w:rFonts w:hint="eastAsia" w:ascii="仿宋" w:hAnsi="仿宋" w:eastAsia="仿宋" w:cs="仿宋"/>
          <w:sz w:val="32"/>
          <w:szCs w:val="40"/>
          <w:lang w:eastAsia="zh-CN"/>
        </w:rPr>
        <w:t>146</w:t>
      </w:r>
      <w:r>
        <w:rPr>
          <w:rFonts w:hint="eastAsia" w:ascii="仿宋" w:hAnsi="仿宋" w:eastAsia="仿宋" w:cs="仿宋"/>
          <w:sz w:val="32"/>
          <w:szCs w:val="40"/>
        </w:rPr>
        <w:t>平方公里，包括原</w:t>
      </w:r>
      <w:r>
        <w:rPr>
          <w:rFonts w:hint="eastAsia" w:ascii="仿宋" w:hAnsi="仿宋" w:eastAsia="仿宋" w:cs="仿宋"/>
          <w:sz w:val="32"/>
          <w:szCs w:val="40"/>
          <w:lang w:eastAsia="zh-CN"/>
        </w:rPr>
        <w:t>中韩示范区</w:t>
      </w:r>
      <w:r>
        <w:rPr>
          <w:rFonts w:hint="eastAsia" w:ascii="仿宋" w:hAnsi="仿宋" w:eastAsia="仿宋" w:cs="仿宋"/>
          <w:sz w:val="32"/>
          <w:szCs w:val="40"/>
        </w:rPr>
        <w:t>内的长德开发区全域和北湖开发区部分区域组成，示范区现下辖1个街道办事处，2个社区，1</w:t>
      </w:r>
      <w:r>
        <w:rPr>
          <w:rFonts w:hint="eastAsia" w:ascii="仿宋" w:hAnsi="仿宋" w:eastAsia="仿宋" w:cs="仿宋"/>
          <w:sz w:val="32"/>
          <w:szCs w:val="40"/>
          <w:lang w:eastAsia="zh-CN"/>
        </w:rPr>
        <w:t>2</w:t>
      </w:r>
      <w:r>
        <w:rPr>
          <w:rFonts w:hint="eastAsia" w:ascii="仿宋" w:hAnsi="仿宋" w:eastAsia="仿宋" w:cs="仿宋"/>
          <w:sz w:val="32"/>
          <w:szCs w:val="40"/>
        </w:rPr>
        <w:t>个行政村，现有财政供养人员</w:t>
      </w:r>
      <w:r>
        <w:rPr>
          <w:rFonts w:hint="eastAsia" w:ascii="仿宋" w:hAnsi="仿宋" w:eastAsia="仿宋" w:cs="仿宋"/>
          <w:sz w:val="32"/>
          <w:szCs w:val="40"/>
          <w:lang w:eastAsia="zh-CN"/>
        </w:rPr>
        <w:t>722</w:t>
      </w:r>
      <w:r>
        <w:rPr>
          <w:rFonts w:hint="eastAsia" w:ascii="仿宋" w:hAnsi="仿宋" w:eastAsia="仿宋" w:cs="仿宋"/>
          <w:sz w:val="32"/>
          <w:szCs w:val="40"/>
        </w:rPr>
        <w:t>人，其中</w:t>
      </w:r>
      <w:r>
        <w:rPr>
          <w:rFonts w:hint="eastAsia" w:ascii="仿宋" w:hAnsi="仿宋" w:eastAsia="仿宋" w:cs="仿宋"/>
          <w:sz w:val="32"/>
          <w:szCs w:val="40"/>
          <w:lang w:eastAsia="zh-CN"/>
        </w:rPr>
        <w:t>在职578</w:t>
      </w:r>
      <w:r>
        <w:rPr>
          <w:rFonts w:hint="eastAsia" w:ascii="仿宋" w:hAnsi="仿宋" w:eastAsia="仿宋" w:cs="仿宋"/>
          <w:sz w:val="32"/>
          <w:szCs w:val="40"/>
        </w:rPr>
        <w:t>人，</w:t>
      </w:r>
      <w:r>
        <w:rPr>
          <w:rFonts w:hint="eastAsia" w:ascii="仿宋" w:hAnsi="仿宋" w:eastAsia="仿宋" w:cs="仿宋"/>
          <w:sz w:val="32"/>
          <w:szCs w:val="40"/>
          <w:lang w:eastAsia="zh-CN"/>
        </w:rPr>
        <w:t>退休144</w:t>
      </w:r>
      <w:r>
        <w:rPr>
          <w:rFonts w:hint="eastAsia" w:ascii="仿宋" w:hAnsi="仿宋" w:eastAsia="仿宋" w:cs="仿宋"/>
          <w:sz w:val="32"/>
          <w:szCs w:val="40"/>
        </w:rPr>
        <w:t>人</w:t>
      </w:r>
      <w:r>
        <w:rPr>
          <w:rFonts w:hint="eastAsia" w:ascii="仿宋" w:hAnsi="仿宋" w:eastAsia="仿宋" w:cs="仿宋"/>
          <w:sz w:val="32"/>
          <w:szCs w:val="40"/>
          <w:lang w:eastAsia="zh-CN"/>
        </w:rPr>
        <w:t>，常住人口3.2万。</w:t>
      </w:r>
    </w:p>
    <w:p>
      <w:pPr>
        <w:widowControl w:val="0"/>
        <w:autoSpaceDE/>
        <w:autoSpaceDN/>
        <w:snapToGrid/>
        <w:spacing w:beforeLines="0" w:afterLines="0" w:line="560" w:lineRule="exact"/>
        <w:ind w:left="317" w:leftChars="151" w:firstLine="154" w:firstLineChars="48"/>
        <w:textAlignment w:val="auto"/>
        <w:rPr>
          <w:rFonts w:hint="eastAsia" w:ascii="仿宋" w:hAnsi="仿宋" w:eastAsia="仿宋" w:cs="仿宋"/>
          <w:b/>
          <w:sz w:val="32"/>
          <w:szCs w:val="32"/>
        </w:rPr>
      </w:pPr>
      <w:r>
        <w:rPr>
          <w:rFonts w:hint="eastAsia" w:ascii="仿宋" w:hAnsi="仿宋" w:eastAsia="仿宋" w:cs="仿宋"/>
          <w:b/>
          <w:sz w:val="32"/>
          <w:szCs w:val="32"/>
        </w:rPr>
        <w:t>（二）财政管理体制及预算管理模式</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示范区作为</w:t>
      </w:r>
      <w:r>
        <w:rPr>
          <w:rFonts w:hint="eastAsia" w:ascii="仿宋" w:hAnsi="仿宋" w:eastAsia="仿宋" w:cs="仿宋"/>
          <w:sz w:val="32"/>
          <w:szCs w:val="40"/>
          <w:lang w:eastAsia="zh-CN"/>
        </w:rPr>
        <w:t>吉林省委、</w:t>
      </w:r>
      <w:r>
        <w:rPr>
          <w:rFonts w:hint="eastAsia" w:ascii="仿宋" w:hAnsi="仿宋" w:eastAsia="仿宋" w:cs="仿宋"/>
          <w:sz w:val="32"/>
          <w:szCs w:val="40"/>
        </w:rPr>
        <w:t>省</w:t>
      </w:r>
      <w:r>
        <w:rPr>
          <w:rFonts w:hint="eastAsia" w:ascii="仿宋" w:hAnsi="仿宋" w:eastAsia="仿宋" w:cs="仿宋"/>
          <w:sz w:val="32"/>
          <w:szCs w:val="40"/>
          <w:lang w:eastAsia="zh-CN"/>
        </w:rPr>
        <w:t>政府</w:t>
      </w:r>
      <w:r>
        <w:rPr>
          <w:rFonts w:hint="eastAsia" w:ascii="仿宋" w:hAnsi="仿宋" w:eastAsia="仿宋" w:cs="仿宋"/>
          <w:sz w:val="32"/>
          <w:szCs w:val="40"/>
        </w:rPr>
        <w:t>派驻机构</w:t>
      </w:r>
      <w:r>
        <w:rPr>
          <w:rFonts w:hint="eastAsia" w:ascii="仿宋" w:hAnsi="仿宋" w:eastAsia="仿宋" w:cs="仿宋"/>
          <w:sz w:val="32"/>
          <w:szCs w:val="40"/>
          <w:lang w:eastAsia="zh-CN"/>
        </w:rPr>
        <w:t>，委托</w:t>
      </w:r>
      <w:r>
        <w:rPr>
          <w:rFonts w:hint="eastAsia" w:ascii="仿宋" w:hAnsi="仿宋" w:eastAsia="仿宋" w:cs="仿宋"/>
          <w:sz w:val="32"/>
          <w:szCs w:val="40"/>
        </w:rPr>
        <w:t>长春市代管，设立一级财政管理体制，实行独立核算，单独编制预算，纳入市本级财政预算管理。</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lang w:eastAsia="zh-CN"/>
        </w:rPr>
        <w:t>（1）</w:t>
      </w:r>
      <w:r>
        <w:rPr>
          <w:rFonts w:hint="eastAsia" w:ascii="仿宋" w:hAnsi="仿宋" w:eastAsia="仿宋" w:cs="仿宋"/>
          <w:sz w:val="32"/>
          <w:szCs w:val="40"/>
        </w:rPr>
        <w:t>财政收入。按照税收属地化管理的原则，税收收入</w:t>
      </w:r>
      <w:r>
        <w:rPr>
          <w:rFonts w:hint="eastAsia" w:ascii="仿宋" w:hAnsi="仿宋" w:eastAsia="仿宋" w:cs="仿宋"/>
          <w:sz w:val="32"/>
          <w:szCs w:val="40"/>
          <w:lang w:eastAsia="zh-CN"/>
        </w:rPr>
        <w:t>、非税</w:t>
      </w:r>
      <w:r>
        <w:rPr>
          <w:rFonts w:hint="eastAsia" w:ascii="仿宋" w:hAnsi="仿宋" w:eastAsia="仿宋" w:cs="仿宋"/>
          <w:sz w:val="32"/>
          <w:szCs w:val="40"/>
        </w:rPr>
        <w:t>收入，由</w:t>
      </w:r>
      <w:r>
        <w:rPr>
          <w:rFonts w:hint="eastAsia" w:ascii="仿宋" w:hAnsi="仿宋" w:eastAsia="仿宋" w:cs="仿宋"/>
          <w:sz w:val="32"/>
          <w:szCs w:val="40"/>
          <w:lang w:eastAsia="zh-CN"/>
        </w:rPr>
        <w:t>长春新区税务</w:t>
      </w:r>
      <w:r>
        <w:rPr>
          <w:rFonts w:hint="eastAsia" w:ascii="仿宋" w:hAnsi="仿宋" w:eastAsia="仿宋" w:cs="仿宋"/>
          <w:sz w:val="32"/>
          <w:szCs w:val="40"/>
        </w:rPr>
        <w:t>机关</w:t>
      </w:r>
      <w:r>
        <w:rPr>
          <w:rFonts w:hint="eastAsia" w:ascii="仿宋" w:hAnsi="仿宋" w:eastAsia="仿宋" w:cs="仿宋"/>
          <w:sz w:val="32"/>
          <w:szCs w:val="40"/>
          <w:lang w:eastAsia="zh-CN"/>
        </w:rPr>
        <w:t>代为负责</w:t>
      </w:r>
      <w:r>
        <w:rPr>
          <w:rFonts w:hint="eastAsia" w:ascii="仿宋" w:hAnsi="仿宋" w:eastAsia="仿宋" w:cs="仿宋"/>
          <w:sz w:val="32"/>
          <w:szCs w:val="40"/>
        </w:rPr>
        <w:t>征入示范区国家金库。</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lang w:eastAsia="zh-CN"/>
        </w:rPr>
        <w:t>（2）</w:t>
      </w:r>
      <w:r>
        <w:rPr>
          <w:rFonts w:hint="eastAsia" w:ascii="仿宋" w:hAnsi="仿宋" w:eastAsia="仿宋" w:cs="仿宋"/>
          <w:sz w:val="32"/>
          <w:szCs w:val="40"/>
        </w:rPr>
        <w:t>财政支出。按照财权与事权相统一的原则，根据确定的事权范围，承担相应支出事项。</w:t>
      </w:r>
    </w:p>
    <w:p>
      <w:pPr>
        <w:widowControl w:val="0"/>
        <w:autoSpaceDE/>
        <w:autoSpaceDN/>
        <w:snapToGrid/>
        <w:spacing w:beforeLines="0" w:afterLines="0"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sz w:val="32"/>
          <w:szCs w:val="32"/>
        </w:rPr>
        <w:t>（三）财政收入返</w:t>
      </w:r>
      <w:r>
        <w:rPr>
          <w:rFonts w:hint="eastAsia" w:ascii="仿宋" w:hAnsi="仿宋" w:eastAsia="仿宋" w:cs="仿宋"/>
          <w:b/>
          <w:sz w:val="32"/>
          <w:szCs w:val="32"/>
        </w:rPr>
        <w:t>还政策及其他优惠政策</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示范区根据《中共吉林省委、吉林省人民政府关于支持中韩（长春）国际合作示范区建设的意见》（吉发[2020]20号）以及《中共长春市委、长春市人民政府关于支持中韩（长春）国际合作示范区建设的若干意见》（长发[2020]19号）文件</w:t>
      </w:r>
      <w:r>
        <w:rPr>
          <w:rFonts w:hint="eastAsia" w:ascii="仿宋" w:hAnsi="仿宋" w:eastAsia="仿宋" w:cs="仿宋"/>
          <w:sz w:val="32"/>
          <w:szCs w:val="32"/>
          <w:lang w:eastAsia="zh-CN"/>
        </w:rPr>
        <w:t>：</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自2020年起连续5年，每年省、市各安排1亿元资金专项用于支持示范区建设使用</w:t>
      </w:r>
      <w:r>
        <w:rPr>
          <w:rFonts w:hint="eastAsia" w:ascii="仿宋" w:hAnsi="仿宋" w:eastAsia="仿宋" w:cs="仿宋"/>
          <w:sz w:val="32"/>
          <w:szCs w:val="40"/>
          <w:lang w:eastAsia="zh-CN"/>
        </w:rPr>
        <w:t>。2026年开始，此补助政策全部到期，不再执行。</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40"/>
        </w:rPr>
      </w:pPr>
      <w:r>
        <w:rPr>
          <w:rFonts w:hint="eastAsia" w:ascii="仿宋" w:hAnsi="仿宋" w:eastAsia="仿宋" w:cs="仿宋"/>
          <w:sz w:val="32"/>
          <w:szCs w:val="40"/>
        </w:rPr>
        <w:t>自2020年起长春市连续5年，以2019年示范区市与区共享收入中，缴入市本级国库的税收收入为基数，超基数的增量部分予以示范区全额返还</w:t>
      </w:r>
      <w:r>
        <w:rPr>
          <w:rFonts w:hint="eastAsia" w:ascii="仿宋" w:hAnsi="仿宋" w:eastAsia="仿宋" w:cs="仿宋"/>
          <w:sz w:val="32"/>
          <w:szCs w:val="40"/>
          <w:lang w:eastAsia="zh-CN"/>
        </w:rPr>
        <w:t>。2026年开始，此补助政策全部到期，不再执行。</w:t>
      </w:r>
      <w:r>
        <w:rPr>
          <w:rFonts w:hint="eastAsia" w:ascii="仿宋" w:hAnsi="仿宋" w:eastAsia="仿宋" w:cs="仿宋"/>
          <w:sz w:val="32"/>
          <w:szCs w:val="40"/>
        </w:rPr>
        <w:t>对示范区上缴市级的土地出让收入</w:t>
      </w:r>
      <w:r>
        <w:rPr>
          <w:rFonts w:hint="eastAsia" w:ascii="仿宋" w:hAnsi="仿宋" w:eastAsia="仿宋" w:cs="仿宋"/>
          <w:sz w:val="32"/>
          <w:szCs w:val="40"/>
          <w:lang w:eastAsia="zh-CN"/>
        </w:rPr>
        <w:t>，</w:t>
      </w:r>
      <w:r>
        <w:rPr>
          <w:rFonts w:hint="eastAsia" w:ascii="仿宋" w:hAnsi="仿宋" w:eastAsia="仿宋" w:cs="仿宋"/>
          <w:sz w:val="32"/>
          <w:szCs w:val="40"/>
        </w:rPr>
        <w:t>全部通过项目补助形式予以安排下达。</w:t>
      </w:r>
    </w:p>
    <w:p>
      <w:pPr>
        <w:widowControl w:val="0"/>
        <w:autoSpaceDE/>
        <w:autoSpaceDN/>
        <w:adjustRightInd/>
        <w:snapToGrid/>
        <w:spacing w:beforeLines="0" w:afterLines="0"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40"/>
        </w:rPr>
        <w:t>示范区土地出让收入，除依据国家和省有关规定的使用范围和计提资金外，其余全部用于支持示范区建设</w:t>
      </w:r>
      <w:r>
        <w:rPr>
          <w:rFonts w:hint="eastAsia" w:ascii="仿宋" w:hAnsi="仿宋" w:eastAsia="仿宋" w:cs="仿宋"/>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color w:val="auto"/>
          <w:sz w:val="32"/>
          <w:szCs w:val="40"/>
          <w:highlight w:val="none"/>
        </w:rPr>
      </w:pPr>
      <w:r>
        <w:rPr>
          <w:rFonts w:hint="eastAsia" w:ascii="仿宋" w:hAnsi="仿宋" w:eastAsia="仿宋" w:cs="仿宋"/>
          <w:b/>
          <w:bCs/>
          <w:color w:val="auto"/>
          <w:sz w:val="32"/>
          <w:szCs w:val="40"/>
          <w:highlight w:val="none"/>
        </w:rPr>
        <w:t>二、</w:t>
      </w:r>
      <w:r>
        <w:rPr>
          <w:rFonts w:hint="eastAsia" w:ascii="仿宋" w:hAnsi="仿宋" w:eastAsia="仿宋" w:cs="仿宋"/>
          <w:b/>
          <w:bCs/>
          <w:color w:val="auto"/>
          <w:sz w:val="32"/>
          <w:szCs w:val="40"/>
          <w:highlight w:val="none"/>
          <w:lang w:eastAsia="zh-CN"/>
        </w:rPr>
        <w:t>202</w:t>
      </w:r>
      <w:r>
        <w:rPr>
          <w:rFonts w:hint="eastAsia" w:ascii="仿宋" w:hAnsi="仿宋" w:eastAsia="仿宋" w:cs="仿宋"/>
          <w:b/>
          <w:bCs/>
          <w:color w:val="auto"/>
          <w:sz w:val="32"/>
          <w:szCs w:val="40"/>
          <w:highlight w:val="none"/>
          <w:lang w:val="en-US" w:eastAsia="zh-CN"/>
        </w:rPr>
        <w:t>5</w:t>
      </w:r>
      <w:r>
        <w:rPr>
          <w:rFonts w:hint="eastAsia" w:ascii="仿宋" w:hAnsi="仿宋" w:eastAsia="仿宋" w:cs="仿宋"/>
          <w:b/>
          <w:bCs/>
          <w:color w:val="auto"/>
          <w:sz w:val="32"/>
          <w:szCs w:val="40"/>
          <w:highlight w:val="none"/>
        </w:rPr>
        <w:t>年</w:t>
      </w:r>
      <w:r>
        <w:rPr>
          <w:rFonts w:hint="eastAsia" w:ascii="仿宋" w:hAnsi="仿宋" w:eastAsia="仿宋" w:cs="仿宋"/>
          <w:b/>
          <w:bCs/>
          <w:color w:val="auto"/>
          <w:sz w:val="32"/>
          <w:szCs w:val="40"/>
          <w:highlight w:val="none"/>
          <w:lang w:val="en-US" w:eastAsia="zh-CN"/>
        </w:rPr>
        <w:t>财政</w:t>
      </w:r>
      <w:r>
        <w:rPr>
          <w:rFonts w:hint="eastAsia" w:ascii="仿宋" w:hAnsi="仿宋" w:eastAsia="仿宋" w:cs="仿宋"/>
          <w:b/>
          <w:bCs/>
          <w:color w:val="auto"/>
          <w:sz w:val="32"/>
          <w:szCs w:val="40"/>
          <w:highlight w:val="none"/>
        </w:rPr>
        <w:t>决算情况及分析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bCs/>
          <w:color w:val="auto"/>
          <w:sz w:val="32"/>
          <w:szCs w:val="40"/>
          <w:highlight w:val="none"/>
        </w:rPr>
      </w:pPr>
      <w:r>
        <w:rPr>
          <w:rFonts w:hint="eastAsia" w:ascii="仿宋" w:hAnsi="仿宋" w:eastAsia="仿宋" w:cs="仿宋"/>
          <w:color w:val="auto"/>
          <w:kern w:val="0"/>
          <w:sz w:val="32"/>
          <w:szCs w:val="32"/>
          <w:highlight w:val="none"/>
          <w:lang w:val="en-US" w:eastAsia="zh-CN" w:bidi="ar-SA"/>
        </w:rPr>
        <w:t>2025 年，在省委省政府、市委、市政府坚强领导下，面对复杂多变的经济形势和外部环境，示范区迎难而上、积极作为，紧扣稳中求进工作总基调，有力化解各类困难挑战，全年财政收支平衡，财政运行总体平稳有序。</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（一）</w:t>
      </w:r>
      <w:r>
        <w:rPr>
          <w:rFonts w:hint="eastAsia" w:ascii="仿宋" w:hAnsi="仿宋" w:eastAsia="仿宋" w:cs="仿宋"/>
          <w:b/>
          <w:bCs/>
          <w:color w:val="auto"/>
          <w:sz w:val="32"/>
          <w:szCs w:val="32"/>
          <w:highlight w:val="none"/>
          <w:lang w:val="en-US" w:eastAsia="zh-CN"/>
        </w:rPr>
        <w:t>一般</w:t>
      </w:r>
      <w:r>
        <w:rPr>
          <w:rFonts w:hint="eastAsia" w:ascii="仿宋" w:hAnsi="仿宋" w:eastAsia="仿宋" w:cs="仿宋"/>
          <w:b/>
          <w:bCs/>
          <w:color w:val="auto"/>
          <w:sz w:val="32"/>
          <w:szCs w:val="32"/>
          <w:highlight w:val="none"/>
        </w:rPr>
        <w:t>公共预算收支决算情况</w:t>
      </w:r>
    </w:p>
    <w:p>
      <w:pPr>
        <w:pStyle w:val="9"/>
        <w:keepNext w:val="0"/>
        <w:keepLines w:val="0"/>
        <w:pageBreakBefore w:val="0"/>
        <w:widowControl w:val="0"/>
        <w:kinsoku/>
        <w:wordWrap/>
        <w:overflowPunct/>
        <w:topLinePunct w:val="0"/>
        <w:autoSpaceDE/>
        <w:autoSpaceDN/>
        <w:bidi w:val="0"/>
        <w:adjustRightInd/>
        <w:snapToGrid/>
        <w:spacing w:line="520" w:lineRule="exact"/>
        <w:ind w:left="0" w:leftChars="0" w:firstLine="64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一般</w:t>
      </w:r>
      <w:r>
        <w:rPr>
          <w:rFonts w:hint="eastAsia" w:ascii="仿宋" w:hAnsi="仿宋" w:eastAsia="仿宋" w:cs="仿宋"/>
          <w:color w:val="auto"/>
          <w:sz w:val="32"/>
          <w:szCs w:val="32"/>
          <w:highlight w:val="none"/>
        </w:rPr>
        <w:t>公共预算收入</w:t>
      </w:r>
      <w:r>
        <w:rPr>
          <w:rFonts w:hint="eastAsia" w:ascii="仿宋" w:hAnsi="仿宋" w:eastAsia="仿宋" w:cs="仿宋"/>
          <w:color w:val="auto"/>
          <w:sz w:val="32"/>
          <w:szCs w:val="32"/>
          <w:highlight w:val="none"/>
          <w:lang w:val="en-US" w:eastAsia="zh-CN"/>
        </w:rPr>
        <w:t>72,444万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val="en-US" w:eastAsia="zh-CN"/>
        </w:rPr>
        <w:t>完成全年预算的100.8%；一般</w:t>
      </w:r>
      <w:r>
        <w:rPr>
          <w:rFonts w:hint="eastAsia" w:ascii="仿宋" w:hAnsi="仿宋" w:eastAsia="仿宋" w:cs="仿宋"/>
          <w:color w:val="auto"/>
          <w:sz w:val="32"/>
          <w:szCs w:val="32"/>
          <w:highlight w:val="none"/>
        </w:rPr>
        <w:t>公共预算</w:t>
      </w:r>
      <w:r>
        <w:rPr>
          <w:rFonts w:hint="eastAsia" w:ascii="仿宋" w:hAnsi="仿宋" w:eastAsia="仿宋" w:cs="仿宋"/>
          <w:color w:val="auto"/>
          <w:sz w:val="32"/>
          <w:szCs w:val="32"/>
          <w:highlight w:val="none"/>
          <w:lang w:val="en-US" w:eastAsia="zh-CN"/>
        </w:rPr>
        <w:t>支出87,285</w:t>
      </w:r>
      <w:r>
        <w:rPr>
          <w:rFonts w:hint="eastAsia" w:ascii="仿宋" w:hAnsi="仿宋" w:eastAsia="仿宋" w:cs="仿宋"/>
          <w:color w:val="auto"/>
          <w:sz w:val="32"/>
          <w:szCs w:val="32"/>
          <w:highlight w:val="none"/>
          <w:lang w:eastAsia="zh-CN"/>
        </w:rPr>
        <w:t>万元，</w:t>
      </w:r>
      <w:r>
        <w:rPr>
          <w:rFonts w:hint="eastAsia" w:ascii="仿宋" w:hAnsi="仿宋" w:eastAsia="仿宋" w:cs="仿宋"/>
          <w:color w:val="auto"/>
          <w:sz w:val="32"/>
          <w:szCs w:val="32"/>
          <w:highlight w:val="none"/>
          <w:lang w:val="en-US" w:eastAsia="zh-CN"/>
        </w:rPr>
        <w:t>完成全年预算的112.5%</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平衡情况：一般公共预算收入</w:t>
      </w:r>
      <w:r>
        <w:rPr>
          <w:rFonts w:hint="eastAsia" w:ascii="仿宋" w:hAnsi="仿宋" w:eastAsia="仿宋" w:cs="仿宋"/>
          <w:color w:val="auto"/>
          <w:sz w:val="32"/>
          <w:szCs w:val="32"/>
          <w:highlight w:val="none"/>
          <w:lang w:val="en-US" w:eastAsia="zh-CN"/>
        </w:rPr>
        <w:t>72,444万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上级补助收入</w:t>
      </w:r>
      <w:r>
        <w:rPr>
          <w:rFonts w:hint="eastAsia" w:ascii="仿宋" w:hAnsi="仿宋" w:eastAsia="仿宋" w:cs="仿宋"/>
          <w:color w:val="auto"/>
          <w:sz w:val="32"/>
          <w:szCs w:val="32"/>
          <w:highlight w:val="none"/>
          <w:lang w:val="en-US" w:eastAsia="zh-CN"/>
        </w:rPr>
        <w:t>27,577</w:t>
      </w:r>
      <w:r>
        <w:rPr>
          <w:rFonts w:hint="eastAsia" w:ascii="仿宋" w:hAnsi="仿宋" w:eastAsia="仿宋" w:cs="仿宋"/>
          <w:color w:val="auto"/>
          <w:sz w:val="32"/>
          <w:szCs w:val="32"/>
          <w:highlight w:val="none"/>
        </w:rPr>
        <w:t>万元，其中一般性转移支付收入</w:t>
      </w:r>
      <w:r>
        <w:rPr>
          <w:rFonts w:hint="eastAsia" w:ascii="仿宋" w:hAnsi="仿宋" w:eastAsia="仿宋" w:cs="仿宋"/>
          <w:color w:val="auto"/>
          <w:sz w:val="32"/>
          <w:szCs w:val="32"/>
          <w:highlight w:val="none"/>
          <w:lang w:val="en-US" w:eastAsia="zh-CN"/>
        </w:rPr>
        <w:t>26,996万</w:t>
      </w:r>
      <w:r>
        <w:rPr>
          <w:rFonts w:hint="eastAsia" w:ascii="仿宋" w:hAnsi="仿宋" w:eastAsia="仿宋" w:cs="仿宋"/>
          <w:color w:val="auto"/>
          <w:sz w:val="32"/>
          <w:szCs w:val="32"/>
          <w:highlight w:val="none"/>
        </w:rPr>
        <w:t>元，专项性转移支付收入</w:t>
      </w:r>
      <w:r>
        <w:rPr>
          <w:rFonts w:hint="eastAsia" w:ascii="仿宋" w:hAnsi="仿宋" w:eastAsia="仿宋" w:cs="仿宋"/>
          <w:color w:val="auto"/>
          <w:sz w:val="32"/>
          <w:szCs w:val="32"/>
          <w:highlight w:val="none"/>
          <w:lang w:val="en-US" w:eastAsia="zh-CN"/>
        </w:rPr>
        <w:t>581万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上年结转12,530万元；地方政府一般债券转贷收入（再融资）8,013万元；从政府性基金预算调入540万元；</w:t>
      </w:r>
      <w:r>
        <w:rPr>
          <w:rFonts w:hint="eastAsia" w:ascii="仿宋" w:hAnsi="仿宋" w:eastAsia="仿宋" w:cs="仿宋"/>
          <w:color w:val="auto"/>
          <w:sz w:val="32"/>
          <w:szCs w:val="32"/>
          <w:highlight w:val="none"/>
        </w:rPr>
        <w:t>收入总计为</w:t>
      </w:r>
      <w:r>
        <w:rPr>
          <w:rFonts w:hint="eastAsia" w:ascii="仿宋" w:hAnsi="仿宋" w:eastAsia="仿宋" w:cs="仿宋"/>
          <w:color w:val="auto"/>
          <w:sz w:val="32"/>
          <w:szCs w:val="32"/>
          <w:highlight w:val="none"/>
          <w:lang w:val="en-US" w:eastAsia="zh-CN"/>
        </w:rPr>
        <w:t>121,104万</w:t>
      </w:r>
      <w:r>
        <w:rPr>
          <w:rFonts w:hint="eastAsia" w:ascii="仿宋" w:hAnsi="仿宋" w:eastAsia="仿宋" w:cs="仿宋"/>
          <w:color w:val="auto"/>
          <w:sz w:val="32"/>
          <w:szCs w:val="32"/>
          <w:highlight w:val="none"/>
        </w:rPr>
        <w:t xml:space="preserve">元。 </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auto"/>
          <w:sz w:val="32"/>
          <w:szCs w:val="32"/>
          <w:highlight w:val="none"/>
        </w:rPr>
        <w:t>一般公共预算支出</w:t>
      </w:r>
      <w:r>
        <w:rPr>
          <w:rFonts w:hint="eastAsia" w:ascii="仿宋" w:hAnsi="仿宋" w:eastAsia="仿宋" w:cs="仿宋"/>
          <w:color w:val="auto"/>
          <w:sz w:val="32"/>
          <w:szCs w:val="32"/>
          <w:highlight w:val="none"/>
          <w:lang w:val="en-US" w:eastAsia="zh-CN"/>
        </w:rPr>
        <w:t>87,285万元；</w:t>
      </w:r>
      <w:r>
        <w:rPr>
          <w:rFonts w:hint="default" w:ascii="仿宋" w:hAnsi="仿宋" w:eastAsia="仿宋" w:cs="仿宋"/>
          <w:color w:val="auto"/>
          <w:sz w:val="32"/>
          <w:szCs w:val="32"/>
          <w:highlight w:val="none"/>
          <w:lang w:eastAsia="zh-CN"/>
        </w:rPr>
        <w:t>上解支出</w:t>
      </w:r>
      <w:r>
        <w:rPr>
          <w:rFonts w:hint="eastAsia" w:ascii="仿宋" w:hAnsi="仿宋" w:eastAsia="仿宋" w:cs="仿宋"/>
          <w:color w:val="auto"/>
          <w:sz w:val="32"/>
          <w:szCs w:val="32"/>
          <w:highlight w:val="none"/>
          <w:lang w:val="en-US" w:eastAsia="zh-CN"/>
        </w:rPr>
        <w:t>660</w:t>
      </w:r>
      <w:r>
        <w:rPr>
          <w:rFonts w:hint="default" w:ascii="仿宋" w:hAnsi="仿宋" w:eastAsia="仿宋" w:cs="仿宋"/>
          <w:color w:val="auto"/>
          <w:sz w:val="32"/>
          <w:szCs w:val="32"/>
          <w:highlight w:val="none"/>
          <w:lang w:eastAsia="zh-CN"/>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结转下年支出</w:t>
      </w:r>
      <w:r>
        <w:rPr>
          <w:rFonts w:hint="eastAsia" w:ascii="仿宋" w:hAnsi="仿宋" w:eastAsia="仿宋" w:cs="仿宋"/>
          <w:color w:val="auto"/>
          <w:sz w:val="32"/>
          <w:szCs w:val="32"/>
          <w:highlight w:val="none"/>
          <w:lang w:val="en-US" w:eastAsia="zh-CN"/>
        </w:rPr>
        <w:t>23,025万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安排预算稳定调节基金1,134万元；</w:t>
      </w:r>
      <w:r>
        <w:rPr>
          <w:rFonts w:hint="default" w:ascii="仿宋" w:hAnsi="仿宋" w:eastAsia="仿宋" w:cs="仿宋"/>
          <w:color w:val="auto"/>
          <w:sz w:val="32"/>
          <w:szCs w:val="32"/>
          <w:highlight w:val="none"/>
          <w:lang w:eastAsia="zh-CN"/>
        </w:rPr>
        <w:t>地方政府一般</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债</w:t>
      </w:r>
      <w:r>
        <w:rPr>
          <w:rFonts w:hint="default" w:ascii="仿宋" w:hAnsi="仿宋" w:eastAsia="仿宋" w:cs="仿宋"/>
          <w:b w:val="0"/>
          <w:bCs w:val="0"/>
          <w:color w:val="000000" w:themeColor="text1"/>
          <w:sz w:val="32"/>
          <w:szCs w:val="32"/>
          <w:highlight w:val="none"/>
          <w:lang w:eastAsia="zh-CN"/>
          <w14:textFill>
            <w14:solidFill>
              <w14:schemeClr w14:val="tx1"/>
            </w14:solidFill>
          </w14:textFill>
        </w:rPr>
        <w:t>券</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还本支出</w:t>
      </w:r>
      <w:r>
        <w:rPr>
          <w:rFonts w:hint="default" w:ascii="仿宋" w:hAnsi="仿宋" w:eastAsia="仿宋" w:cs="仿宋"/>
          <w:b w:val="0"/>
          <w:bCs w:val="0"/>
          <w:color w:val="000000" w:themeColor="text1"/>
          <w:sz w:val="32"/>
          <w:szCs w:val="32"/>
          <w:highlight w:val="none"/>
          <w:lang w:eastAsia="zh-CN"/>
          <w14:textFill>
            <w14:solidFill>
              <w14:schemeClr w14:val="tx1"/>
            </w14:solidFill>
          </w14:textFill>
        </w:rPr>
        <w:t>9</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,0</w:t>
      </w:r>
      <w:r>
        <w:rPr>
          <w:rFonts w:hint="default" w:ascii="仿宋" w:hAnsi="仿宋" w:eastAsia="仿宋" w:cs="仿宋"/>
          <w:b w:val="0"/>
          <w:bCs w:val="0"/>
          <w:color w:val="000000" w:themeColor="text1"/>
          <w:sz w:val="32"/>
          <w:szCs w:val="32"/>
          <w:highlight w:val="none"/>
          <w:lang w:eastAsia="zh-CN"/>
          <w14:textFill>
            <w14:solidFill>
              <w14:schemeClr w14:val="tx1"/>
            </w14:solidFill>
          </w14:textFill>
        </w:rPr>
        <w:t>00</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万元；支出总计121,104万元。</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收支相抵，预算</w:t>
      </w:r>
      <w:r>
        <w:rPr>
          <w:rFonts w:hint="eastAsia" w:ascii="仿宋" w:hAnsi="仿宋" w:eastAsia="仿宋" w:cs="仿宋"/>
          <w:color w:val="auto"/>
          <w:sz w:val="32"/>
          <w:szCs w:val="32"/>
          <w:highlight w:val="none"/>
        </w:rPr>
        <w:t>平衡。</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（二）基金预算收支决算情况</w:t>
      </w:r>
    </w:p>
    <w:p>
      <w:pPr>
        <w:pStyle w:val="9"/>
        <w:keepNext w:val="0"/>
        <w:keepLines w:val="0"/>
        <w:pageBreakBefore w:val="0"/>
        <w:widowControl w:val="0"/>
        <w:kinsoku/>
        <w:wordWrap/>
        <w:overflowPunct/>
        <w:topLinePunct w:val="0"/>
        <w:autoSpaceDE/>
        <w:autoSpaceDN/>
        <w:bidi w:val="0"/>
        <w:adjustRightInd/>
        <w:snapToGrid/>
        <w:spacing w:after="0" w:line="240" w:lineRule="auto"/>
        <w:ind w:left="0" w:leftChars="0" w:firstLine="640" w:firstLineChars="200"/>
        <w:jc w:val="left"/>
        <w:textAlignment w:val="auto"/>
        <w:rPr>
          <w:rFonts w:ascii="仿宋" w:hAnsi="仿宋" w:eastAsia="仿宋" w:cs="仿宋"/>
          <w:color w:val="auto"/>
          <w:sz w:val="32"/>
          <w:szCs w:val="32"/>
          <w:highlight w:val="yellow"/>
        </w:rPr>
      </w:pP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政府性</w:t>
      </w:r>
      <w:r>
        <w:rPr>
          <w:rFonts w:hint="eastAsia" w:ascii="仿宋" w:hAnsi="仿宋" w:eastAsia="仿宋" w:cs="仿宋"/>
          <w:color w:val="auto"/>
          <w:sz w:val="32"/>
          <w:szCs w:val="32"/>
          <w:highlight w:val="none"/>
        </w:rPr>
        <w:t>基金预算收入</w:t>
      </w:r>
      <w:r>
        <w:rPr>
          <w:rFonts w:hint="eastAsia" w:ascii="仿宋" w:hAnsi="仿宋" w:eastAsia="仿宋" w:cs="仿宋"/>
          <w:color w:val="auto"/>
          <w:sz w:val="32"/>
          <w:szCs w:val="32"/>
          <w:highlight w:val="none"/>
          <w:lang w:val="en-US" w:eastAsia="zh-CN"/>
        </w:rPr>
        <w:t>34,484万元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完成全年预算的100%；基</w:t>
      </w:r>
      <w:r>
        <w:rPr>
          <w:rFonts w:hint="eastAsia" w:ascii="仿宋" w:hAnsi="仿宋" w:eastAsia="仿宋" w:cs="仿宋"/>
          <w:color w:val="auto"/>
          <w:sz w:val="32"/>
          <w:szCs w:val="32"/>
          <w:highlight w:val="none"/>
        </w:rPr>
        <w:t>金预算支出</w:t>
      </w:r>
      <w:r>
        <w:rPr>
          <w:rFonts w:hint="eastAsia" w:ascii="仿宋" w:hAnsi="仿宋" w:eastAsia="仿宋" w:cs="仿宋"/>
          <w:color w:val="auto"/>
          <w:sz w:val="32"/>
          <w:szCs w:val="32"/>
          <w:highlight w:val="none"/>
          <w:lang w:val="en-US" w:eastAsia="zh-CN"/>
        </w:rPr>
        <w:t>167,704万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完成全年预算的106.09%</w:t>
      </w:r>
      <w:r>
        <w:rPr>
          <w:rFonts w:hint="eastAsia" w:ascii="仿宋" w:hAnsi="仿宋" w:eastAsia="仿宋" w:cs="仿宋"/>
          <w:color w:val="auto"/>
          <w:sz w:val="32"/>
          <w:szCs w:val="32"/>
          <w:highlight w:val="none"/>
        </w:rPr>
        <w:t>。</w:t>
      </w:r>
    </w:p>
    <w:p>
      <w:pPr>
        <w:pStyle w:val="9"/>
        <w:keepNext w:val="0"/>
        <w:keepLines w:val="0"/>
        <w:pageBreakBefore w:val="0"/>
        <w:widowControl w:val="0"/>
        <w:kinsoku/>
        <w:wordWrap/>
        <w:overflowPunct/>
        <w:topLinePunct w:val="0"/>
        <w:autoSpaceDE/>
        <w:autoSpaceDN/>
        <w:bidi w:val="0"/>
        <w:adjustRightInd/>
        <w:snapToGrid/>
        <w:spacing w:line="520" w:lineRule="exact"/>
        <w:ind w:left="0" w:leftChars="0" w:firstLine="64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平衡情况：</w:t>
      </w: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年，本级政府性基金收入</w:t>
      </w:r>
      <w:r>
        <w:rPr>
          <w:rFonts w:hint="eastAsia" w:ascii="仿宋" w:hAnsi="仿宋" w:eastAsia="仿宋" w:cs="仿宋"/>
          <w:color w:val="auto"/>
          <w:sz w:val="32"/>
          <w:szCs w:val="32"/>
          <w:highlight w:val="none"/>
          <w:lang w:val="en-US" w:eastAsia="zh-CN"/>
        </w:rPr>
        <w:t>34,484万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上年结转1,949万元；政府性基金转移支付收入62,262万元；调入资金32,779万元；债务转贷收入60,265万元；</w:t>
      </w:r>
      <w:r>
        <w:rPr>
          <w:rFonts w:hint="eastAsia" w:ascii="仿宋" w:hAnsi="仿宋" w:eastAsia="仿宋" w:cs="仿宋"/>
          <w:color w:val="auto"/>
          <w:sz w:val="32"/>
          <w:szCs w:val="32"/>
          <w:highlight w:val="none"/>
        </w:rPr>
        <w:t>收入总计</w:t>
      </w:r>
      <w:r>
        <w:rPr>
          <w:rFonts w:hint="eastAsia" w:ascii="仿宋" w:hAnsi="仿宋" w:eastAsia="仿宋" w:cs="仿宋"/>
          <w:color w:val="auto"/>
          <w:sz w:val="32"/>
          <w:szCs w:val="32"/>
          <w:highlight w:val="none"/>
          <w:lang w:val="en-US" w:eastAsia="zh-CN"/>
        </w:rPr>
        <w:t>191,739万</w:t>
      </w:r>
      <w:r>
        <w:rPr>
          <w:rFonts w:hint="eastAsia" w:ascii="仿宋" w:hAnsi="仿宋" w:eastAsia="仿宋" w:cs="仿宋"/>
          <w:color w:val="auto"/>
          <w:sz w:val="32"/>
          <w:szCs w:val="32"/>
          <w:highlight w:val="none"/>
        </w:rPr>
        <w:t>元。</w:t>
      </w:r>
    </w:p>
    <w:p>
      <w:pPr>
        <w:pStyle w:val="9"/>
        <w:keepNext w:val="0"/>
        <w:keepLines w:val="0"/>
        <w:pageBreakBefore w:val="0"/>
        <w:widowControl w:val="0"/>
        <w:kinsoku/>
        <w:wordWrap/>
        <w:overflowPunct/>
        <w:topLinePunct w:val="0"/>
        <w:autoSpaceDE/>
        <w:autoSpaceDN/>
        <w:bidi w:val="0"/>
        <w:adjustRightInd/>
        <w:snapToGrid/>
        <w:spacing w:line="520" w:lineRule="exact"/>
        <w:ind w:left="0" w:leftChars="0" w:firstLine="64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000000" w:themeColor="text1"/>
          <w:sz w:val="32"/>
          <w:szCs w:val="32"/>
          <w:highlight w:val="none"/>
          <w14:textFill>
            <w14:solidFill>
              <w14:schemeClr w14:val="tx1"/>
            </w14:solidFill>
          </w14:textFill>
        </w:rPr>
        <w:t>本级政府性基金</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val="en-US" w:eastAsia="zh-CN"/>
        </w:rPr>
        <w:t>167,704万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上解支出2,504万元；调出资金540万元；地方政府专项债务还本支出721万元；</w:t>
      </w:r>
      <w:r>
        <w:rPr>
          <w:rFonts w:hint="eastAsia" w:ascii="仿宋" w:hAnsi="仿宋" w:eastAsia="仿宋" w:cs="仿宋"/>
          <w:color w:val="auto"/>
          <w:sz w:val="32"/>
          <w:szCs w:val="32"/>
          <w:highlight w:val="none"/>
        </w:rPr>
        <w:t>年终结转</w:t>
      </w:r>
      <w:r>
        <w:rPr>
          <w:rFonts w:hint="eastAsia" w:ascii="仿宋" w:hAnsi="仿宋" w:eastAsia="仿宋" w:cs="仿宋"/>
          <w:color w:val="auto"/>
          <w:sz w:val="32"/>
          <w:szCs w:val="32"/>
          <w:highlight w:val="none"/>
          <w:lang w:val="en-US" w:eastAsia="zh-CN"/>
        </w:rPr>
        <w:t>20,270万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支出总计</w:t>
      </w:r>
      <w:r>
        <w:rPr>
          <w:rFonts w:hint="eastAsia" w:ascii="仿宋" w:hAnsi="仿宋" w:eastAsia="仿宋" w:cs="仿宋"/>
          <w:color w:val="auto"/>
          <w:sz w:val="32"/>
          <w:szCs w:val="32"/>
          <w:highlight w:val="none"/>
          <w:lang w:val="en-US" w:eastAsia="zh-CN"/>
        </w:rPr>
        <w:t>191,739万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p>
    <w:p>
      <w:pPr>
        <w:pStyle w:val="9"/>
        <w:keepNext w:val="0"/>
        <w:keepLines w:val="0"/>
        <w:pageBreakBefore w:val="0"/>
        <w:widowControl w:val="0"/>
        <w:kinsoku/>
        <w:wordWrap/>
        <w:overflowPunct/>
        <w:topLinePunct w:val="0"/>
        <w:autoSpaceDE/>
        <w:autoSpaceDN/>
        <w:bidi w:val="0"/>
        <w:adjustRightInd/>
        <w:snapToGrid/>
        <w:spacing w:line="520" w:lineRule="exact"/>
        <w:ind w:left="0" w:leftChars="0" w:firstLine="640"/>
        <w:textAlignment w:val="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收支相抵，预算</w:t>
      </w:r>
      <w:r>
        <w:rPr>
          <w:rFonts w:hint="eastAsia" w:ascii="仿宋" w:hAnsi="仿宋" w:eastAsia="仿宋" w:cs="仿宋"/>
          <w:color w:val="auto"/>
          <w:sz w:val="32"/>
          <w:szCs w:val="32"/>
          <w:highlight w:val="none"/>
        </w:rPr>
        <w:t>平衡。</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三、主要工作情况</w:t>
      </w:r>
    </w:p>
    <w:p>
      <w:pPr>
        <w:spacing w:beforeLines="0" w:afterLines="0" w:line="560" w:lineRule="exact"/>
        <w:ind w:firstLine="640" w:firstLineChars="200"/>
        <w:jc w:val="both"/>
        <w:rPr>
          <w:rFonts w:ascii="仿宋" w:hAnsi="仿宋" w:eastAsia="仿宋" w:cs="仿宋"/>
          <w:color w:val="auto"/>
          <w:sz w:val="32"/>
          <w:szCs w:val="32"/>
          <w:highlight w:val="none"/>
        </w:rPr>
      </w:pPr>
      <w:r>
        <w:rPr>
          <w:rFonts w:hint="eastAsia" w:ascii="仿宋" w:hAnsi="仿宋" w:eastAsia="仿宋" w:cs="仿宋"/>
          <w:sz w:val="32"/>
          <w:szCs w:val="32"/>
        </w:rPr>
        <w:t>2025年作为“十四五”规划的收官之年，示范区在延续前期发展思路、巩固既有成果的基础上，聚焦关键领域发力、锚定目标冲刺，推动各项工作在收官节点实现新突破、取得新成效。</w:t>
      </w:r>
      <w:r>
        <w:rPr>
          <w:rFonts w:hint="eastAsia" w:ascii="仿宋" w:hAnsi="仿宋" w:eastAsia="仿宋" w:cs="仿宋"/>
          <w:color w:val="auto"/>
          <w:sz w:val="32"/>
          <w:szCs w:val="32"/>
          <w:highlight w:val="none"/>
        </w:rPr>
        <w:t>从</w:t>
      </w: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年预算执行结果看，较为圆满</w:t>
      </w:r>
      <w:r>
        <w:rPr>
          <w:rFonts w:hint="eastAsia" w:ascii="仿宋" w:hAnsi="仿宋" w:eastAsia="仿宋" w:cs="仿宋"/>
          <w:color w:val="auto"/>
          <w:sz w:val="32"/>
          <w:szCs w:val="32"/>
          <w:highlight w:val="none"/>
          <w:lang w:eastAsia="zh-CN"/>
        </w:rPr>
        <w:t>地</w:t>
      </w:r>
      <w:r>
        <w:rPr>
          <w:rFonts w:hint="eastAsia" w:ascii="仿宋" w:hAnsi="仿宋" w:eastAsia="仿宋" w:cs="仿宋"/>
          <w:color w:val="auto"/>
          <w:sz w:val="32"/>
          <w:szCs w:val="32"/>
          <w:highlight w:val="none"/>
        </w:rPr>
        <w:t>完成全年预算任务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但在</w:t>
      </w:r>
      <w:r>
        <w:rPr>
          <w:rFonts w:hint="eastAsia" w:ascii="仿宋" w:hAnsi="仿宋" w:eastAsia="仿宋" w:cs="仿宋"/>
          <w:color w:val="auto"/>
          <w:sz w:val="32"/>
          <w:szCs w:val="32"/>
          <w:highlight w:val="none"/>
        </w:rPr>
        <w:t>预算执行和财政工作中仍存在一些困难和不容忽视的问题。</w:t>
      </w:r>
      <w:r>
        <w:rPr>
          <w:rFonts w:hint="eastAsia" w:ascii="仿宋" w:hAnsi="仿宋" w:eastAsia="仿宋" w:cs="仿宋"/>
          <w:b w:val="0"/>
          <w:bCs w:val="0"/>
          <w:color w:val="auto"/>
          <w:sz w:val="32"/>
          <w:szCs w:val="32"/>
          <w:highlight w:val="none"/>
        </w:rPr>
        <w:t>主要表现在：一是受</w:t>
      </w:r>
      <w:r>
        <w:rPr>
          <w:rFonts w:hint="eastAsia" w:ascii="仿宋" w:hAnsi="仿宋" w:eastAsia="仿宋" w:cs="仿宋"/>
          <w:b w:val="0"/>
          <w:bCs w:val="0"/>
          <w:color w:val="auto"/>
          <w:sz w:val="32"/>
          <w:szCs w:val="32"/>
          <w:highlight w:val="none"/>
          <w:lang w:val="en-US" w:eastAsia="zh-CN"/>
        </w:rPr>
        <w:t>国际形势</w:t>
      </w:r>
      <w:r>
        <w:rPr>
          <w:rFonts w:hint="eastAsia" w:ascii="仿宋" w:hAnsi="仿宋" w:eastAsia="仿宋" w:cs="仿宋"/>
          <w:b w:val="0"/>
          <w:bCs w:val="0"/>
          <w:color w:val="auto"/>
          <w:sz w:val="32"/>
          <w:szCs w:val="32"/>
          <w:highlight w:val="none"/>
        </w:rPr>
        <w:t>影响经济增速放缓，财政收入增长</w:t>
      </w:r>
      <w:r>
        <w:rPr>
          <w:rFonts w:hint="eastAsia" w:ascii="仿宋" w:hAnsi="仿宋" w:eastAsia="仿宋" w:cs="仿宋"/>
          <w:b w:val="0"/>
          <w:bCs w:val="0"/>
          <w:color w:val="auto"/>
          <w:sz w:val="32"/>
          <w:szCs w:val="32"/>
          <w:highlight w:val="none"/>
          <w:lang w:val="en-US" w:eastAsia="zh-CN"/>
        </w:rPr>
        <w:t>因</w:t>
      </w:r>
      <w:r>
        <w:rPr>
          <w:rFonts w:hint="eastAsia" w:ascii="仿宋" w:hAnsi="仿宋" w:eastAsia="仿宋" w:cs="仿宋"/>
          <w:color w:val="auto"/>
          <w:sz w:val="32"/>
          <w:szCs w:val="32"/>
          <w:highlight w:val="none"/>
          <w:lang w:val="en-US" w:eastAsia="zh-CN"/>
        </w:rPr>
        <w:t>素不稳定</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2025年</w:t>
      </w:r>
      <w:r>
        <w:rPr>
          <w:rFonts w:hint="eastAsia" w:ascii="仿宋" w:hAnsi="仿宋" w:eastAsia="仿宋" w:cs="仿宋"/>
          <w:color w:val="auto"/>
          <w:sz w:val="32"/>
          <w:szCs w:val="32"/>
          <w:highlight w:val="none"/>
        </w:rPr>
        <w:t>示范区</w:t>
      </w:r>
      <w:r>
        <w:rPr>
          <w:rFonts w:hint="eastAsia" w:ascii="仿宋" w:hAnsi="仿宋" w:eastAsia="仿宋" w:cs="仿宋"/>
          <w:color w:val="auto"/>
          <w:sz w:val="32"/>
          <w:szCs w:val="32"/>
          <w:highlight w:val="none"/>
          <w:lang w:val="en-US" w:eastAsia="zh-CN"/>
        </w:rPr>
        <w:t>非税</w:t>
      </w:r>
      <w:r>
        <w:rPr>
          <w:rFonts w:hint="eastAsia" w:ascii="仿宋" w:hAnsi="仿宋" w:eastAsia="仿宋" w:cs="仿宋"/>
          <w:color w:val="auto"/>
          <w:sz w:val="32"/>
          <w:szCs w:val="32"/>
          <w:highlight w:val="none"/>
        </w:rPr>
        <w:t>收入增速明显，</w:t>
      </w:r>
      <w:r>
        <w:rPr>
          <w:rFonts w:hint="eastAsia" w:ascii="仿宋" w:hAnsi="仿宋" w:eastAsia="仿宋" w:cs="仿宋"/>
          <w:color w:val="auto"/>
          <w:sz w:val="32"/>
          <w:szCs w:val="32"/>
          <w:highlight w:val="none"/>
          <w:lang w:val="en-US" w:eastAsia="zh-CN"/>
        </w:rPr>
        <w:t>主要是存量土地经营权收入一次性因素增加</w:t>
      </w:r>
      <w:r>
        <w:rPr>
          <w:rFonts w:hint="eastAsia" w:ascii="仿宋" w:hAnsi="仿宋" w:eastAsia="仿宋" w:cs="仿宋"/>
          <w:color w:val="auto"/>
          <w:sz w:val="32"/>
          <w:szCs w:val="32"/>
          <w:highlight w:val="none"/>
        </w:rPr>
        <w:t>。二是</w:t>
      </w:r>
      <w:r>
        <w:rPr>
          <w:rFonts w:hint="eastAsia" w:ascii="仿宋" w:hAnsi="仿宋" w:eastAsia="仿宋" w:cs="仿宋"/>
          <w:color w:val="auto"/>
          <w:sz w:val="32"/>
          <w:szCs w:val="32"/>
          <w:highlight w:val="none"/>
          <w:lang w:val="en-US" w:eastAsia="zh-CN"/>
        </w:rPr>
        <w:t>教育</w:t>
      </w:r>
      <w:r>
        <w:rPr>
          <w:rFonts w:hint="eastAsia" w:ascii="仿宋" w:hAnsi="仿宋" w:eastAsia="仿宋" w:cs="仿宋"/>
          <w:color w:val="auto"/>
          <w:sz w:val="32"/>
          <w:szCs w:val="32"/>
          <w:highlight w:val="none"/>
        </w:rPr>
        <w:t>保障和改善民生</w:t>
      </w:r>
      <w:r>
        <w:rPr>
          <w:rFonts w:hint="eastAsia" w:ascii="仿宋" w:hAnsi="仿宋" w:eastAsia="仿宋" w:cs="仿宋"/>
          <w:color w:val="auto"/>
          <w:sz w:val="32"/>
          <w:szCs w:val="32"/>
          <w:highlight w:val="none"/>
          <w:lang w:val="en-US" w:eastAsia="zh-CN"/>
        </w:rPr>
        <w:t>的</w:t>
      </w:r>
      <w:r>
        <w:rPr>
          <w:rFonts w:hint="eastAsia" w:ascii="仿宋" w:hAnsi="仿宋" w:eastAsia="仿宋" w:cs="仿宋"/>
          <w:color w:val="auto"/>
          <w:sz w:val="32"/>
          <w:szCs w:val="32"/>
          <w:highlight w:val="none"/>
        </w:rPr>
        <w:t>投入</w:t>
      </w:r>
      <w:r>
        <w:rPr>
          <w:rFonts w:hint="eastAsia" w:ascii="仿宋" w:hAnsi="仿宋" w:eastAsia="仿宋" w:cs="仿宋"/>
          <w:color w:val="auto"/>
          <w:sz w:val="32"/>
          <w:szCs w:val="32"/>
          <w:highlight w:val="none"/>
          <w:lang w:val="en-US" w:eastAsia="zh-CN"/>
        </w:rPr>
        <w:t>资金持续</w:t>
      </w:r>
      <w:r>
        <w:rPr>
          <w:rFonts w:hint="eastAsia" w:ascii="仿宋" w:hAnsi="仿宋" w:eastAsia="仿宋" w:cs="仿宋"/>
          <w:color w:val="auto"/>
          <w:sz w:val="32"/>
          <w:szCs w:val="32"/>
          <w:highlight w:val="none"/>
        </w:rPr>
        <w:t>增加，</w:t>
      </w:r>
      <w:r>
        <w:rPr>
          <w:rFonts w:hint="eastAsia" w:ascii="仿宋" w:hAnsi="仿宋" w:eastAsia="仿宋" w:cs="仿宋"/>
          <w:color w:val="auto"/>
          <w:sz w:val="32"/>
          <w:szCs w:val="32"/>
          <w:highlight w:val="none"/>
          <w:lang w:val="en-US" w:eastAsia="zh-CN"/>
        </w:rPr>
        <w:t>教育支出、</w:t>
      </w:r>
      <w:r>
        <w:rPr>
          <w:rFonts w:hint="eastAsia" w:ascii="仿宋" w:hAnsi="仿宋" w:eastAsia="仿宋" w:cs="仿宋"/>
          <w:color w:val="auto"/>
          <w:sz w:val="32"/>
          <w:szCs w:val="32"/>
          <w:highlight w:val="none"/>
        </w:rPr>
        <w:t>城建支出</w:t>
      </w:r>
      <w:r>
        <w:rPr>
          <w:rFonts w:hint="eastAsia" w:ascii="仿宋" w:hAnsi="仿宋" w:eastAsia="仿宋" w:cs="仿宋"/>
          <w:color w:val="auto"/>
          <w:sz w:val="32"/>
          <w:szCs w:val="32"/>
          <w:highlight w:val="none"/>
          <w:lang w:val="en-US" w:eastAsia="zh-CN"/>
        </w:rPr>
        <w:t>等</w:t>
      </w:r>
      <w:r>
        <w:rPr>
          <w:rFonts w:hint="eastAsia" w:ascii="仿宋" w:hAnsi="仿宋" w:eastAsia="仿宋" w:cs="仿宋"/>
          <w:color w:val="auto"/>
          <w:sz w:val="32"/>
          <w:szCs w:val="32"/>
          <w:highlight w:val="none"/>
        </w:rPr>
        <w:t>快速增长，</w:t>
      </w:r>
      <w:r>
        <w:rPr>
          <w:rFonts w:hint="eastAsia" w:ascii="仿宋" w:hAnsi="仿宋" w:eastAsia="仿宋" w:cs="仿宋"/>
          <w:color w:val="auto"/>
          <w:sz w:val="32"/>
          <w:szCs w:val="32"/>
          <w:highlight w:val="none"/>
          <w:lang w:val="en-US" w:eastAsia="zh-CN"/>
        </w:rPr>
        <w:t>财政</w:t>
      </w:r>
      <w:r>
        <w:rPr>
          <w:rFonts w:hint="eastAsia" w:ascii="仿宋" w:hAnsi="仿宋" w:eastAsia="仿宋" w:cs="仿宋"/>
          <w:color w:val="auto"/>
          <w:sz w:val="32"/>
          <w:szCs w:val="32"/>
          <w:highlight w:val="none"/>
        </w:rPr>
        <w:t>收支矛盾</w:t>
      </w:r>
      <w:r>
        <w:rPr>
          <w:rFonts w:hint="eastAsia" w:ascii="仿宋" w:hAnsi="仿宋" w:eastAsia="仿宋" w:cs="仿宋"/>
          <w:color w:val="auto"/>
          <w:sz w:val="32"/>
          <w:szCs w:val="32"/>
          <w:highlight w:val="none"/>
          <w:lang w:val="en-US" w:eastAsia="zh-CN"/>
        </w:rPr>
        <w:t>不断显现</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三是资金使用质效仍有提升空间。部分专项资金精细化管理水平不足，财政资金示范引领、政策引导以及放大效应有待持续拓展。这些问题需要引起高度重视，将通过转变政府职能、深化财</w:t>
      </w:r>
      <w:r>
        <w:rPr>
          <w:rFonts w:hint="eastAsia" w:ascii="仿宋" w:hAnsi="仿宋" w:eastAsia="仿宋" w:cs="仿宋"/>
          <w:color w:val="auto"/>
          <w:sz w:val="32"/>
          <w:szCs w:val="32"/>
          <w:highlight w:val="none"/>
        </w:rPr>
        <w:t>政改革、创新工作机制、严格预算管理等措施逐步加以解决。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color w:val="auto"/>
          <w:sz w:val="32"/>
          <w:szCs w:val="40"/>
          <w:highlight w:val="none"/>
        </w:rPr>
      </w:pPr>
      <w:r>
        <w:rPr>
          <w:rFonts w:hint="eastAsia" w:ascii="仿宋" w:hAnsi="仿宋" w:eastAsia="仿宋" w:cs="仿宋"/>
          <w:color w:val="auto"/>
          <w:sz w:val="32"/>
          <w:szCs w:val="32"/>
          <w:highlight w:val="none"/>
        </w:rPr>
        <w:t>示范区在省市的</w:t>
      </w:r>
      <w:r>
        <w:rPr>
          <w:rFonts w:hint="eastAsia" w:ascii="仿宋" w:hAnsi="仿宋" w:eastAsia="仿宋" w:cs="仿宋"/>
          <w:color w:val="auto"/>
          <w:sz w:val="32"/>
          <w:szCs w:val="32"/>
          <w:highlight w:val="none"/>
          <w:lang w:val="en-US" w:eastAsia="zh-CN"/>
        </w:rPr>
        <w:t>坚强</w:t>
      </w:r>
      <w:r>
        <w:rPr>
          <w:rFonts w:hint="eastAsia" w:ascii="仿宋" w:hAnsi="仿宋" w:eastAsia="仿宋" w:cs="仿宋"/>
          <w:color w:val="auto"/>
          <w:sz w:val="32"/>
          <w:szCs w:val="32"/>
          <w:highlight w:val="none"/>
        </w:rPr>
        <w:t>领导下，深入贯彻</w:t>
      </w:r>
      <w:r>
        <w:rPr>
          <w:rFonts w:hint="eastAsia" w:ascii="仿宋" w:hAnsi="仿宋" w:eastAsia="仿宋" w:cs="仿宋"/>
          <w:color w:val="auto"/>
          <w:sz w:val="32"/>
          <w:szCs w:val="32"/>
          <w:highlight w:val="none"/>
          <w:lang w:eastAsia="zh-CN"/>
        </w:rPr>
        <w:t>习近平总书记重要讲话精神</w:t>
      </w:r>
      <w:r>
        <w:rPr>
          <w:rFonts w:hint="eastAsia" w:ascii="仿宋" w:hAnsi="仿宋" w:eastAsia="仿宋" w:cs="仿宋"/>
          <w:color w:val="auto"/>
          <w:sz w:val="32"/>
          <w:szCs w:val="32"/>
          <w:highlight w:val="none"/>
        </w:rPr>
        <w:t>和治国理政新理念、新思想、新战略。</w:t>
      </w:r>
      <w:r>
        <w:rPr>
          <w:rFonts w:hint="eastAsia" w:ascii="仿宋" w:hAnsi="仿宋" w:eastAsia="仿宋" w:cs="仿宋"/>
          <w:color w:val="auto"/>
          <w:sz w:val="32"/>
          <w:szCs w:val="40"/>
          <w:highlight w:val="none"/>
        </w:rPr>
        <w:t>示范区积极应对国家减税降费对财政收入的不利影响，定期分析财税收入形势</w:t>
      </w:r>
      <w:r>
        <w:rPr>
          <w:rFonts w:hint="eastAsia" w:ascii="仿宋" w:hAnsi="仿宋" w:eastAsia="仿宋" w:cs="仿宋"/>
          <w:color w:val="auto"/>
          <w:sz w:val="32"/>
          <w:szCs w:val="40"/>
          <w:highlight w:val="none"/>
          <w:lang w:eastAsia="zh-CN"/>
        </w:rPr>
        <w:t>，</w:t>
      </w:r>
      <w:r>
        <w:rPr>
          <w:rFonts w:hint="eastAsia" w:ascii="仿宋" w:hAnsi="仿宋" w:eastAsia="仿宋" w:cs="仿宋"/>
          <w:color w:val="auto"/>
          <w:sz w:val="32"/>
          <w:szCs w:val="40"/>
          <w:highlight w:val="none"/>
        </w:rPr>
        <w:t>面对当前种种不利因素，积极做好应对措施：</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20" w:lineRule="exact"/>
        <w:ind w:left="200" w:leftChars="0" w:firstLine="640" w:firstLineChars="0"/>
        <w:textAlignment w:val="auto"/>
        <w:rPr>
          <w:rFonts w:ascii="仿宋" w:hAnsi="仿宋" w:eastAsia="仿宋" w:cs="仿宋"/>
          <w:color w:val="auto"/>
          <w:sz w:val="32"/>
          <w:szCs w:val="40"/>
          <w:highlight w:val="none"/>
        </w:rPr>
      </w:pPr>
      <w:r>
        <w:rPr>
          <w:rFonts w:hint="eastAsia" w:ascii="仿宋" w:hAnsi="仿宋" w:eastAsia="仿宋" w:cs="仿宋"/>
          <w:color w:val="auto"/>
          <w:sz w:val="32"/>
          <w:szCs w:val="40"/>
          <w:highlight w:val="none"/>
        </w:rPr>
        <w:t>多渠道筹集资金弥补减收。精准测算各项减税降费政策对当年财政收入的影响，积极研究政策，深入挖掘</w:t>
      </w:r>
      <w:r>
        <w:rPr>
          <w:rFonts w:hint="eastAsia" w:ascii="仿宋" w:hAnsi="仿宋" w:eastAsia="仿宋" w:cs="仿宋"/>
          <w:color w:val="auto"/>
          <w:sz w:val="32"/>
          <w:szCs w:val="40"/>
          <w:highlight w:val="none"/>
          <w:lang w:val="en-US" w:eastAsia="zh-CN"/>
        </w:rPr>
        <w:t>各类</w:t>
      </w:r>
      <w:r>
        <w:rPr>
          <w:rFonts w:hint="eastAsia" w:ascii="仿宋" w:hAnsi="仿宋" w:eastAsia="仿宋" w:cs="仿宋"/>
          <w:color w:val="auto"/>
          <w:sz w:val="32"/>
          <w:szCs w:val="40"/>
          <w:highlight w:val="none"/>
        </w:rPr>
        <w:t>资产增收潜力，加大土地出让力度，形成新的税收增量。</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20" w:lineRule="exact"/>
        <w:ind w:left="200" w:leftChars="0" w:firstLine="640" w:firstLineChars="0"/>
        <w:textAlignment w:val="auto"/>
        <w:rPr>
          <w:rFonts w:ascii="仿宋" w:hAnsi="仿宋" w:eastAsia="仿宋" w:cs="仿宋"/>
          <w:color w:val="auto"/>
          <w:sz w:val="32"/>
          <w:szCs w:val="40"/>
          <w:highlight w:val="none"/>
        </w:rPr>
      </w:pPr>
      <w:r>
        <w:rPr>
          <w:rFonts w:hint="eastAsia" w:ascii="仿宋" w:hAnsi="仿宋" w:eastAsia="仿宋" w:cs="仿宋"/>
          <w:color w:val="auto"/>
          <w:sz w:val="32"/>
          <w:szCs w:val="40"/>
          <w:highlight w:val="none"/>
        </w:rPr>
        <w:t>加强非税收入管理。严格</w:t>
      </w:r>
      <w:r>
        <w:rPr>
          <w:rFonts w:hint="eastAsia" w:ascii="仿宋" w:hAnsi="仿宋" w:eastAsia="仿宋" w:cs="仿宋"/>
          <w:color w:val="auto"/>
          <w:sz w:val="32"/>
          <w:szCs w:val="40"/>
          <w:highlight w:val="none"/>
          <w:lang w:val="en-US" w:eastAsia="zh-CN"/>
        </w:rPr>
        <w:t>依规</w:t>
      </w:r>
      <w:r>
        <w:rPr>
          <w:rFonts w:hint="eastAsia" w:ascii="仿宋" w:hAnsi="仿宋" w:eastAsia="仿宋" w:cs="仿宋"/>
          <w:color w:val="auto"/>
          <w:sz w:val="32"/>
          <w:szCs w:val="40"/>
          <w:highlight w:val="none"/>
        </w:rPr>
        <w:t>征收，</w:t>
      </w:r>
      <w:r>
        <w:rPr>
          <w:rFonts w:hint="eastAsia" w:ascii="仿宋" w:hAnsi="仿宋" w:eastAsia="仿宋" w:cs="仿宋"/>
          <w:color w:val="auto"/>
          <w:sz w:val="32"/>
          <w:szCs w:val="40"/>
          <w:highlight w:val="none"/>
          <w:lang w:val="en-US" w:eastAsia="zh-CN"/>
        </w:rPr>
        <w:t>按要求</w:t>
      </w:r>
      <w:r>
        <w:rPr>
          <w:rFonts w:hint="eastAsia" w:ascii="仿宋" w:hAnsi="仿宋" w:eastAsia="仿宋" w:cs="仿宋"/>
          <w:color w:val="auto"/>
          <w:sz w:val="32"/>
          <w:szCs w:val="40"/>
          <w:highlight w:val="none"/>
        </w:rPr>
        <w:t>及时足额入库</w:t>
      </w:r>
      <w:r>
        <w:rPr>
          <w:rFonts w:hint="eastAsia" w:ascii="仿宋" w:hAnsi="仿宋" w:eastAsia="仿宋" w:cs="仿宋"/>
          <w:color w:val="auto"/>
          <w:sz w:val="32"/>
          <w:szCs w:val="40"/>
          <w:highlight w:val="none"/>
          <w:lang w:eastAsia="zh-CN"/>
        </w:rPr>
        <w:t>，</w:t>
      </w:r>
      <w:r>
        <w:rPr>
          <w:rFonts w:hint="eastAsia" w:ascii="仿宋" w:hAnsi="仿宋" w:eastAsia="仿宋" w:cs="仿宋"/>
          <w:color w:val="auto"/>
          <w:sz w:val="32"/>
          <w:szCs w:val="40"/>
          <w:highlight w:val="none"/>
        </w:rPr>
        <w:t>严禁违规减征、免征、缓征，严禁违规设立非税收入项目、扩大征收范围、提高征收标准，防止采取虚收空转、乱收费等方式增加财政收入</w:t>
      </w:r>
      <w:r>
        <w:rPr>
          <w:rFonts w:hint="eastAsia" w:ascii="仿宋" w:hAnsi="仿宋" w:eastAsia="仿宋" w:cs="仿宋"/>
          <w:color w:val="auto"/>
          <w:sz w:val="32"/>
          <w:szCs w:val="40"/>
          <w:highlight w:val="none"/>
          <w:lang w:eastAsia="zh-CN"/>
        </w:rPr>
        <w:t>。</w:t>
      </w:r>
    </w:p>
    <w:p>
      <w:pPr>
        <w:pStyle w:val="9"/>
        <w:keepNext w:val="0"/>
        <w:keepLines w:val="0"/>
        <w:pageBreakBefore w:val="0"/>
        <w:widowControl w:val="0"/>
        <w:numPr>
          <w:ilvl w:val="0"/>
          <w:numId w:val="1"/>
        </w:numPr>
        <w:kinsoku/>
        <w:wordWrap/>
        <w:overflowPunct/>
        <w:topLinePunct w:val="0"/>
        <w:autoSpaceDE/>
        <w:autoSpaceDN/>
        <w:bidi w:val="0"/>
        <w:adjustRightInd/>
        <w:snapToGrid/>
        <w:spacing w:line="520" w:lineRule="exact"/>
        <w:ind w:left="200" w:leftChars="0" w:firstLine="640" w:firstLineChars="0"/>
        <w:textAlignment w:val="auto"/>
        <w:rPr>
          <w:rFonts w:ascii="仿宋" w:hAnsi="仿宋" w:eastAsia="仿宋" w:cs="仿宋"/>
          <w:color w:val="auto"/>
          <w:sz w:val="32"/>
          <w:szCs w:val="40"/>
          <w:highlight w:val="none"/>
        </w:rPr>
      </w:pPr>
      <w:r>
        <w:rPr>
          <w:rFonts w:hint="eastAsia" w:ascii="仿宋" w:hAnsi="仿宋" w:eastAsia="仿宋" w:cs="仿宋"/>
          <w:color w:val="auto"/>
          <w:sz w:val="32"/>
          <w:szCs w:val="40"/>
          <w:highlight w:val="none"/>
        </w:rPr>
        <w:t>努力盘活存量资金。</w:t>
      </w:r>
      <w:r>
        <w:rPr>
          <w:rFonts w:hint="eastAsia" w:ascii="仿宋" w:hAnsi="仿宋" w:eastAsia="仿宋" w:cs="仿宋"/>
          <w:color w:val="auto"/>
          <w:sz w:val="32"/>
          <w:szCs w:val="40"/>
          <w:highlight w:val="none"/>
          <w:lang w:val="en-US" w:eastAsia="zh-CN"/>
        </w:rPr>
        <w:t>认真</w:t>
      </w:r>
      <w:r>
        <w:rPr>
          <w:rFonts w:hint="eastAsia" w:ascii="仿宋" w:hAnsi="仿宋" w:eastAsia="仿宋" w:cs="仿宋"/>
          <w:color w:val="auto"/>
          <w:sz w:val="32"/>
          <w:szCs w:val="40"/>
          <w:highlight w:val="none"/>
        </w:rPr>
        <w:t>清理财政存量资金，及时收回结余资金和连续两年未用完的结转资金，统筹用于重点支出。对各部门单位长期沉淀闲置、不按原用途使用的资金</w:t>
      </w:r>
      <w:r>
        <w:rPr>
          <w:rFonts w:hint="eastAsia" w:ascii="仿宋" w:hAnsi="仿宋" w:eastAsia="仿宋" w:cs="仿宋"/>
          <w:color w:val="auto"/>
          <w:sz w:val="32"/>
          <w:szCs w:val="40"/>
          <w:highlight w:val="none"/>
          <w:lang w:val="en-US" w:eastAsia="zh-CN"/>
        </w:rPr>
        <w:t>等，</w:t>
      </w:r>
      <w:r>
        <w:rPr>
          <w:rFonts w:hint="eastAsia" w:ascii="仿宋" w:hAnsi="仿宋" w:eastAsia="仿宋" w:cs="仿宋"/>
          <w:color w:val="auto"/>
          <w:sz w:val="32"/>
          <w:szCs w:val="40"/>
          <w:highlight w:val="none"/>
        </w:rPr>
        <w:t>按规定收回财政或调整用于其他急需支持的项目。</w:t>
      </w: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jc w:val="both"/>
        <w:rPr>
          <w:rFonts w:hint="eastAsia" w:ascii="仿宋" w:hAnsi="仿宋" w:eastAsia="仿宋" w:cs="仿宋"/>
          <w:sz w:val="32"/>
          <w:szCs w:val="32"/>
          <w:highlight w:val="none"/>
          <w:lang w:val="en-US" w:eastAsia="zh-CN"/>
        </w:rPr>
      </w:pPr>
    </w:p>
    <w:p>
      <w:pPr>
        <w:jc w:val="center"/>
        <w:rPr>
          <w:rFonts w:hint="eastAsia" w:ascii="方正小标宋_GBK" w:hAnsi="方正小标宋_GBK" w:eastAsia="方正小标宋_GBK" w:cs="方正小标宋_GBK"/>
          <w:sz w:val="96"/>
          <w:szCs w:val="160"/>
          <w:highlight w:val="none"/>
          <w:lang w:val="en-US" w:eastAsia="zh-CN"/>
        </w:rPr>
      </w:pPr>
      <w:r>
        <w:rPr>
          <w:rFonts w:hint="eastAsia" w:ascii="方正小标宋_GBK" w:hAnsi="方正小标宋_GBK" w:eastAsia="方正小标宋_GBK" w:cs="方正小标宋_GBK"/>
          <w:sz w:val="96"/>
          <w:szCs w:val="160"/>
          <w:highlight w:val="none"/>
          <w:lang w:val="en-US" w:eastAsia="zh-CN"/>
        </w:rPr>
        <w:t>编  表  说  明</w:t>
      </w:r>
    </w:p>
    <w:p>
      <w:pPr>
        <w:rPr>
          <w:rFonts w:hint="eastAsia" w:ascii="仿宋" w:hAnsi="仿宋" w:eastAsia="仿宋" w:cs="仿宋"/>
          <w:sz w:val="96"/>
          <w:szCs w:val="160"/>
          <w:highlight w:val="none"/>
          <w:lang w:val="en-US" w:eastAsia="zh-CN"/>
        </w:rPr>
      </w:pPr>
    </w:p>
    <w:p>
      <w:pPr>
        <w:numPr>
          <w:ilvl w:val="0"/>
          <w:numId w:val="2"/>
        </w:numPr>
        <w:spacing w:line="240" w:lineRule="auto"/>
        <w:ind w:left="0" w:leftChars="0" w:firstLine="745" w:firstLineChars="233"/>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根据《中华人民共和国预算法》规定，本草案的表格和说明按一般公共预算、政府性基金预算等两本预算分别列示。</w:t>
      </w:r>
    </w:p>
    <w:p>
      <w:pPr>
        <w:numPr>
          <w:ilvl w:val="0"/>
          <w:numId w:val="2"/>
        </w:numPr>
        <w:spacing w:line="240" w:lineRule="auto"/>
        <w:ind w:left="0" w:leftChars="0" w:firstLine="745" w:firstLineChars="233"/>
        <w:rPr>
          <w:rFonts w:hint="eastAsia" w:ascii="仿宋" w:hAnsi="仿宋" w:eastAsia="仿宋" w:cs="仿宋"/>
          <w:color w:val="000000" w:themeColor="text1"/>
          <w:sz w:val="32"/>
          <w:szCs w:val="40"/>
          <w:highlight w:val="none"/>
          <w:lang w:val="en-US" w:eastAsia="zh-CN"/>
          <w14:textFill>
            <w14:solidFill>
              <w14:schemeClr w14:val="tx1"/>
            </w14:solidFill>
          </w14:textFill>
        </w:rPr>
      </w:pPr>
      <w:r>
        <w:rPr>
          <w:rFonts w:hint="eastAsia" w:ascii="仿宋" w:hAnsi="仿宋" w:eastAsia="仿宋" w:cs="仿宋"/>
          <w:sz w:val="32"/>
          <w:szCs w:val="40"/>
          <w:highlight w:val="none"/>
          <w:lang w:val="en-US" w:eastAsia="zh-CN"/>
        </w:rPr>
        <w:t>示范区财政预算包括一般公共预算、政府性基金预算两</w:t>
      </w:r>
      <w:r>
        <w:rPr>
          <w:rFonts w:hint="eastAsia" w:ascii="仿宋" w:hAnsi="仿宋" w:eastAsia="仿宋" w:cs="仿宋"/>
          <w:color w:val="000000" w:themeColor="text1"/>
          <w:sz w:val="32"/>
          <w:szCs w:val="40"/>
          <w:highlight w:val="none"/>
          <w:lang w:val="en-US" w:eastAsia="zh-CN"/>
          <w14:textFill>
            <w14:solidFill>
              <w14:schemeClr w14:val="tx1"/>
            </w14:solidFill>
          </w14:textFill>
        </w:rPr>
        <w:t>本预算，国有资本经营预算尚未开始编制。</w:t>
      </w:r>
    </w:p>
    <w:p>
      <w:pPr>
        <w:numPr>
          <w:ilvl w:val="0"/>
          <w:numId w:val="2"/>
        </w:numPr>
        <w:spacing w:line="240" w:lineRule="auto"/>
        <w:ind w:left="0" w:leftChars="0" w:firstLine="745" w:firstLineChars="233"/>
        <w:rPr>
          <w:rFonts w:hint="eastAsia" w:ascii="仿宋" w:hAnsi="仿宋" w:eastAsia="仿宋" w:cs="仿宋"/>
          <w:sz w:val="32"/>
          <w:szCs w:val="40"/>
          <w:highlight w:val="none"/>
          <w:lang w:val="en-US" w:eastAsia="zh-CN"/>
        </w:rPr>
      </w:pPr>
      <w:r>
        <w:rPr>
          <w:rFonts w:hint="eastAsia" w:ascii="仿宋" w:hAnsi="仿宋" w:eastAsia="仿宋" w:cs="仿宋"/>
          <w:sz w:val="32"/>
          <w:szCs w:val="40"/>
          <w:highlight w:val="none"/>
          <w:lang w:val="en-US" w:eastAsia="zh-CN"/>
        </w:rPr>
        <w:t>本说明对示范区2025年决算执行情况及相关表格作详细说明。</w:t>
      </w:r>
    </w:p>
    <w:p>
      <w:pPr>
        <w:numPr>
          <w:ilvl w:val="0"/>
          <w:numId w:val="0"/>
        </w:numPr>
        <w:spacing w:line="600" w:lineRule="auto"/>
        <w:jc w:val="left"/>
        <w:rPr>
          <w:rFonts w:hint="eastAsia" w:ascii="仿宋" w:hAnsi="仿宋" w:eastAsia="仿宋" w:cs="仿宋"/>
          <w:sz w:val="32"/>
          <w:szCs w:val="32"/>
          <w:highlight w:val="yellow"/>
          <w:lang w:val="en-US" w:eastAsia="zh-CN"/>
        </w:rPr>
      </w:pPr>
    </w:p>
    <w:p>
      <w:pPr>
        <w:numPr>
          <w:ilvl w:val="0"/>
          <w:numId w:val="0"/>
        </w:numPr>
        <w:spacing w:line="600" w:lineRule="auto"/>
        <w:jc w:val="left"/>
        <w:rPr>
          <w:rFonts w:hint="eastAsia" w:ascii="方正小标宋_GBK" w:hAnsi="方正小标宋_GBK" w:eastAsia="方正小标宋_GBK" w:cs="方正小标宋_GBK"/>
          <w:sz w:val="32"/>
          <w:szCs w:val="32"/>
          <w:highlight w:val="yellow"/>
          <w:lang w:val="en-US" w:eastAsia="zh-CN"/>
        </w:rPr>
      </w:pPr>
    </w:p>
    <w:p>
      <w:pPr>
        <w:numPr>
          <w:ilvl w:val="0"/>
          <w:numId w:val="0"/>
        </w:numPr>
        <w:spacing w:line="600" w:lineRule="auto"/>
        <w:jc w:val="left"/>
        <w:rPr>
          <w:rFonts w:hint="eastAsia" w:ascii="方正小标宋_GBK" w:hAnsi="方正小标宋_GBK" w:eastAsia="方正小标宋_GBK" w:cs="方正小标宋_GBK"/>
          <w:sz w:val="32"/>
          <w:szCs w:val="32"/>
          <w:highlight w:val="none"/>
          <w:lang w:val="en-US" w:eastAsia="zh-CN"/>
        </w:rPr>
      </w:pPr>
    </w:p>
    <w:p>
      <w:pPr>
        <w:numPr>
          <w:ilvl w:val="0"/>
          <w:numId w:val="0"/>
        </w:numPr>
        <w:spacing w:line="600" w:lineRule="auto"/>
        <w:jc w:val="left"/>
        <w:rPr>
          <w:rFonts w:hint="eastAsia" w:ascii="方正小标宋_GBK" w:hAnsi="方正小标宋_GBK" w:eastAsia="方正小标宋_GBK" w:cs="方正小标宋_GBK"/>
          <w:sz w:val="32"/>
          <w:szCs w:val="32"/>
          <w:highlight w:val="none"/>
          <w:lang w:val="en-US" w:eastAsia="zh-CN"/>
        </w:rPr>
      </w:pPr>
    </w:p>
    <w:p>
      <w:pPr>
        <w:numPr>
          <w:ilvl w:val="0"/>
          <w:numId w:val="0"/>
        </w:numPr>
        <w:spacing w:line="600" w:lineRule="auto"/>
        <w:jc w:val="center"/>
        <w:rPr>
          <w:rFonts w:hint="eastAsia" w:ascii="方正小标宋_GBK" w:hAnsi="方正小标宋_GBK" w:eastAsia="方正小标宋_GBK" w:cs="方正小标宋_GBK"/>
          <w:sz w:val="44"/>
          <w:szCs w:val="52"/>
          <w:highlight w:val="none"/>
          <w:lang w:val="en-US" w:eastAsia="zh-CN"/>
        </w:rPr>
      </w:pPr>
      <w:r>
        <w:rPr>
          <w:rFonts w:hint="eastAsia" w:ascii="方正小标宋_GBK" w:hAnsi="方正小标宋_GBK" w:eastAsia="方正小标宋_GBK" w:cs="方正小标宋_GBK"/>
          <w:sz w:val="44"/>
          <w:szCs w:val="52"/>
          <w:highlight w:val="none"/>
          <w:lang w:val="en-US" w:eastAsia="zh-CN"/>
        </w:rPr>
        <w:t>专有名词释义</w:t>
      </w:r>
    </w:p>
    <w:p>
      <w:pPr>
        <w:numPr>
          <w:ilvl w:val="0"/>
          <w:numId w:val="0"/>
        </w:numPr>
        <w:spacing w:line="240" w:lineRule="auto"/>
        <w:ind w:left="0" w:leftChars="0"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一般公共预算：</w:t>
      </w:r>
      <w:r>
        <w:rPr>
          <w:rFonts w:hint="eastAsia" w:ascii="仿宋" w:hAnsi="仿宋" w:eastAsia="仿宋" w:cs="仿宋"/>
          <w:sz w:val="32"/>
          <w:szCs w:val="32"/>
          <w:highlight w:val="none"/>
          <w:lang w:val="en-US" w:eastAsia="zh-CN"/>
        </w:rPr>
        <w:t>是对以税收为主体的财政收入，安排用于保障和改善民生、推动经济社会发展、维护国家安全、维持国家机构正常运转等方面的收支预算。</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政府性基金预算：</w:t>
      </w:r>
      <w:r>
        <w:rPr>
          <w:rFonts w:hint="eastAsia" w:ascii="仿宋" w:hAnsi="仿宋" w:eastAsia="仿宋" w:cs="仿宋"/>
          <w:sz w:val="32"/>
          <w:szCs w:val="32"/>
          <w:highlight w:val="none"/>
          <w:lang w:val="en-US" w:eastAsia="zh-CN"/>
        </w:rPr>
        <w:t>是对依照法律、行政法规的规定在一定期限内向特定对象征收、收取或者以其他方式筹集的资金，专项用于特定公共事业发展的收支预算。</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税收收入：</w:t>
      </w:r>
      <w:r>
        <w:rPr>
          <w:rFonts w:hint="eastAsia" w:ascii="仿宋" w:hAnsi="仿宋" w:eastAsia="仿宋" w:cs="仿宋"/>
          <w:sz w:val="32"/>
          <w:szCs w:val="32"/>
          <w:highlight w:val="none"/>
          <w:lang w:val="en-US" w:eastAsia="zh-CN"/>
        </w:rPr>
        <w:t>国家按预定标准，向经济组织和居民征收取得的收入。</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非税收入：</w:t>
      </w:r>
      <w:r>
        <w:rPr>
          <w:rFonts w:hint="eastAsia" w:ascii="仿宋" w:hAnsi="仿宋" w:eastAsia="仿宋" w:cs="仿宋"/>
          <w:sz w:val="32"/>
          <w:szCs w:val="32"/>
          <w:highlight w:val="none"/>
          <w:lang w:val="en-US" w:eastAsia="zh-CN"/>
        </w:rPr>
        <w:t>是指除税收收入以外，由各级政府、国家机关、事业单位、代行政府职能的社会团体和其他组织依法利用政府权力、政府信誉、国家资源、国有资产或提供特定公共服务、准公共服务取得的财政性资金。</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转移性收入：</w:t>
      </w:r>
      <w:r>
        <w:rPr>
          <w:rFonts w:hint="eastAsia" w:ascii="仿宋" w:hAnsi="仿宋" w:eastAsia="仿宋" w:cs="仿宋"/>
          <w:sz w:val="32"/>
          <w:szCs w:val="32"/>
          <w:highlight w:val="none"/>
          <w:lang w:val="en-US" w:eastAsia="zh-CN"/>
        </w:rPr>
        <w:t>是指上级财政拨付下级财政的转移支付性质的收入。含一般性转移支付收入、专项转移支付收入和返还性收入。</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一般性转移支付：</w:t>
      </w:r>
      <w:r>
        <w:rPr>
          <w:rFonts w:hint="eastAsia" w:ascii="仿宋" w:hAnsi="仿宋" w:eastAsia="仿宋" w:cs="仿宋"/>
          <w:sz w:val="32"/>
          <w:szCs w:val="32"/>
          <w:highlight w:val="none"/>
          <w:lang w:val="en-US" w:eastAsia="zh-CN"/>
        </w:rPr>
        <w:t>是指上级政府对下级政府，按照规范的办法给予的补助。不指定特定用途，下级政府可按需要安排支出。</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专项转移支付：</w:t>
      </w:r>
      <w:r>
        <w:rPr>
          <w:rFonts w:hint="eastAsia" w:ascii="仿宋" w:hAnsi="仿宋" w:eastAsia="仿宋" w:cs="仿宋"/>
          <w:sz w:val="32"/>
          <w:szCs w:val="32"/>
          <w:highlight w:val="none"/>
          <w:lang w:val="en-US" w:eastAsia="zh-CN"/>
        </w:rPr>
        <w:t>是指上级政府(一般指中央、省、市级政府)为实现特定的宏观政策目标，以及对委托下级政府代理的一些事务进行补偿而设立的专项补助资金，需按规定用途使用。</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返还性收入：</w:t>
      </w:r>
      <w:r>
        <w:rPr>
          <w:rFonts w:hint="eastAsia" w:ascii="仿宋" w:hAnsi="仿宋" w:eastAsia="仿宋" w:cs="仿宋"/>
          <w:sz w:val="32"/>
          <w:szCs w:val="32"/>
          <w:highlight w:val="none"/>
          <w:lang w:val="en-US" w:eastAsia="zh-CN"/>
        </w:rPr>
        <w:t>是指下级政府收到的上级政府税收返还收入。</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调入资金：</w:t>
      </w:r>
      <w:r>
        <w:rPr>
          <w:rFonts w:hint="eastAsia" w:ascii="仿宋" w:hAnsi="仿宋" w:eastAsia="仿宋" w:cs="仿宋"/>
          <w:sz w:val="32"/>
          <w:szCs w:val="32"/>
          <w:highlight w:val="none"/>
          <w:lang w:val="en-US" w:eastAsia="zh-CN"/>
        </w:rPr>
        <w:t>是指按规定从政府性基金等其他渠道调入一般公共预算的资金。</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上解支出：</w:t>
      </w:r>
      <w:r>
        <w:rPr>
          <w:rFonts w:hint="eastAsia" w:ascii="仿宋" w:hAnsi="仿宋" w:eastAsia="仿宋" w:cs="仿宋"/>
          <w:sz w:val="32"/>
          <w:szCs w:val="32"/>
          <w:highlight w:val="none"/>
          <w:lang w:val="en-US" w:eastAsia="zh-CN"/>
        </w:rPr>
        <w:t>是因体制变化需下级政府上缴至上级政府的支出。</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预算稳定调节基金：</w:t>
      </w:r>
      <w:r>
        <w:rPr>
          <w:rFonts w:hint="eastAsia" w:ascii="仿宋" w:hAnsi="仿宋" w:eastAsia="仿宋" w:cs="仿宋"/>
          <w:sz w:val="32"/>
          <w:szCs w:val="32"/>
          <w:highlight w:val="none"/>
          <w:lang w:val="en-US" w:eastAsia="zh-CN"/>
        </w:rPr>
        <w:t xml:space="preserve">是指各级财政为保证预算的稳定性，通过超收安排，用于弥补短收年份收支缺口，及视预算平衡情况，在安排年初预算时调入并安排使用的专用基金。  </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转移性支出：</w:t>
      </w:r>
      <w:r>
        <w:rPr>
          <w:rFonts w:hint="eastAsia" w:ascii="仿宋" w:hAnsi="仿宋" w:eastAsia="仿宋" w:cs="仿宋"/>
          <w:sz w:val="32"/>
          <w:szCs w:val="32"/>
          <w:highlight w:val="none"/>
          <w:lang w:val="en-US" w:eastAsia="zh-CN"/>
        </w:rPr>
        <w:t>对应转移性收入，是指按照规定向下级财政拨付的转移支出性质的资金，包括返还性支出、一般性转移支付支出和专项转移支付支出。</w:t>
      </w:r>
    </w:p>
    <w:p>
      <w:pPr>
        <w:numPr>
          <w:ilvl w:val="0"/>
          <w:numId w:val="0"/>
        </w:numPr>
        <w:spacing w:line="240" w:lineRule="auto"/>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政府性基金：</w:t>
      </w:r>
      <w:r>
        <w:rPr>
          <w:rFonts w:hint="eastAsia" w:ascii="仿宋" w:hAnsi="仿宋" w:eastAsia="仿宋" w:cs="仿宋"/>
          <w:sz w:val="32"/>
          <w:szCs w:val="32"/>
          <w:highlight w:val="none"/>
          <w:lang w:val="en-US" w:eastAsia="zh-CN"/>
        </w:rPr>
        <w:t>是指各级人民政府及其所属部门根据法律、行政法规和中共中央、国务院文件规定，为支持特定公共基础设施建设和公共事业发展，向公民、法人和其他组织无偿征收的具有专项用途的财政资金。</w:t>
      </w: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Theme="majorEastAsia" w:hAnsiTheme="majorEastAsia" w:eastAsiaTheme="majorEastAsia" w:cstheme="majorEastAsia"/>
          <w:b w:val="0"/>
          <w:bCs w:val="0"/>
          <w:sz w:val="44"/>
          <w:szCs w:val="44"/>
          <w:highlight w:val="yellow"/>
          <w:lang w:val="en-US" w:eastAsia="zh-CN"/>
        </w:rPr>
      </w:pPr>
    </w:p>
    <w:p>
      <w:pPr>
        <w:numPr>
          <w:ilvl w:val="0"/>
          <w:numId w:val="0"/>
        </w:numPr>
        <w:spacing w:line="240" w:lineRule="auto"/>
        <w:jc w:val="both"/>
        <w:rPr>
          <w:rFonts w:hint="eastAsia" w:asciiTheme="majorEastAsia" w:hAnsiTheme="majorEastAsia" w:eastAsiaTheme="majorEastAsia" w:cstheme="majorEastAsia"/>
          <w:b w:val="0"/>
          <w:bCs w:val="0"/>
          <w:sz w:val="44"/>
          <w:szCs w:val="44"/>
          <w:highlight w:val="yellow"/>
          <w:lang w:val="en-US" w:eastAsia="zh-CN"/>
        </w:rPr>
      </w:pPr>
    </w:p>
    <w:p>
      <w:pPr>
        <w:numPr>
          <w:ilvl w:val="0"/>
          <w:numId w:val="0"/>
        </w:numPr>
        <w:spacing w:line="240" w:lineRule="auto"/>
        <w:jc w:val="both"/>
        <w:rPr>
          <w:rFonts w:hint="eastAsia" w:asciiTheme="majorEastAsia" w:hAnsiTheme="majorEastAsia" w:eastAsiaTheme="majorEastAsia" w:cstheme="majorEastAsia"/>
          <w:b w:val="0"/>
          <w:bCs w:val="0"/>
          <w:sz w:val="44"/>
          <w:szCs w:val="44"/>
          <w:highlight w:val="yellow"/>
          <w:lang w:val="en-US" w:eastAsia="zh-CN"/>
        </w:rPr>
      </w:pPr>
    </w:p>
    <w:p>
      <w:pPr>
        <w:numPr>
          <w:ilvl w:val="0"/>
          <w:numId w:val="0"/>
        </w:numPr>
        <w:spacing w:line="240" w:lineRule="auto"/>
        <w:jc w:val="both"/>
        <w:rPr>
          <w:rFonts w:hint="eastAsia" w:asciiTheme="majorEastAsia" w:hAnsiTheme="majorEastAsia" w:eastAsiaTheme="majorEastAsia" w:cstheme="majorEastAsia"/>
          <w:b w:val="0"/>
          <w:bCs w:val="0"/>
          <w:sz w:val="44"/>
          <w:szCs w:val="44"/>
          <w:highlight w:val="yellow"/>
          <w:lang w:val="en-US" w:eastAsia="zh-CN"/>
        </w:rPr>
      </w:pPr>
    </w:p>
    <w:p>
      <w:pPr>
        <w:numPr>
          <w:ilvl w:val="0"/>
          <w:numId w:val="0"/>
        </w:numPr>
        <w:spacing w:line="240" w:lineRule="auto"/>
        <w:jc w:val="both"/>
        <w:rPr>
          <w:rFonts w:hint="eastAsia" w:asciiTheme="majorEastAsia" w:hAnsiTheme="majorEastAsia" w:eastAsiaTheme="majorEastAsia" w:cstheme="majorEastAsia"/>
          <w:b w:val="0"/>
          <w:bCs w:val="0"/>
          <w:sz w:val="44"/>
          <w:szCs w:val="44"/>
          <w:highlight w:val="yellow"/>
          <w:lang w:val="en-US" w:eastAsia="zh-CN"/>
        </w:rPr>
      </w:pPr>
    </w:p>
    <w:p>
      <w:pPr>
        <w:numPr>
          <w:ilvl w:val="0"/>
          <w:numId w:val="0"/>
        </w:numPr>
        <w:spacing w:line="240" w:lineRule="auto"/>
        <w:jc w:val="both"/>
        <w:rPr>
          <w:rFonts w:hint="eastAsia" w:asciiTheme="majorEastAsia" w:hAnsiTheme="majorEastAsia" w:eastAsiaTheme="majorEastAsia" w:cstheme="majorEastAsia"/>
          <w:b w:val="0"/>
          <w:bCs w:val="0"/>
          <w:sz w:val="44"/>
          <w:szCs w:val="44"/>
          <w:highlight w:val="yellow"/>
          <w:lang w:val="en-US" w:eastAsia="zh-CN"/>
        </w:rPr>
      </w:pPr>
    </w:p>
    <w:p>
      <w:pPr>
        <w:numPr>
          <w:ilvl w:val="0"/>
          <w:numId w:val="0"/>
        </w:numPr>
        <w:spacing w:line="240" w:lineRule="auto"/>
        <w:jc w:val="center"/>
        <w:rPr>
          <w:rFonts w:hint="eastAsia" w:ascii="方正小标宋_GBK" w:hAnsi="方正小标宋_GBK" w:eastAsia="方正小标宋_GBK" w:cs="方正小标宋_GBK"/>
          <w:b w:val="0"/>
          <w:bCs w:val="0"/>
          <w:sz w:val="52"/>
          <w:szCs w:val="52"/>
          <w:highlight w:val="none"/>
          <w:lang w:val="en-US" w:eastAsia="zh-CN"/>
        </w:rPr>
      </w:pPr>
      <w:r>
        <w:rPr>
          <w:rFonts w:hint="eastAsia" w:ascii="方正小标宋_GBK" w:hAnsi="方正小标宋_GBK" w:eastAsia="方正小标宋_GBK" w:cs="方正小标宋_GBK"/>
          <w:b w:val="0"/>
          <w:bCs w:val="0"/>
          <w:sz w:val="52"/>
          <w:szCs w:val="52"/>
          <w:highlight w:val="none"/>
          <w:lang w:val="en-US" w:eastAsia="zh-CN"/>
        </w:rPr>
        <w:t>2025年示范区</w:t>
      </w:r>
    </w:p>
    <w:p>
      <w:pPr>
        <w:numPr>
          <w:ilvl w:val="0"/>
          <w:numId w:val="0"/>
        </w:numPr>
        <w:spacing w:line="240" w:lineRule="auto"/>
        <w:jc w:val="center"/>
        <w:rPr>
          <w:rFonts w:hint="eastAsia" w:ascii="方正小标宋_GBK" w:hAnsi="方正小标宋_GBK" w:eastAsia="方正小标宋_GBK" w:cs="方正小标宋_GBK"/>
          <w:b w:val="0"/>
          <w:bCs w:val="0"/>
          <w:sz w:val="52"/>
          <w:szCs w:val="52"/>
          <w:highlight w:val="none"/>
          <w:lang w:val="en-US" w:eastAsia="zh-CN"/>
        </w:rPr>
      </w:pPr>
      <w:r>
        <w:rPr>
          <w:rFonts w:hint="eastAsia" w:ascii="方正小标宋_GBK" w:hAnsi="方正小标宋_GBK" w:eastAsia="方正小标宋_GBK" w:cs="方正小标宋_GBK"/>
          <w:b w:val="0"/>
          <w:bCs w:val="0"/>
          <w:sz w:val="52"/>
          <w:szCs w:val="52"/>
          <w:highlight w:val="none"/>
          <w:lang w:val="en-US" w:eastAsia="zh-CN"/>
        </w:rPr>
        <w:t>一般公共预算收支执行情况</w:t>
      </w:r>
    </w:p>
    <w:p>
      <w:pPr>
        <w:numPr>
          <w:ilvl w:val="0"/>
          <w:numId w:val="0"/>
        </w:numPr>
        <w:spacing w:line="240" w:lineRule="auto"/>
        <w:jc w:val="both"/>
        <w:rPr>
          <w:rFonts w:hint="eastAsia" w:asciiTheme="majorEastAsia" w:hAnsiTheme="majorEastAsia" w:eastAsiaTheme="majorEastAsia" w:cstheme="majorEastAsia"/>
          <w:b w:val="0"/>
          <w:bCs w:val="0"/>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jc w:val="both"/>
        <w:rPr>
          <w:rFonts w:hint="eastAsia" w:ascii="仿宋" w:hAnsi="仿宋" w:eastAsia="仿宋" w:cs="仿宋"/>
          <w:b/>
          <w:bCs/>
          <w:sz w:val="44"/>
          <w:szCs w:val="44"/>
          <w:highlight w:val="yellow"/>
          <w:lang w:val="en-US" w:eastAsia="zh-CN"/>
        </w:rPr>
      </w:pPr>
    </w:p>
    <w:tbl>
      <w:tblPr>
        <w:tblStyle w:val="10"/>
        <w:tblpPr w:leftFromText="180" w:rightFromText="180" w:vertAnchor="text" w:horzAnchor="page" w:tblpX="1976" w:tblpY="459"/>
        <w:tblOverlap w:val="never"/>
        <w:tblW w:w="8020" w:type="dxa"/>
        <w:tblInd w:w="0" w:type="dxa"/>
        <w:shd w:val="clear" w:color="auto" w:fill="auto"/>
        <w:tblLayout w:type="fixed"/>
        <w:tblCellMar>
          <w:top w:w="0" w:type="dxa"/>
          <w:left w:w="0" w:type="dxa"/>
          <w:bottom w:w="0" w:type="dxa"/>
          <w:right w:w="0" w:type="dxa"/>
        </w:tblCellMar>
      </w:tblPr>
      <w:tblGrid>
        <w:gridCol w:w="2854"/>
        <w:gridCol w:w="1331"/>
        <w:gridCol w:w="2450"/>
        <w:gridCol w:w="1385"/>
      </w:tblGrid>
      <w:tr>
        <w:tblPrEx>
          <w:tblCellMar>
            <w:top w:w="0" w:type="dxa"/>
            <w:left w:w="0" w:type="dxa"/>
            <w:bottom w:w="0" w:type="dxa"/>
            <w:right w:w="0" w:type="dxa"/>
          </w:tblCellMar>
        </w:tblPrEx>
        <w:trPr>
          <w:trHeight w:val="870" w:hRule="atLeast"/>
        </w:trPr>
        <w:tc>
          <w:tcPr>
            <w:tcW w:w="8020" w:type="dxa"/>
            <w:gridSpan w:val="4"/>
            <w:tcBorders>
              <w:top w:val="nil"/>
              <w:left w:val="nil"/>
              <w:bottom w:val="nil"/>
              <w:right w:val="nil"/>
            </w:tcBorders>
            <w:shd w:val="clear" w:color="auto" w:fill="auto"/>
            <w:noWrap/>
            <w:tcMar>
              <w:top w:w="15" w:type="dxa"/>
              <w:left w:w="15" w:type="dxa"/>
              <w:right w:w="15" w:type="dxa"/>
            </w:tcMar>
            <w:vAlign w:val="bottom"/>
          </w:tcPr>
          <w:p>
            <w:pPr>
              <w:jc w:val="center"/>
              <w:rPr>
                <w:rFonts w:hint="eastAsia" w:ascii="仿宋" w:hAnsi="仿宋" w:eastAsia="仿宋" w:cs="仿宋"/>
                <w:b/>
                <w:i w:val="0"/>
                <w:color w:val="000000"/>
                <w:sz w:val="40"/>
                <w:szCs w:val="40"/>
                <w:highlight w:val="none"/>
                <w:u w:val="none"/>
              </w:rPr>
            </w:pPr>
            <w:r>
              <w:rPr>
                <w:rFonts w:hint="eastAsia" w:ascii="仿宋" w:hAnsi="仿宋" w:eastAsia="仿宋" w:cs="仿宋"/>
                <w:b/>
                <w:i w:val="0"/>
                <w:color w:val="000000" w:themeColor="text1"/>
                <w:kern w:val="0"/>
                <w:sz w:val="40"/>
                <w:szCs w:val="40"/>
                <w:highlight w:val="none"/>
                <w:u w:val="none"/>
                <w:lang w:val="en-US" w:eastAsia="zh-CN" w:bidi="ar"/>
                <w14:textFill>
                  <w14:solidFill>
                    <w14:schemeClr w14:val="tx1"/>
                  </w14:solidFill>
                </w14:textFill>
              </w:rPr>
              <w:t>2025年一般公共预算收支平衡表</w:t>
            </w:r>
          </w:p>
        </w:tc>
      </w:tr>
      <w:tr>
        <w:tblPrEx>
          <w:shd w:val="clear" w:color="auto" w:fill="auto"/>
          <w:tblCellMar>
            <w:top w:w="0" w:type="dxa"/>
            <w:left w:w="0" w:type="dxa"/>
            <w:bottom w:w="0" w:type="dxa"/>
            <w:right w:w="0" w:type="dxa"/>
          </w:tblCellMar>
        </w:tblPrEx>
        <w:trPr>
          <w:trHeight w:val="448" w:hRule="atLeast"/>
        </w:trPr>
        <w:tc>
          <w:tcPr>
            <w:tcW w:w="2854" w:type="dxa"/>
            <w:tcBorders>
              <w:top w:val="nil"/>
              <w:left w:val="nil"/>
              <w:bottom w:val="nil"/>
              <w:right w:val="nil"/>
            </w:tcBorders>
            <w:shd w:val="clear" w:color="auto" w:fill="auto"/>
            <w:noWrap/>
            <w:tcMar>
              <w:top w:w="15" w:type="dxa"/>
              <w:left w:w="15" w:type="dxa"/>
              <w:right w:w="15" w:type="dxa"/>
            </w:tcMar>
            <w:vAlign w:val="bottom"/>
          </w:tcPr>
          <w:p>
            <w:pPr>
              <w:rPr>
                <w:rFonts w:hint="eastAsia" w:ascii="仿宋" w:hAnsi="仿宋" w:eastAsia="仿宋" w:cs="仿宋"/>
                <w:i w:val="0"/>
                <w:color w:val="000000"/>
                <w:sz w:val="24"/>
                <w:szCs w:val="24"/>
                <w:highlight w:val="none"/>
                <w:u w:val="none"/>
              </w:rPr>
            </w:pPr>
          </w:p>
        </w:tc>
        <w:tc>
          <w:tcPr>
            <w:tcW w:w="1331"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仿宋" w:hAnsi="仿宋" w:eastAsia="仿宋" w:cs="仿宋"/>
                <w:i w:val="0"/>
                <w:color w:val="000000"/>
                <w:sz w:val="24"/>
                <w:szCs w:val="24"/>
                <w:highlight w:val="none"/>
                <w:u w:val="none"/>
              </w:rPr>
            </w:pPr>
          </w:p>
        </w:tc>
        <w:tc>
          <w:tcPr>
            <w:tcW w:w="3835"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tabs>
                <w:tab w:val="left" w:pos="3601"/>
              </w:tabs>
              <w:ind w:firstLine="2640" w:firstLineChars="1200"/>
              <w:jc w:val="left"/>
              <w:textAlignment w:val="center"/>
              <w:rPr>
                <w:rFonts w:hint="eastAsia" w:ascii="仿宋" w:hAnsi="仿宋" w:eastAsia="仿宋" w:cs="仿宋"/>
                <w:i w:val="0"/>
                <w:color w:val="000000"/>
                <w:sz w:val="24"/>
                <w:szCs w:val="24"/>
                <w:highlight w:val="none"/>
                <w:u w:val="none"/>
                <w:lang w:eastAsia="zh-CN"/>
              </w:rPr>
            </w:pPr>
            <w:r>
              <w:rPr>
                <w:rFonts w:hint="eastAsia" w:ascii="仿宋" w:hAnsi="仿宋" w:eastAsia="仿宋" w:cs="仿宋"/>
                <w:i w:val="0"/>
                <w:color w:val="000000"/>
                <w:kern w:val="0"/>
                <w:sz w:val="22"/>
                <w:szCs w:val="22"/>
                <w:highlight w:val="none"/>
                <w:u w:val="none"/>
                <w:lang w:val="en-US" w:eastAsia="zh-CN" w:bidi="ar"/>
              </w:rPr>
              <w:t>单位：万元</w:t>
            </w:r>
          </w:p>
        </w:tc>
      </w:tr>
      <w:tr>
        <w:tblPrEx>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0"/>
                <w:szCs w:val="20"/>
                <w:highlight w:val="none"/>
                <w:u w:val="none"/>
              </w:rPr>
            </w:pPr>
            <w:r>
              <w:rPr>
                <w:rFonts w:hint="eastAsia" w:ascii="仿宋" w:hAnsi="仿宋" w:eastAsia="仿宋" w:cs="仿宋"/>
                <w:b/>
                <w:i w:val="0"/>
                <w:color w:val="000000"/>
                <w:kern w:val="0"/>
                <w:sz w:val="20"/>
                <w:szCs w:val="20"/>
                <w:highlight w:val="none"/>
                <w:u w:val="none"/>
                <w:lang w:val="en-US" w:eastAsia="zh-CN" w:bidi="ar"/>
              </w:rPr>
              <w:t>收入项目</w:t>
            </w:r>
          </w:p>
        </w:tc>
        <w:tc>
          <w:tcPr>
            <w:tcW w:w="1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0"/>
                <w:szCs w:val="20"/>
                <w:highlight w:val="none"/>
                <w:u w:val="none"/>
              </w:rPr>
            </w:pPr>
            <w:r>
              <w:rPr>
                <w:rFonts w:hint="eastAsia" w:ascii="仿宋" w:hAnsi="仿宋" w:eastAsia="仿宋" w:cs="仿宋"/>
                <w:b/>
                <w:i w:val="0"/>
                <w:color w:val="000000"/>
                <w:kern w:val="0"/>
                <w:sz w:val="20"/>
                <w:szCs w:val="20"/>
                <w:highlight w:val="none"/>
                <w:u w:val="none"/>
                <w:lang w:val="en-US" w:eastAsia="zh-CN" w:bidi="ar"/>
              </w:rPr>
              <w:t>2025年</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0"/>
                <w:szCs w:val="20"/>
                <w:highlight w:val="none"/>
                <w:u w:val="none"/>
              </w:rPr>
            </w:pPr>
            <w:r>
              <w:rPr>
                <w:rFonts w:hint="eastAsia" w:ascii="仿宋" w:hAnsi="仿宋" w:eastAsia="仿宋" w:cs="仿宋"/>
                <w:b/>
                <w:i w:val="0"/>
                <w:color w:val="000000"/>
                <w:kern w:val="0"/>
                <w:sz w:val="20"/>
                <w:szCs w:val="20"/>
                <w:highlight w:val="none"/>
                <w:u w:val="none"/>
                <w:lang w:val="en-US" w:eastAsia="zh-CN" w:bidi="ar"/>
              </w:rPr>
              <w:t>支出项目</w:t>
            </w:r>
          </w:p>
        </w:tc>
        <w:tc>
          <w:tcPr>
            <w:tcW w:w="13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sz w:val="20"/>
                <w:szCs w:val="20"/>
                <w:highlight w:val="none"/>
                <w:u w:val="none"/>
              </w:rPr>
            </w:pPr>
            <w:r>
              <w:rPr>
                <w:rFonts w:hint="eastAsia" w:ascii="仿宋" w:hAnsi="仿宋" w:eastAsia="仿宋" w:cs="仿宋"/>
                <w:b/>
                <w:i w:val="0"/>
                <w:color w:val="000000"/>
                <w:kern w:val="0"/>
                <w:sz w:val="20"/>
                <w:szCs w:val="20"/>
                <w:highlight w:val="none"/>
                <w:u w:val="none"/>
                <w:lang w:val="en-US" w:eastAsia="zh-CN" w:bidi="ar"/>
              </w:rPr>
              <w:t>2025年</w:t>
            </w:r>
          </w:p>
        </w:tc>
      </w:tr>
      <w:tr>
        <w:tblPrEx>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20"/>
                <w:szCs w:val="20"/>
                <w:highlight w:val="none"/>
                <w:u w:val="none"/>
                <w:lang w:val="en-US"/>
              </w:rPr>
            </w:pPr>
            <w:r>
              <w:rPr>
                <w:rFonts w:hint="eastAsia" w:ascii="仿宋" w:hAnsi="仿宋" w:eastAsia="仿宋" w:cs="仿宋"/>
                <w:b/>
                <w:bCs/>
                <w:i w:val="0"/>
                <w:color w:val="000000"/>
                <w:kern w:val="0"/>
                <w:sz w:val="20"/>
                <w:szCs w:val="20"/>
                <w:highlight w:val="none"/>
                <w:u w:val="none"/>
                <w:lang w:val="en-US" w:eastAsia="zh-CN" w:bidi="ar"/>
              </w:rPr>
              <w:t>一、当年收入合计</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72444</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b/>
                <w:bCs/>
                <w:i w:val="0"/>
                <w:color w:val="000000"/>
                <w:kern w:val="0"/>
                <w:sz w:val="20"/>
                <w:szCs w:val="20"/>
                <w:highlight w:val="none"/>
                <w:u w:val="none"/>
                <w:lang w:val="en-US" w:eastAsia="zh-CN" w:bidi="ar"/>
              </w:rPr>
              <w:t>一、当年支出合计</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0"/>
                <w:szCs w:val="20"/>
                <w:highlight w:val="yellow"/>
                <w:u w:val="none"/>
                <w:lang w:val="en-US" w:eastAsia="zh-CN"/>
              </w:rPr>
            </w:pPr>
            <w:r>
              <w:rPr>
                <w:rFonts w:hint="eastAsia" w:ascii="仿宋" w:hAnsi="仿宋" w:eastAsia="仿宋" w:cs="仿宋"/>
                <w:i w:val="0"/>
                <w:color w:val="000000"/>
                <w:sz w:val="20"/>
                <w:szCs w:val="20"/>
                <w:highlight w:val="none"/>
                <w:u w:val="none"/>
                <w:lang w:val="en-US" w:eastAsia="zh-CN"/>
              </w:rPr>
              <w:t>87285</w:t>
            </w:r>
          </w:p>
        </w:tc>
      </w:tr>
      <w:tr>
        <w:tblPrEx>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b/>
                <w:bCs/>
                <w:i w:val="0"/>
                <w:color w:val="000000"/>
                <w:kern w:val="0"/>
                <w:sz w:val="20"/>
                <w:szCs w:val="20"/>
                <w:highlight w:val="none"/>
                <w:u w:val="none"/>
                <w:lang w:val="en-US" w:eastAsia="zh-CN" w:bidi="ar"/>
              </w:rPr>
              <w:t>二、上级补助收入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27577</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b/>
                <w:bCs/>
                <w:i w:val="0"/>
                <w:color w:val="000000"/>
                <w:kern w:val="0"/>
                <w:sz w:val="20"/>
                <w:szCs w:val="20"/>
                <w:highlight w:val="none"/>
                <w:u w:val="none"/>
                <w:lang w:val="en-US" w:eastAsia="zh-CN" w:bidi="ar"/>
              </w:rPr>
              <w:t>二、上解上级支出</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yellow"/>
                <w:u w:val="none"/>
                <w:lang w:val="en-US" w:eastAsia="zh-CN"/>
              </w:rPr>
            </w:pPr>
            <w:r>
              <w:rPr>
                <w:rFonts w:hint="eastAsia" w:ascii="仿宋" w:hAnsi="仿宋" w:eastAsia="仿宋" w:cs="仿宋"/>
                <w:i w:val="0"/>
                <w:color w:val="000000"/>
                <w:sz w:val="20"/>
                <w:szCs w:val="20"/>
                <w:highlight w:val="none"/>
                <w:u w:val="none"/>
                <w:lang w:val="en-US" w:eastAsia="zh-CN"/>
              </w:rPr>
              <w:t>660</w:t>
            </w:r>
          </w:p>
        </w:tc>
      </w:tr>
      <w:tr>
        <w:tblPrEx>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i w:val="0"/>
                <w:color w:val="000000"/>
                <w:kern w:val="0"/>
                <w:sz w:val="20"/>
                <w:szCs w:val="20"/>
                <w:highlight w:val="none"/>
                <w:u w:val="none"/>
                <w:lang w:val="en-US" w:eastAsia="zh-CN" w:bidi="ar"/>
              </w:rPr>
              <w:t xml:space="preserve">    </w:t>
            </w:r>
            <w:r>
              <w:rPr>
                <w:rFonts w:hint="eastAsia" w:ascii="仿宋" w:hAnsi="仿宋" w:eastAsia="仿宋" w:cs="仿宋"/>
                <w:b/>
                <w:bCs/>
                <w:i w:val="0"/>
                <w:color w:val="000000"/>
                <w:kern w:val="0"/>
                <w:sz w:val="20"/>
                <w:szCs w:val="20"/>
                <w:highlight w:val="none"/>
                <w:u w:val="none"/>
                <w:lang w:val="en-US" w:eastAsia="zh-CN" w:bidi="ar"/>
              </w:rPr>
              <w:t>一般性转移性支付收入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26996</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2"/>
                <w:sz w:val="20"/>
                <w:szCs w:val="20"/>
                <w:highlight w:val="none"/>
                <w:u w:val="none"/>
                <w:lang w:val="en-US" w:eastAsia="zh-CN" w:bidi="ar-SA"/>
              </w:rPr>
            </w:pPr>
            <w:r>
              <w:rPr>
                <w:rFonts w:hint="eastAsia" w:ascii="仿宋" w:hAnsi="仿宋" w:eastAsia="仿宋" w:cs="仿宋"/>
                <w:i w:val="0"/>
                <w:color w:val="000000"/>
                <w:kern w:val="0"/>
                <w:sz w:val="20"/>
                <w:szCs w:val="20"/>
                <w:highlight w:val="none"/>
                <w:u w:val="none"/>
                <w:lang w:val="en-US" w:eastAsia="zh-CN" w:bidi="ar"/>
              </w:rPr>
              <w:t>专项上解支出</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 w:hAnsi="仿宋" w:eastAsia="仿宋" w:cs="仿宋"/>
                <w:i w:val="0"/>
                <w:color w:val="000000"/>
                <w:kern w:val="2"/>
                <w:sz w:val="20"/>
                <w:szCs w:val="20"/>
                <w:highlight w:val="yellow"/>
                <w:u w:val="none"/>
                <w:lang w:val="en-US" w:eastAsia="zh-CN" w:bidi="ar-SA"/>
              </w:rPr>
            </w:pPr>
            <w:r>
              <w:rPr>
                <w:rFonts w:hint="eastAsia" w:ascii="仿宋" w:hAnsi="仿宋" w:eastAsia="仿宋" w:cs="仿宋"/>
                <w:i w:val="0"/>
                <w:color w:val="000000"/>
                <w:sz w:val="20"/>
                <w:szCs w:val="20"/>
                <w:highlight w:val="none"/>
                <w:u w:val="none"/>
                <w:lang w:val="en-US" w:eastAsia="zh-CN"/>
              </w:rPr>
              <w:t>660</w:t>
            </w:r>
          </w:p>
        </w:tc>
      </w:tr>
      <w:tr>
        <w:tblPrEx>
          <w:shd w:val="clear" w:color="auto" w:fill="auto"/>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i w:val="0"/>
                <w:color w:val="000000"/>
                <w:kern w:val="0"/>
                <w:sz w:val="20"/>
                <w:szCs w:val="20"/>
                <w:highlight w:val="none"/>
                <w:u w:val="none"/>
                <w:lang w:val="en-US" w:eastAsia="zh-CN" w:bidi="ar"/>
              </w:rPr>
              <w:t xml:space="preserve">      均衡性转移支付收入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1339</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r>
              <w:rPr>
                <w:rFonts w:hint="eastAsia" w:ascii="仿宋" w:hAnsi="仿宋" w:eastAsia="仿宋" w:cs="仿宋"/>
                <w:b/>
                <w:bCs/>
                <w:i w:val="0"/>
                <w:color w:val="000000"/>
                <w:kern w:val="0"/>
                <w:sz w:val="20"/>
                <w:szCs w:val="20"/>
                <w:highlight w:val="none"/>
                <w:u w:val="none"/>
                <w:lang w:val="en-US" w:eastAsia="zh-CN" w:bidi="ar"/>
              </w:rPr>
              <w:t>三、安排预算稳定调节基金</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1134</w:t>
            </w:r>
          </w:p>
        </w:tc>
      </w:tr>
      <w:tr>
        <w:tblPrEx>
          <w:tblCellMar>
            <w:top w:w="0" w:type="dxa"/>
            <w:left w:w="0" w:type="dxa"/>
            <w:bottom w:w="0" w:type="dxa"/>
            <w:right w:w="0" w:type="dxa"/>
          </w:tblCellMar>
        </w:tblPrEx>
        <w:trPr>
          <w:trHeight w:val="741"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600" w:hanging="600" w:hangingChars="30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i w:val="0"/>
                <w:color w:val="000000"/>
                <w:kern w:val="0"/>
                <w:sz w:val="20"/>
                <w:szCs w:val="20"/>
                <w:highlight w:val="none"/>
                <w:u w:val="none"/>
                <w:lang w:val="en-US" w:eastAsia="zh-CN" w:bidi="ar"/>
              </w:rPr>
              <w:t xml:space="preserve">      县级基本财力保障机制奖补资金收入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532</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 w:hAnsi="仿宋" w:eastAsia="仿宋" w:cs="仿宋"/>
                <w:i w:val="0"/>
                <w:color w:val="000000"/>
                <w:kern w:val="2"/>
                <w:sz w:val="20"/>
                <w:szCs w:val="20"/>
                <w:highlight w:val="yellow"/>
                <w:u w:val="none"/>
                <w:lang w:val="en-US" w:eastAsia="zh-CN" w:bidi="ar-SA"/>
              </w:rPr>
            </w:pPr>
            <w:r>
              <w:rPr>
                <w:rFonts w:hint="eastAsia" w:ascii="仿宋" w:hAnsi="仿宋" w:eastAsia="仿宋" w:cs="仿宋"/>
                <w:b/>
                <w:bCs/>
                <w:i w:val="0"/>
                <w:color w:val="000000"/>
                <w:kern w:val="0"/>
                <w:sz w:val="20"/>
                <w:szCs w:val="20"/>
                <w:highlight w:val="none"/>
                <w:u w:val="none"/>
                <w:lang w:val="en-US" w:eastAsia="zh-CN" w:bidi="ar"/>
              </w:rPr>
              <w:t>四、债务还本支出</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2"/>
                <w:sz w:val="20"/>
                <w:szCs w:val="20"/>
                <w:highlight w:val="none"/>
                <w:u w:val="none"/>
                <w:lang w:val="en-US" w:eastAsia="zh-CN" w:bidi="ar-SA"/>
              </w:rPr>
            </w:pPr>
            <w:r>
              <w:rPr>
                <w:rFonts w:hint="eastAsia" w:ascii="仿宋" w:hAnsi="仿宋" w:eastAsia="仿宋" w:cs="仿宋"/>
                <w:i w:val="0"/>
                <w:color w:val="000000"/>
                <w:sz w:val="20"/>
                <w:szCs w:val="20"/>
                <w:highlight w:val="none"/>
                <w:u w:val="none"/>
                <w:lang w:val="en-US" w:eastAsia="zh-CN"/>
              </w:rPr>
              <w:t>9000</w:t>
            </w:r>
          </w:p>
        </w:tc>
      </w:tr>
      <w:tr>
        <w:tblPrEx>
          <w:shd w:val="clear" w:color="auto" w:fill="auto"/>
          <w:tblCellMar>
            <w:top w:w="0" w:type="dxa"/>
            <w:left w:w="0" w:type="dxa"/>
            <w:bottom w:w="0" w:type="dxa"/>
            <w:right w:w="0" w:type="dxa"/>
          </w:tblCellMar>
        </w:tblPrEx>
        <w:trPr>
          <w:trHeight w:val="800"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i w:val="0"/>
                <w:color w:val="000000"/>
                <w:kern w:val="0"/>
                <w:sz w:val="20"/>
                <w:szCs w:val="20"/>
                <w:highlight w:val="none"/>
                <w:u w:val="none"/>
                <w:lang w:val="en-US" w:eastAsia="zh-CN" w:bidi="ar"/>
              </w:rPr>
              <w:t xml:space="preserve"> </w:t>
            </w:r>
            <w:r>
              <w:rPr>
                <w:rStyle w:val="13"/>
                <w:rFonts w:hint="eastAsia" w:ascii="仿宋" w:hAnsi="仿宋" w:eastAsia="仿宋" w:cs="仿宋"/>
                <w:sz w:val="20"/>
                <w:szCs w:val="20"/>
                <w:highlight w:val="none"/>
                <w:lang w:val="en-US" w:eastAsia="zh-CN" w:bidi="ar"/>
              </w:rPr>
              <w:t xml:space="preserve">     结算补助收入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22241</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600" w:hanging="600" w:hangingChars="300"/>
              <w:jc w:val="left"/>
              <w:textAlignment w:val="center"/>
              <w:rPr>
                <w:rFonts w:hint="default"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 xml:space="preserve">      地方政府一般债券还本支出</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9000</w:t>
            </w:r>
          </w:p>
        </w:tc>
      </w:tr>
      <w:tr>
        <w:tblPrEx>
          <w:shd w:val="clear" w:color="auto" w:fill="auto"/>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sz w:val="20"/>
                <w:szCs w:val="20"/>
                <w:highlight w:val="none"/>
                <w:u w:val="none"/>
                <w:lang w:val="en-US"/>
              </w:rPr>
            </w:pPr>
            <w:r>
              <w:rPr>
                <w:rFonts w:hint="eastAsia" w:ascii="仿宋" w:hAnsi="仿宋" w:eastAsia="仿宋" w:cs="仿宋"/>
                <w:i w:val="0"/>
                <w:color w:val="000000"/>
                <w:kern w:val="0"/>
                <w:sz w:val="20"/>
                <w:szCs w:val="20"/>
                <w:highlight w:val="none"/>
                <w:u w:val="none"/>
                <w:lang w:val="en-US" w:eastAsia="zh-CN" w:bidi="ar"/>
              </w:rPr>
              <w:t xml:space="preserve">      固定数额补助收入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149</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仿宋" w:hAnsi="仿宋" w:eastAsia="仿宋" w:cs="仿宋"/>
                <w:i w:val="0"/>
                <w:color w:val="000000"/>
                <w:kern w:val="0"/>
                <w:sz w:val="20"/>
                <w:szCs w:val="20"/>
                <w:highlight w:val="none"/>
                <w:u w:val="none"/>
                <w:lang w:val="en-US" w:eastAsia="zh-CN" w:bidi="ar"/>
              </w:rPr>
            </w:pPr>
            <w:r>
              <w:rPr>
                <w:rFonts w:hint="eastAsia" w:ascii="仿宋" w:hAnsi="仿宋" w:eastAsia="仿宋" w:cs="仿宋"/>
                <w:b/>
                <w:bCs/>
                <w:i w:val="0"/>
                <w:color w:val="000000"/>
                <w:kern w:val="0"/>
                <w:sz w:val="20"/>
                <w:szCs w:val="20"/>
                <w:highlight w:val="none"/>
                <w:u w:val="none"/>
                <w:lang w:val="en-US" w:eastAsia="zh-CN" w:bidi="ar"/>
              </w:rPr>
              <w:t>五、结转下年支出</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23025</w:t>
            </w:r>
          </w:p>
        </w:tc>
      </w:tr>
      <w:tr>
        <w:tblPrEx>
          <w:tblCellMar>
            <w:top w:w="0" w:type="dxa"/>
            <w:left w:w="0" w:type="dxa"/>
            <w:bottom w:w="0" w:type="dxa"/>
            <w:right w:w="0" w:type="dxa"/>
          </w:tblCellMar>
        </w:tblPrEx>
        <w:trPr>
          <w:trHeight w:val="846"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600" w:hanging="600" w:hangingChars="30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i w:val="0"/>
                <w:color w:val="000000"/>
                <w:kern w:val="0"/>
                <w:sz w:val="20"/>
                <w:szCs w:val="20"/>
                <w:highlight w:val="none"/>
                <w:u w:val="none"/>
                <w:lang w:val="en-US" w:eastAsia="zh-CN" w:bidi="ar"/>
              </w:rPr>
              <w:t xml:space="preserve">   </w:t>
            </w:r>
            <w:r>
              <w:rPr>
                <w:rStyle w:val="13"/>
                <w:rFonts w:hint="eastAsia" w:ascii="仿宋" w:hAnsi="仿宋" w:eastAsia="仿宋" w:cs="仿宋"/>
                <w:sz w:val="20"/>
                <w:szCs w:val="20"/>
                <w:highlight w:val="none"/>
                <w:lang w:val="en-US" w:eastAsia="zh-CN" w:bidi="ar"/>
              </w:rPr>
              <w:t xml:space="preserve">   教育共同财政事权转移支付收入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441</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仿宋" w:hAnsi="仿宋" w:eastAsia="仿宋" w:cs="仿宋"/>
                <w:i w:val="0"/>
                <w:color w:val="000000"/>
                <w:kern w:val="2"/>
                <w:sz w:val="20"/>
                <w:szCs w:val="20"/>
                <w:highlight w:val="yellow"/>
                <w:u w:val="none"/>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2"/>
                <w:sz w:val="20"/>
                <w:szCs w:val="20"/>
                <w:highlight w:val="none"/>
                <w:u w:val="none"/>
                <w:lang w:val="en-US" w:eastAsia="zh-CN" w:bidi="ar-SA"/>
              </w:rPr>
            </w:pPr>
          </w:p>
        </w:tc>
      </w:tr>
      <w:tr>
        <w:tblPrEx>
          <w:tblCellMar>
            <w:top w:w="0" w:type="dxa"/>
            <w:left w:w="0" w:type="dxa"/>
            <w:bottom w:w="0" w:type="dxa"/>
            <w:right w:w="0" w:type="dxa"/>
          </w:tblCellMar>
        </w:tblPrEx>
        <w:trPr>
          <w:trHeight w:val="801"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598" w:leftChars="285" w:firstLine="0" w:firstLineChars="0"/>
              <w:jc w:val="left"/>
              <w:textAlignment w:val="center"/>
              <w:rPr>
                <w:rFonts w:hint="eastAsia"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文化旅游体育与传媒共同财政事权转移支付收入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12</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0"/>
                <w:szCs w:val="20"/>
                <w:highlight w:val="none"/>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0"/>
                <w:sz w:val="20"/>
                <w:szCs w:val="20"/>
                <w:highlight w:val="none"/>
                <w:u w:val="none"/>
                <w:lang w:val="en-US" w:eastAsia="zh-CN" w:bidi="ar"/>
              </w:rPr>
            </w:pPr>
          </w:p>
        </w:tc>
      </w:tr>
      <w:tr>
        <w:tblPrEx>
          <w:shd w:val="clear" w:color="auto" w:fill="auto"/>
          <w:tblCellMar>
            <w:top w:w="0" w:type="dxa"/>
            <w:left w:w="0" w:type="dxa"/>
            <w:bottom w:w="0" w:type="dxa"/>
            <w:right w:w="0" w:type="dxa"/>
          </w:tblCellMar>
        </w:tblPrEx>
        <w:trPr>
          <w:trHeight w:val="816"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598" w:leftChars="285" w:firstLine="0" w:firstLineChars="0"/>
              <w:jc w:val="left"/>
              <w:textAlignment w:val="center"/>
              <w:rPr>
                <w:rFonts w:hint="eastAsia"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社会保障和就业共同财政事权转移支付收入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1144</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r>
      <w:tr>
        <w:tblPrEx>
          <w:tblCellMar>
            <w:top w:w="0" w:type="dxa"/>
            <w:left w:w="0" w:type="dxa"/>
            <w:bottom w:w="0" w:type="dxa"/>
            <w:right w:w="0" w:type="dxa"/>
          </w:tblCellMar>
        </w:tblPrEx>
        <w:trPr>
          <w:trHeight w:val="861"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598" w:leftChars="285" w:firstLine="0" w:firstLineChars="0"/>
              <w:jc w:val="left"/>
              <w:textAlignment w:val="center"/>
              <w:rPr>
                <w:rFonts w:hint="eastAsia"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医疗卫生共同财政事权转移支付收入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843</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r>
      <w:tr>
        <w:tblPrEx>
          <w:shd w:val="clear" w:color="auto" w:fill="auto"/>
          <w:tblCellMar>
            <w:top w:w="0" w:type="dxa"/>
            <w:left w:w="0" w:type="dxa"/>
            <w:bottom w:w="0" w:type="dxa"/>
            <w:right w:w="0" w:type="dxa"/>
          </w:tblCellMar>
        </w:tblPrEx>
        <w:trPr>
          <w:trHeight w:val="886"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598" w:leftChars="285" w:firstLine="0" w:firstLineChars="0"/>
              <w:jc w:val="left"/>
              <w:textAlignment w:val="center"/>
              <w:rPr>
                <w:rFonts w:hint="eastAsia" w:ascii="仿宋" w:hAnsi="仿宋" w:eastAsia="仿宋" w:cs="仿宋"/>
                <w:i w:val="0"/>
                <w:color w:val="000000"/>
                <w:kern w:val="0"/>
                <w:sz w:val="20"/>
                <w:szCs w:val="20"/>
                <w:highlight w:val="none"/>
                <w:u w:val="none"/>
                <w:lang w:val="en-US" w:eastAsia="zh-CN" w:bidi="ar"/>
              </w:rPr>
            </w:pPr>
            <w:r>
              <w:rPr>
                <w:rFonts w:hint="eastAsia" w:ascii="仿宋" w:hAnsi="仿宋" w:eastAsia="仿宋" w:cs="仿宋"/>
                <w:i w:val="0"/>
                <w:color w:val="000000"/>
                <w:kern w:val="0"/>
                <w:sz w:val="20"/>
                <w:szCs w:val="20"/>
                <w:highlight w:val="none"/>
                <w:u w:val="none"/>
                <w:lang w:val="en-US" w:eastAsia="zh-CN" w:bidi="ar"/>
              </w:rPr>
              <w:t>农林水共同财政事权转移支付收入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295</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r>
      <w:tr>
        <w:tblPrEx>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i w:val="0"/>
                <w:color w:val="000000"/>
                <w:kern w:val="0"/>
                <w:sz w:val="20"/>
                <w:szCs w:val="20"/>
                <w:highlight w:val="none"/>
                <w:u w:val="none"/>
                <w:lang w:val="en-US" w:eastAsia="zh-CN" w:bidi="ar"/>
              </w:rPr>
              <w:t xml:space="preserve">   </w:t>
            </w:r>
            <w:r>
              <w:rPr>
                <w:rFonts w:hint="eastAsia" w:ascii="仿宋" w:hAnsi="仿宋" w:eastAsia="仿宋" w:cs="仿宋"/>
                <w:b/>
                <w:bCs/>
                <w:i w:val="0"/>
                <w:color w:val="000000"/>
                <w:kern w:val="0"/>
                <w:sz w:val="20"/>
                <w:szCs w:val="20"/>
                <w:highlight w:val="none"/>
                <w:u w:val="none"/>
                <w:lang w:val="en-US" w:eastAsia="zh-CN" w:bidi="ar"/>
              </w:rPr>
              <w:t>专项性转移性支付收入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i w:val="0"/>
                <w:color w:val="000000"/>
                <w:sz w:val="20"/>
                <w:szCs w:val="20"/>
                <w:highlight w:val="yellow"/>
                <w:u w:val="none"/>
                <w:lang w:val="en-US" w:eastAsia="zh-CN"/>
              </w:rPr>
            </w:pPr>
            <w:r>
              <w:rPr>
                <w:rFonts w:hint="eastAsia" w:ascii="仿宋" w:hAnsi="仿宋" w:eastAsia="仿宋" w:cs="仿宋"/>
                <w:i w:val="0"/>
                <w:color w:val="000000"/>
                <w:sz w:val="20"/>
                <w:szCs w:val="20"/>
                <w:highlight w:val="none"/>
                <w:u w:val="none"/>
                <w:lang w:val="en-US" w:eastAsia="zh-CN"/>
              </w:rPr>
              <w:t>581</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r>
      <w:tr>
        <w:tblPrEx>
          <w:shd w:val="clear" w:color="auto" w:fill="auto"/>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b/>
                <w:bCs/>
                <w:i w:val="0"/>
                <w:color w:val="000000"/>
                <w:kern w:val="0"/>
                <w:sz w:val="20"/>
                <w:szCs w:val="20"/>
                <w:highlight w:val="none"/>
                <w:u w:val="none"/>
                <w:lang w:val="en-US" w:eastAsia="zh-CN" w:bidi="ar"/>
              </w:rPr>
              <w:t>三、地方政府一般债券转贷收入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8013</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r>
      <w:tr>
        <w:tblPrEx>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b/>
                <w:bCs/>
                <w:i w:val="0"/>
                <w:color w:val="000000"/>
                <w:kern w:val="0"/>
                <w:sz w:val="20"/>
                <w:szCs w:val="20"/>
                <w:highlight w:val="none"/>
                <w:u w:val="none"/>
                <w:lang w:val="en-US" w:eastAsia="zh-CN" w:bidi="ar"/>
              </w:rPr>
              <w:t>四、上年结余收入</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yellow"/>
                <w:u w:val="none"/>
                <w:lang w:val="en-US" w:eastAsia="zh-CN"/>
              </w:rPr>
            </w:pPr>
            <w:r>
              <w:rPr>
                <w:rFonts w:hint="eastAsia" w:ascii="仿宋" w:hAnsi="仿宋" w:eastAsia="仿宋" w:cs="仿宋"/>
                <w:i w:val="0"/>
                <w:color w:val="000000"/>
                <w:sz w:val="20"/>
                <w:szCs w:val="20"/>
                <w:highlight w:val="none"/>
                <w:u w:val="none"/>
                <w:lang w:val="en-US" w:eastAsia="zh-CN"/>
              </w:rPr>
              <w:t>12530</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仿宋" w:hAnsi="仿宋" w:eastAsia="仿宋" w:cs="仿宋"/>
                <w:i w:val="0"/>
                <w:color w:val="000000"/>
                <w:kern w:val="0"/>
                <w:sz w:val="20"/>
                <w:szCs w:val="20"/>
                <w:highlight w:val="none"/>
                <w:u w:val="none"/>
                <w:lang w:val="en-US" w:eastAsia="zh-CN" w:bidi="ar"/>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0"/>
                <w:szCs w:val="20"/>
                <w:highlight w:val="none"/>
                <w:u w:val="none"/>
                <w:lang w:val="en-US" w:eastAsia="zh-CN" w:bidi="ar"/>
              </w:rPr>
            </w:pPr>
          </w:p>
        </w:tc>
      </w:tr>
      <w:tr>
        <w:tblPrEx>
          <w:shd w:val="clear" w:color="auto" w:fill="auto"/>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r>
              <w:rPr>
                <w:rFonts w:hint="eastAsia" w:ascii="仿宋" w:hAnsi="仿宋" w:eastAsia="仿宋" w:cs="仿宋"/>
                <w:b/>
                <w:bCs/>
                <w:i w:val="0"/>
                <w:color w:val="000000"/>
                <w:kern w:val="0"/>
                <w:sz w:val="20"/>
                <w:szCs w:val="20"/>
                <w:highlight w:val="none"/>
                <w:u w:val="none"/>
                <w:lang w:val="en-US" w:eastAsia="zh-CN" w:bidi="ar"/>
              </w:rPr>
              <w:t>五、调入资金</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r>
              <w:rPr>
                <w:rFonts w:hint="eastAsia" w:ascii="仿宋" w:hAnsi="仿宋" w:eastAsia="仿宋" w:cs="仿宋"/>
                <w:i w:val="0"/>
                <w:color w:val="000000"/>
                <w:sz w:val="20"/>
                <w:szCs w:val="20"/>
                <w:highlight w:val="none"/>
                <w:u w:val="none"/>
                <w:lang w:val="en-US" w:eastAsia="zh-CN"/>
              </w:rPr>
              <w:t>540</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0"/>
                <w:szCs w:val="20"/>
                <w:highlight w:val="none"/>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仿宋" w:hAnsi="仿宋" w:eastAsia="仿宋" w:cs="仿宋"/>
                <w:i w:val="0"/>
                <w:color w:val="000000"/>
                <w:sz w:val="20"/>
                <w:szCs w:val="20"/>
                <w:highlight w:val="none"/>
                <w:u w:val="none"/>
                <w:lang w:val="en-US" w:eastAsia="zh-CN"/>
              </w:rPr>
            </w:pPr>
          </w:p>
        </w:tc>
      </w:tr>
      <w:tr>
        <w:tblPrEx>
          <w:shd w:val="clear" w:color="auto" w:fill="auto"/>
          <w:tblCellMar>
            <w:top w:w="0" w:type="dxa"/>
            <w:left w:w="0" w:type="dxa"/>
            <w:bottom w:w="0" w:type="dxa"/>
            <w:right w:w="0" w:type="dxa"/>
          </w:tblCellMar>
        </w:tblPrEx>
        <w:trPr>
          <w:trHeight w:val="472" w:hRule="atLeast"/>
        </w:trPr>
        <w:tc>
          <w:tcPr>
            <w:tcW w:w="2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kern w:val="2"/>
                <w:sz w:val="20"/>
                <w:szCs w:val="20"/>
                <w:highlight w:val="none"/>
                <w:u w:val="none"/>
                <w:lang w:val="en-US" w:eastAsia="zh-CN" w:bidi="ar-SA"/>
              </w:rPr>
            </w:pPr>
            <w:r>
              <w:rPr>
                <w:rFonts w:hint="eastAsia" w:ascii="仿宋" w:hAnsi="仿宋" w:eastAsia="仿宋" w:cs="仿宋"/>
                <w:b/>
                <w:i w:val="0"/>
                <w:color w:val="000000"/>
                <w:kern w:val="0"/>
                <w:sz w:val="20"/>
                <w:szCs w:val="20"/>
                <w:highlight w:val="none"/>
                <w:u w:val="none"/>
                <w:lang w:val="en-US" w:eastAsia="zh-CN" w:bidi="ar"/>
              </w:rPr>
              <w:t>收   入   总   计</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i w:val="0"/>
                <w:color w:val="000000"/>
                <w:kern w:val="2"/>
                <w:sz w:val="20"/>
                <w:szCs w:val="20"/>
                <w:highlight w:val="none"/>
                <w:u w:val="none"/>
                <w:lang w:val="en-US" w:eastAsia="zh-CN" w:bidi="ar-SA"/>
              </w:rPr>
            </w:pPr>
            <w:r>
              <w:rPr>
                <w:rFonts w:hint="eastAsia" w:ascii="仿宋" w:hAnsi="仿宋" w:eastAsia="仿宋" w:cs="仿宋"/>
                <w:b/>
                <w:i w:val="0"/>
                <w:color w:val="000000"/>
                <w:sz w:val="20"/>
                <w:szCs w:val="20"/>
                <w:highlight w:val="none"/>
                <w:u w:val="none"/>
                <w:lang w:val="en-US" w:eastAsia="zh-CN"/>
              </w:rPr>
              <w:t>121104</w:t>
            </w:r>
          </w:p>
        </w:tc>
        <w:tc>
          <w:tcPr>
            <w:tcW w:w="2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000000"/>
                <w:kern w:val="2"/>
                <w:sz w:val="20"/>
                <w:szCs w:val="20"/>
                <w:highlight w:val="none"/>
                <w:u w:val="none"/>
                <w:lang w:val="en-US" w:eastAsia="zh-CN" w:bidi="ar-SA"/>
              </w:rPr>
            </w:pPr>
            <w:r>
              <w:rPr>
                <w:rFonts w:hint="eastAsia" w:ascii="仿宋" w:hAnsi="仿宋" w:eastAsia="仿宋" w:cs="仿宋"/>
                <w:b/>
                <w:i w:val="0"/>
                <w:color w:val="000000"/>
                <w:kern w:val="0"/>
                <w:sz w:val="20"/>
                <w:szCs w:val="20"/>
                <w:highlight w:val="none"/>
                <w:u w:val="none"/>
                <w:lang w:val="en-US" w:eastAsia="zh-CN" w:bidi="ar"/>
              </w:rPr>
              <w:t>支   出   总   计</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i w:val="0"/>
                <w:color w:val="000000"/>
                <w:kern w:val="2"/>
                <w:sz w:val="20"/>
                <w:szCs w:val="20"/>
                <w:highlight w:val="none"/>
                <w:u w:val="none"/>
                <w:lang w:val="en-US" w:eastAsia="zh-CN" w:bidi="ar-SA"/>
              </w:rPr>
            </w:pPr>
            <w:r>
              <w:rPr>
                <w:rFonts w:hint="eastAsia" w:ascii="仿宋" w:hAnsi="仿宋" w:eastAsia="仿宋" w:cs="仿宋"/>
                <w:b/>
                <w:i w:val="0"/>
                <w:color w:val="000000"/>
                <w:sz w:val="20"/>
                <w:szCs w:val="20"/>
                <w:highlight w:val="none"/>
                <w:u w:val="none"/>
                <w:lang w:val="en-US" w:eastAsia="zh-CN"/>
              </w:rPr>
              <w:t>121104</w:t>
            </w:r>
          </w:p>
        </w:tc>
      </w:tr>
    </w:tbl>
    <w:p>
      <w:pPr>
        <w:numPr>
          <w:ilvl w:val="0"/>
          <w:numId w:val="0"/>
        </w:numPr>
        <w:spacing w:line="240" w:lineRule="auto"/>
        <w:jc w:val="both"/>
        <w:rPr>
          <w:rFonts w:hint="eastAsia" w:ascii="仿宋" w:hAnsi="仿宋" w:eastAsia="仿宋" w:cs="仿宋"/>
          <w:b/>
          <w:bCs/>
          <w:sz w:val="44"/>
          <w:szCs w:val="44"/>
          <w:highlight w:val="yellow"/>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bidi w:val="0"/>
        <w:spacing w:before="0" w:after="0" w:line="240" w:lineRule="auto"/>
        <w:jc w:val="both"/>
        <w:rPr>
          <w:rFonts w:hint="eastAsia" w:asciiTheme="majorEastAsia" w:hAnsiTheme="majorEastAsia" w:eastAsiaTheme="majorEastAsia" w:cstheme="majorEastAsia"/>
          <w:highlight w:val="none"/>
          <w:lang w:val="en-US" w:eastAsia="zh-CN"/>
        </w:rPr>
      </w:pP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关于2025年示范区一般公共预算</w:t>
      </w: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收支平衡表的说明</w:t>
      </w:r>
    </w:p>
    <w:p>
      <w:pPr>
        <w:numPr>
          <w:ilvl w:val="0"/>
          <w:numId w:val="0"/>
        </w:numPr>
        <w:spacing w:line="240" w:lineRule="auto"/>
        <w:jc w:val="both"/>
        <w:rPr>
          <w:rFonts w:hint="eastAsia" w:ascii="仿宋" w:hAnsi="仿宋" w:eastAsia="仿宋" w:cs="仿宋"/>
          <w:b w:val="0"/>
          <w:bCs w:val="0"/>
          <w:sz w:val="32"/>
          <w:szCs w:val="32"/>
          <w:highlight w:val="yellow"/>
          <w:lang w:val="en-US" w:eastAsia="zh-CN"/>
        </w:rPr>
      </w:pPr>
    </w:p>
    <w:p>
      <w:pPr>
        <w:numPr>
          <w:ilvl w:val="0"/>
          <w:numId w:val="0"/>
        </w:numPr>
        <w:spacing w:line="240" w:lineRule="auto"/>
        <w:ind w:firstLine="640" w:firstLineChars="200"/>
        <w:jc w:val="both"/>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本表反映2025年度示范区公共预算各项收入和各项支出的平衡关系。</w:t>
      </w:r>
    </w:p>
    <w:p>
      <w:pPr>
        <w:numPr>
          <w:ilvl w:val="0"/>
          <w:numId w:val="0"/>
        </w:numPr>
        <w:spacing w:line="240" w:lineRule="auto"/>
        <w:ind w:firstLine="640"/>
        <w:jc w:val="both"/>
        <w:rPr>
          <w:rFonts w:hint="eastAsia"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一般公共预算收入72,444万元;上级补助收入</w:t>
      </w:r>
      <w:r>
        <w:rPr>
          <w:rFonts w:hint="eastAsia" w:ascii="仿宋" w:hAnsi="仿宋" w:eastAsia="仿宋" w:cs="仿宋"/>
          <w:sz w:val="32"/>
          <w:szCs w:val="32"/>
          <w:highlight w:val="none"/>
          <w:lang w:val="en-US" w:eastAsia="zh-CN"/>
        </w:rPr>
        <w:t>27,577</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万元，其中：一般性转移支付收入26,996万元，专项性转移性支付收入581万元;地方政府一般债券转贷收入8,013万元;</w:t>
      </w:r>
      <w:r>
        <w:rPr>
          <w:rFonts w:hint="eastAsia" w:ascii="仿宋" w:hAnsi="仿宋" w:eastAsia="仿宋" w:cs="仿宋"/>
          <w:color w:val="000000" w:themeColor="text1"/>
          <w:sz w:val="32"/>
          <w:szCs w:val="32"/>
          <w:highlight w:val="none"/>
          <w:lang w:val="en-US" w:eastAsia="zh-CN"/>
          <w14:textFill>
            <w14:solidFill>
              <w14:schemeClr w14:val="tx1"/>
            </w14:solidFill>
          </w14:textFill>
        </w:rPr>
        <w:t>上年结余收入12,530万元</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 xml:space="preserve">。收入总计为121,104万元。 </w:t>
      </w:r>
    </w:p>
    <w:p>
      <w:pPr>
        <w:spacing w:line="360" w:lineRule="auto"/>
        <w:ind w:firstLine="640" w:firstLineChars="200"/>
        <w:jc w:val="left"/>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一般公共预算支出87，285万元,专项上解支出660万元,债务还本支出9,000万元,安排预算稳定调节基金1,134万元，结转下年支出23,025万元。支出总计为121,104万元。</w:t>
      </w:r>
    </w:p>
    <w:p>
      <w:pPr>
        <w:spacing w:line="360" w:lineRule="auto"/>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收支总量相抵，区本级财政实现收支平衡。</w:t>
      </w:r>
    </w:p>
    <w:p>
      <w:pPr>
        <w:numPr>
          <w:ilvl w:val="0"/>
          <w:numId w:val="0"/>
        </w:numPr>
        <w:spacing w:line="240" w:lineRule="auto"/>
        <w:ind w:firstLine="64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p>
    <w:p>
      <w:pPr>
        <w:numPr>
          <w:ilvl w:val="0"/>
          <w:numId w:val="0"/>
        </w:numPr>
        <w:spacing w:line="240" w:lineRule="auto"/>
        <w:ind w:firstLine="640"/>
        <w:jc w:val="both"/>
        <w:rPr>
          <w:rFonts w:hint="eastAsia" w:ascii="仿宋" w:hAnsi="仿宋" w:eastAsia="仿宋" w:cs="仿宋"/>
          <w:b w:val="0"/>
          <w:bCs w:val="0"/>
          <w:sz w:val="32"/>
          <w:szCs w:val="32"/>
          <w:highlight w:val="yellow"/>
          <w:lang w:val="en-US" w:eastAsia="zh-CN"/>
        </w:rPr>
      </w:pPr>
    </w:p>
    <w:p>
      <w:pPr>
        <w:numPr>
          <w:ilvl w:val="0"/>
          <w:numId w:val="0"/>
        </w:numPr>
        <w:spacing w:line="240" w:lineRule="auto"/>
        <w:ind w:firstLine="640"/>
        <w:jc w:val="both"/>
        <w:rPr>
          <w:rFonts w:hint="eastAsia" w:ascii="仿宋" w:hAnsi="仿宋" w:eastAsia="仿宋" w:cs="仿宋"/>
          <w:b w:val="0"/>
          <w:bCs w:val="0"/>
          <w:sz w:val="32"/>
          <w:szCs w:val="32"/>
          <w:highlight w:val="yellow"/>
          <w:lang w:val="en-US" w:eastAsia="zh-CN"/>
        </w:rPr>
      </w:pPr>
    </w:p>
    <w:p>
      <w:pPr>
        <w:numPr>
          <w:ilvl w:val="0"/>
          <w:numId w:val="0"/>
        </w:numPr>
        <w:spacing w:line="240" w:lineRule="auto"/>
        <w:ind w:firstLine="640"/>
        <w:jc w:val="both"/>
        <w:rPr>
          <w:rFonts w:hint="eastAsia" w:ascii="仿宋" w:hAnsi="仿宋" w:eastAsia="仿宋" w:cs="仿宋"/>
          <w:b w:val="0"/>
          <w:bCs w:val="0"/>
          <w:sz w:val="32"/>
          <w:szCs w:val="32"/>
          <w:highlight w:val="yellow"/>
          <w:lang w:val="en-US" w:eastAsia="zh-CN"/>
        </w:rPr>
      </w:pPr>
    </w:p>
    <w:p>
      <w:pPr>
        <w:numPr>
          <w:ilvl w:val="0"/>
          <w:numId w:val="0"/>
        </w:numPr>
        <w:spacing w:line="240" w:lineRule="auto"/>
        <w:ind w:firstLine="640"/>
        <w:jc w:val="both"/>
        <w:rPr>
          <w:rFonts w:hint="eastAsia" w:ascii="仿宋" w:hAnsi="仿宋" w:eastAsia="仿宋" w:cs="仿宋"/>
          <w:b w:val="0"/>
          <w:bCs w:val="0"/>
          <w:sz w:val="32"/>
          <w:szCs w:val="32"/>
          <w:highlight w:val="yellow"/>
          <w:lang w:val="en-US" w:eastAsia="zh-CN"/>
        </w:rPr>
      </w:pPr>
    </w:p>
    <w:p>
      <w:pPr>
        <w:numPr>
          <w:ilvl w:val="0"/>
          <w:numId w:val="0"/>
        </w:numPr>
        <w:spacing w:line="240" w:lineRule="auto"/>
        <w:ind w:firstLine="640"/>
        <w:jc w:val="both"/>
        <w:rPr>
          <w:rFonts w:hint="eastAsia" w:ascii="仿宋" w:hAnsi="仿宋" w:eastAsia="仿宋" w:cs="仿宋"/>
          <w:b w:val="0"/>
          <w:bCs w:val="0"/>
          <w:sz w:val="32"/>
          <w:szCs w:val="32"/>
          <w:highlight w:val="yellow"/>
          <w:lang w:val="en-US" w:eastAsia="zh-CN"/>
        </w:rPr>
      </w:pPr>
    </w:p>
    <w:p>
      <w:pPr>
        <w:numPr>
          <w:ilvl w:val="0"/>
          <w:numId w:val="0"/>
        </w:numPr>
        <w:spacing w:line="240" w:lineRule="auto"/>
        <w:ind w:firstLine="640"/>
        <w:jc w:val="distribute"/>
        <w:rPr>
          <w:rFonts w:hint="eastAsia" w:ascii="仿宋" w:hAnsi="仿宋" w:eastAsia="仿宋" w:cs="仿宋"/>
          <w:b w:val="0"/>
          <w:bCs w:val="0"/>
          <w:sz w:val="32"/>
          <w:szCs w:val="32"/>
          <w:highlight w:val="yellow"/>
          <w:lang w:val="en-US" w:eastAsia="zh-CN"/>
        </w:rPr>
      </w:pPr>
    </w:p>
    <w:tbl>
      <w:tblPr>
        <w:tblStyle w:val="10"/>
        <w:tblpPr w:leftFromText="180" w:rightFromText="180" w:vertAnchor="text" w:horzAnchor="page" w:tblpX="1816" w:tblpY="592"/>
        <w:tblOverlap w:val="never"/>
        <w:tblW w:w="8280" w:type="dxa"/>
        <w:tblInd w:w="0" w:type="dxa"/>
        <w:shd w:val="clear" w:color="auto" w:fill="FFFFFF" w:themeFill="background1"/>
        <w:tblLayout w:type="fixed"/>
        <w:tblCellMar>
          <w:top w:w="0" w:type="dxa"/>
          <w:left w:w="0" w:type="dxa"/>
          <w:bottom w:w="0" w:type="dxa"/>
          <w:right w:w="0" w:type="dxa"/>
        </w:tblCellMar>
      </w:tblPr>
      <w:tblGrid>
        <w:gridCol w:w="3375"/>
        <w:gridCol w:w="1217"/>
        <w:gridCol w:w="1233"/>
        <w:gridCol w:w="1267"/>
        <w:gridCol w:w="1188"/>
      </w:tblGrid>
      <w:tr>
        <w:tblPrEx>
          <w:shd w:val="clear" w:color="auto" w:fill="FFFFFF" w:themeFill="background1"/>
          <w:tblCellMar>
            <w:top w:w="0" w:type="dxa"/>
            <w:left w:w="0" w:type="dxa"/>
            <w:bottom w:w="0" w:type="dxa"/>
            <w:right w:w="0" w:type="dxa"/>
          </w:tblCellMar>
        </w:tblPrEx>
        <w:trPr>
          <w:trHeight w:val="897" w:hRule="atLeast"/>
        </w:trPr>
        <w:tc>
          <w:tcPr>
            <w:tcW w:w="8280" w:type="dxa"/>
            <w:gridSpan w:val="5"/>
            <w:tcBorders>
              <w:top w:val="nil"/>
              <w:left w:val="nil"/>
              <w:bottom w:val="nil"/>
              <w:right w:val="nil"/>
            </w:tcBorders>
            <w:shd w:val="clear" w:color="auto" w:fill="FFFFFF" w:themeFill="background1"/>
            <w:noWrap/>
            <w:tcMar>
              <w:top w:w="15" w:type="dxa"/>
              <w:left w:w="15" w:type="dxa"/>
              <w:right w:w="15" w:type="dxa"/>
            </w:tcMar>
            <w:vAlign w:val="bottom"/>
          </w:tcPr>
          <w:p>
            <w:pPr>
              <w:keepNext w:val="0"/>
              <w:keepLines w:val="0"/>
              <w:widowControl/>
              <w:suppressLineNumbers w:val="0"/>
              <w:jc w:val="center"/>
              <w:textAlignment w:val="bottom"/>
              <w:rPr>
                <w:rFonts w:hint="eastAsia" w:ascii="仿宋" w:hAnsi="仿宋" w:eastAsia="仿宋" w:cs="仿宋"/>
                <w:b/>
                <w:bCs/>
                <w:sz w:val="40"/>
                <w:szCs w:val="40"/>
                <w:highlight w:val="none"/>
                <w:lang w:val="en-US" w:eastAsia="zh-CN"/>
              </w:rPr>
            </w:pPr>
            <w:r>
              <w:rPr>
                <w:rFonts w:hint="eastAsia" w:ascii="仿宋" w:hAnsi="仿宋" w:eastAsia="仿宋" w:cs="仿宋"/>
                <w:b/>
                <w:bCs/>
                <w:sz w:val="40"/>
                <w:szCs w:val="40"/>
                <w:highlight w:val="none"/>
                <w:lang w:val="en-US" w:eastAsia="zh-CN"/>
              </w:rPr>
              <w:t>2025年一般公共预算收入决算表</w:t>
            </w:r>
          </w:p>
        </w:tc>
      </w:tr>
      <w:tr>
        <w:tblPrEx>
          <w:tblCellMar>
            <w:top w:w="0" w:type="dxa"/>
            <w:left w:w="0" w:type="dxa"/>
            <w:bottom w:w="0" w:type="dxa"/>
            <w:right w:w="0" w:type="dxa"/>
          </w:tblCellMar>
        </w:tblPrEx>
        <w:trPr>
          <w:trHeight w:val="349" w:hRule="atLeast"/>
        </w:trPr>
        <w:tc>
          <w:tcPr>
            <w:tcW w:w="8280" w:type="dxa"/>
            <w:gridSpan w:val="5"/>
            <w:tcBorders>
              <w:top w:val="nil"/>
              <w:left w:val="nil"/>
              <w:bottom w:val="single" w:color="auto" w:sz="4" w:space="0"/>
              <w:right w:val="nil"/>
            </w:tcBorders>
            <w:shd w:val="clear" w:color="auto" w:fill="FFFFFF" w:themeFill="background1"/>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highlight w:val="none"/>
                <w:u w:val="none"/>
                <w:lang w:val="en-US" w:eastAsia="zh-CN"/>
              </w:rPr>
            </w:pPr>
            <w:r>
              <w:rPr>
                <w:rFonts w:hint="eastAsia" w:ascii="宋体" w:hAnsi="宋体" w:eastAsia="宋体" w:cs="宋体"/>
                <w:b w:val="0"/>
                <w:bCs/>
                <w:i w:val="0"/>
                <w:color w:val="000000"/>
                <w:sz w:val="20"/>
                <w:szCs w:val="20"/>
                <w:highlight w:val="none"/>
                <w:u w:val="none"/>
                <w:lang w:val="en-US" w:eastAsia="zh-CN"/>
              </w:rPr>
              <w:t>单位：万元</w:t>
            </w:r>
          </w:p>
        </w:tc>
      </w:tr>
      <w:tr>
        <w:tblPrEx>
          <w:tblCellMar>
            <w:top w:w="0" w:type="dxa"/>
            <w:left w:w="0" w:type="dxa"/>
            <w:bottom w:w="0" w:type="dxa"/>
            <w:right w:w="0" w:type="dxa"/>
          </w:tblCellMar>
        </w:tblPrEx>
        <w:trPr>
          <w:trHeight w:val="1212" w:hRule="atLeast"/>
        </w:trPr>
        <w:tc>
          <w:tcPr>
            <w:tcW w:w="3375"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yellow"/>
                <w:u w:val="none"/>
                <w:lang w:val="en-US"/>
              </w:rPr>
            </w:pPr>
            <w:r>
              <w:rPr>
                <w:rFonts w:hint="eastAsia" w:ascii="宋体" w:hAnsi="宋体" w:eastAsia="宋体" w:cs="宋体"/>
                <w:b/>
                <w:bCs/>
                <w:i w:val="0"/>
                <w:iCs w:val="0"/>
                <w:color w:val="000000"/>
                <w:kern w:val="0"/>
                <w:sz w:val="20"/>
                <w:szCs w:val="20"/>
                <w:u w:val="none"/>
                <w:lang w:val="en-US" w:eastAsia="zh-CN" w:bidi="ar"/>
              </w:rPr>
              <w:t>预    算    科    目</w:t>
            </w:r>
          </w:p>
        </w:tc>
        <w:tc>
          <w:tcPr>
            <w:tcW w:w="1217"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2025年</w:t>
            </w:r>
          </w:p>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预算数</w:t>
            </w:r>
          </w:p>
        </w:tc>
        <w:tc>
          <w:tcPr>
            <w:tcW w:w="1233"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 xml:space="preserve"> 2025年 </w:t>
            </w:r>
          </w:p>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决算数</w:t>
            </w:r>
          </w:p>
        </w:tc>
        <w:tc>
          <w:tcPr>
            <w:tcW w:w="1267" w:type="dxa"/>
            <w:tcBorders>
              <w:top w:val="single" w:color="auto" w:sz="4" w:space="0"/>
              <w:left w:val="single" w:color="auto" w:sz="4" w:space="0"/>
              <w:bottom w:val="single" w:color="auto" w:sz="4" w:space="0"/>
              <w:right w:val="single" w:color="auto"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yellow"/>
                <w:u w:val="none"/>
                <w:lang w:val="en-US" w:eastAsia="zh-CN"/>
              </w:rPr>
            </w:pPr>
            <w:r>
              <w:rPr>
                <w:rFonts w:hint="eastAsia" w:ascii="宋体" w:hAnsi="宋体" w:eastAsia="宋体" w:cs="宋体"/>
                <w:b/>
                <w:i w:val="0"/>
                <w:color w:val="000000"/>
                <w:sz w:val="20"/>
                <w:szCs w:val="20"/>
                <w:highlight w:val="none"/>
                <w:u w:val="none"/>
                <w:lang w:val="en-US" w:eastAsia="zh-CN"/>
              </w:rPr>
              <w:t>完成预算的%</w:t>
            </w:r>
          </w:p>
        </w:tc>
        <w:tc>
          <w:tcPr>
            <w:tcW w:w="1188" w:type="dxa"/>
            <w:tcBorders>
              <w:top w:val="single" w:color="auto" w:sz="4" w:space="0"/>
              <w:left w:val="single" w:color="auto" w:sz="4" w:space="0"/>
              <w:bottom w:val="single" w:color="auto" w:sz="4" w:space="0"/>
              <w:right w:val="single" w:color="auto"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lang w:val="en-US" w:eastAsia="zh-CN"/>
              </w:rPr>
            </w:pPr>
            <w:r>
              <w:rPr>
                <w:rFonts w:hint="eastAsia" w:ascii="宋体" w:hAnsi="宋体" w:eastAsia="宋体" w:cs="宋体"/>
                <w:b/>
                <w:i w:val="0"/>
                <w:color w:val="000000"/>
                <w:sz w:val="20"/>
                <w:szCs w:val="20"/>
                <w:highlight w:val="none"/>
                <w:u w:val="none"/>
                <w:lang w:val="en-US" w:eastAsia="zh-CN"/>
              </w:rPr>
              <w:t>同比上年</w:t>
            </w:r>
          </w:p>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lang w:val="en-US" w:eastAsia="zh-CN"/>
              </w:rPr>
            </w:pPr>
            <w:r>
              <w:rPr>
                <w:rFonts w:hint="eastAsia" w:ascii="宋体" w:hAnsi="宋体" w:eastAsia="宋体" w:cs="宋体"/>
                <w:b/>
                <w:i w:val="0"/>
                <w:color w:val="000000"/>
                <w:sz w:val="20"/>
                <w:szCs w:val="20"/>
                <w:highlight w:val="none"/>
                <w:u w:val="none"/>
                <w:lang w:val="en-US" w:eastAsia="zh-CN"/>
              </w:rPr>
              <w:t>增减%</w:t>
            </w:r>
          </w:p>
        </w:tc>
      </w:tr>
      <w:tr>
        <w:tblPrEx>
          <w:tblCellMar>
            <w:top w:w="0" w:type="dxa"/>
            <w:left w:w="0" w:type="dxa"/>
            <w:bottom w:w="0" w:type="dxa"/>
            <w:right w:w="0" w:type="dxa"/>
          </w:tblCellMar>
        </w:tblPrEx>
        <w:trPr>
          <w:trHeight w:val="892" w:hRule="atLeast"/>
        </w:trPr>
        <w:tc>
          <w:tcPr>
            <w:tcW w:w="3375" w:type="dxa"/>
            <w:tcBorders>
              <w:top w:val="single" w:color="auto"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收入合计</w:t>
            </w:r>
          </w:p>
        </w:tc>
        <w:tc>
          <w:tcPr>
            <w:tcW w:w="1217" w:type="dxa"/>
            <w:tcBorders>
              <w:top w:val="single" w:color="auto"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lang w:val="en-US" w:eastAsia="zh-CN"/>
              </w:rPr>
            </w:pPr>
            <w:r>
              <w:rPr>
                <w:rFonts w:hint="eastAsia" w:ascii="宋体" w:hAnsi="宋体" w:eastAsia="宋体" w:cs="宋体"/>
                <w:b/>
                <w:i w:val="0"/>
                <w:color w:val="000000"/>
                <w:sz w:val="20"/>
                <w:szCs w:val="20"/>
                <w:highlight w:val="none"/>
                <w:u w:val="none"/>
                <w:lang w:val="en-US" w:eastAsia="zh-CN"/>
              </w:rPr>
              <w:t>71850</w:t>
            </w:r>
          </w:p>
        </w:tc>
        <w:tc>
          <w:tcPr>
            <w:tcW w:w="1233" w:type="dxa"/>
            <w:tcBorders>
              <w:top w:val="single" w:color="auto"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lang w:val="en-US" w:eastAsia="zh-CN"/>
              </w:rPr>
            </w:pPr>
            <w:r>
              <w:rPr>
                <w:rFonts w:hint="eastAsia" w:ascii="宋体" w:hAnsi="宋体" w:eastAsia="宋体" w:cs="宋体"/>
                <w:b/>
                <w:i w:val="0"/>
                <w:color w:val="000000"/>
                <w:sz w:val="20"/>
                <w:szCs w:val="20"/>
                <w:highlight w:val="none"/>
                <w:u w:val="none"/>
                <w:lang w:val="en-US" w:eastAsia="zh-CN"/>
              </w:rPr>
              <w:t>72444</w:t>
            </w:r>
          </w:p>
        </w:tc>
        <w:tc>
          <w:tcPr>
            <w:tcW w:w="1267" w:type="dxa"/>
            <w:tcBorders>
              <w:top w:val="single" w:color="auto"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b/>
                <w:bCs/>
                <w:i w:val="0"/>
                <w:color w:val="000000"/>
                <w:sz w:val="20"/>
                <w:szCs w:val="20"/>
                <w:highlight w:val="none"/>
                <w:u w:val="none"/>
                <w:lang w:val="en-US" w:eastAsia="zh-CN"/>
              </w:rPr>
              <w:t>100.8%</w:t>
            </w:r>
          </w:p>
        </w:tc>
        <w:tc>
          <w:tcPr>
            <w:tcW w:w="1188" w:type="dxa"/>
            <w:tcBorders>
              <w:top w:val="single" w:color="auto"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b/>
                <w:bCs/>
                <w:i w:val="0"/>
                <w:color w:val="000000"/>
                <w:sz w:val="20"/>
                <w:szCs w:val="20"/>
                <w:highlight w:val="none"/>
                <w:u w:val="none"/>
                <w:lang w:val="en-US" w:eastAsia="zh-CN"/>
              </w:rPr>
            </w:pPr>
            <w:r>
              <w:rPr>
                <w:rFonts w:hint="eastAsia" w:ascii="宋体" w:hAnsi="宋体" w:eastAsia="宋体" w:cs="宋体"/>
                <w:b/>
                <w:bCs/>
                <w:i w:val="0"/>
                <w:color w:val="000000"/>
                <w:sz w:val="20"/>
                <w:szCs w:val="20"/>
                <w:highlight w:val="none"/>
                <w:u w:val="none"/>
                <w:lang w:val="en-US" w:eastAsia="zh-CN"/>
              </w:rPr>
              <w:t>60.9%</w:t>
            </w:r>
          </w:p>
        </w:tc>
      </w:tr>
      <w:tr>
        <w:tblPrEx>
          <w:shd w:val="clear" w:color="auto" w:fill="FFFFFF" w:themeFill="background1"/>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一、税收收入</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6974</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highlight w:val="yellow"/>
                <w:u w:val="none"/>
                <w:lang w:val="en-US" w:eastAsia="zh-CN" w:bidi="ar"/>
              </w:rPr>
            </w:pPr>
            <w:r>
              <w:rPr>
                <w:rFonts w:hint="eastAsia" w:ascii="宋体" w:hAnsi="宋体" w:eastAsia="宋体" w:cs="宋体"/>
                <w:b/>
                <w:i w:val="0"/>
                <w:color w:val="000000"/>
                <w:kern w:val="0"/>
                <w:sz w:val="20"/>
                <w:szCs w:val="20"/>
                <w:highlight w:val="none"/>
                <w:u w:val="none"/>
                <w:lang w:val="en-US" w:eastAsia="zh-CN" w:bidi="ar"/>
              </w:rPr>
              <w:t>7544</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b/>
                <w:bCs/>
                <w:i w:val="0"/>
                <w:color w:val="000000"/>
                <w:sz w:val="20"/>
                <w:szCs w:val="20"/>
                <w:highlight w:val="none"/>
                <w:u w:val="none"/>
                <w:lang w:val="en-US" w:eastAsia="zh-CN"/>
              </w:rPr>
            </w:pPr>
            <w:r>
              <w:rPr>
                <w:rFonts w:hint="eastAsia" w:ascii="宋体" w:hAnsi="宋体" w:eastAsia="宋体" w:cs="宋体"/>
                <w:b/>
                <w:bCs/>
                <w:i w:val="0"/>
                <w:color w:val="000000"/>
                <w:sz w:val="20"/>
                <w:szCs w:val="20"/>
                <w:highlight w:val="none"/>
                <w:u w:val="none"/>
                <w:lang w:val="en-US" w:eastAsia="zh-CN"/>
              </w:rPr>
              <w:t>108.2%</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b/>
                <w:bCs/>
                <w:i w:val="0"/>
                <w:color w:val="000000"/>
                <w:sz w:val="20"/>
                <w:szCs w:val="20"/>
                <w:highlight w:val="none"/>
                <w:u w:val="none"/>
                <w:lang w:val="en-US" w:eastAsia="zh-CN"/>
              </w:rPr>
            </w:pPr>
            <w:r>
              <w:rPr>
                <w:rFonts w:hint="eastAsia" w:ascii="宋体" w:hAnsi="宋体" w:eastAsia="宋体" w:cs="宋体"/>
                <w:b/>
                <w:bCs/>
                <w:i w:val="0"/>
                <w:color w:val="000000"/>
                <w:sz w:val="20"/>
                <w:szCs w:val="20"/>
                <w:highlight w:val="none"/>
                <w:u w:val="none"/>
                <w:lang w:val="en-US" w:eastAsia="zh-CN"/>
              </w:rPr>
              <w:t>-75.4%</w:t>
            </w:r>
          </w:p>
        </w:tc>
      </w:tr>
      <w:tr>
        <w:tblPrEx>
          <w:shd w:val="clear" w:color="auto" w:fill="FFFFFF" w:themeFill="background1"/>
          <w:tblCellMar>
            <w:top w:w="0" w:type="dxa"/>
            <w:left w:w="0" w:type="dxa"/>
            <w:bottom w:w="0" w:type="dxa"/>
            <w:right w:w="0" w:type="dxa"/>
          </w:tblCellMar>
        </w:tblPrEx>
        <w:trPr>
          <w:trHeight w:val="928"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ind w:firstLine="400" w:firstLineChars="200"/>
              <w:jc w:val="left"/>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增值税</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4024</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4323</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107.4%</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131.1%</w:t>
            </w:r>
          </w:p>
        </w:tc>
      </w:tr>
      <w:tr>
        <w:tblPrEx>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ind w:firstLine="400" w:firstLineChars="200"/>
              <w:jc w:val="left"/>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企业所得税</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438</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440</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100.5%</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-29%</w:t>
            </w:r>
          </w:p>
        </w:tc>
      </w:tr>
      <w:tr>
        <w:tblPrEx>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ind w:firstLine="400" w:firstLineChars="200"/>
              <w:jc w:val="left"/>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个人所得税</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300</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332</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110.7%</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6.8%</w:t>
            </w:r>
          </w:p>
        </w:tc>
      </w:tr>
      <w:tr>
        <w:tblPrEx>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ind w:firstLine="400" w:firstLineChars="200"/>
              <w:jc w:val="left"/>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房产税</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700</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933</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133.3%</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36%</w:t>
            </w:r>
          </w:p>
        </w:tc>
      </w:tr>
      <w:tr>
        <w:tblPrEx>
          <w:shd w:val="clear" w:color="auto" w:fill="FFFFFF" w:themeFill="background1"/>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ind w:firstLine="400" w:firstLineChars="200"/>
              <w:jc w:val="left"/>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契税</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1512</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0"/>
                <w:szCs w:val="20"/>
                <w:highlight w:val="none"/>
                <w:u w:val="none"/>
                <w:lang w:val="en-US" w:eastAsia="zh-CN" w:bidi="ar"/>
              </w:rPr>
            </w:pPr>
            <w:r>
              <w:rPr>
                <w:rFonts w:hint="eastAsia" w:ascii="宋体" w:hAnsi="宋体" w:eastAsia="宋体" w:cs="宋体"/>
                <w:b w:val="0"/>
                <w:bCs/>
                <w:i w:val="0"/>
                <w:color w:val="000000"/>
                <w:kern w:val="0"/>
                <w:sz w:val="20"/>
                <w:szCs w:val="20"/>
                <w:highlight w:val="none"/>
                <w:u w:val="none"/>
                <w:lang w:val="en-US" w:eastAsia="zh-CN" w:bidi="ar"/>
              </w:rPr>
              <w:t>1516</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val="en-US" w:eastAsia="zh-CN"/>
              </w:rPr>
            </w:pPr>
            <w:r>
              <w:rPr>
                <w:rFonts w:hint="eastAsia" w:ascii="宋体" w:hAnsi="宋体" w:eastAsia="宋体" w:cs="宋体"/>
                <w:i w:val="0"/>
                <w:color w:val="auto"/>
                <w:sz w:val="20"/>
                <w:szCs w:val="20"/>
                <w:highlight w:val="none"/>
                <w:u w:val="none"/>
                <w:lang w:val="en-US" w:eastAsia="zh-CN"/>
              </w:rPr>
              <w:t>100.3%</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val="en-US" w:eastAsia="zh-CN"/>
              </w:rPr>
            </w:pPr>
            <w:r>
              <w:rPr>
                <w:rFonts w:hint="eastAsia" w:ascii="宋体" w:hAnsi="宋体" w:eastAsia="宋体" w:cs="宋体"/>
                <w:i w:val="0"/>
                <w:color w:val="auto"/>
                <w:sz w:val="20"/>
                <w:szCs w:val="20"/>
                <w:highlight w:val="none"/>
                <w:u w:val="none"/>
                <w:lang w:val="en-US" w:eastAsia="zh-CN"/>
              </w:rPr>
              <w:t>693.7%</w:t>
            </w:r>
          </w:p>
        </w:tc>
      </w:tr>
      <w:tr>
        <w:tblPrEx>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二、非税收入</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lang w:val="en-US" w:eastAsia="zh-CN"/>
              </w:rPr>
            </w:pPr>
            <w:r>
              <w:rPr>
                <w:rFonts w:hint="eastAsia" w:ascii="宋体" w:hAnsi="宋体" w:eastAsia="宋体" w:cs="宋体"/>
                <w:b/>
                <w:i w:val="0"/>
                <w:color w:val="000000"/>
                <w:sz w:val="20"/>
                <w:szCs w:val="20"/>
                <w:highlight w:val="none"/>
                <w:u w:val="none"/>
                <w:lang w:val="en-US" w:eastAsia="zh-CN"/>
              </w:rPr>
              <w:t>64876</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highlight w:val="yellow"/>
                <w:u w:val="none"/>
                <w:lang w:val="en-US" w:eastAsia="zh-CN"/>
              </w:rPr>
            </w:pPr>
            <w:r>
              <w:rPr>
                <w:rFonts w:hint="eastAsia" w:ascii="宋体" w:hAnsi="宋体" w:eastAsia="宋体" w:cs="宋体"/>
                <w:b/>
                <w:i w:val="0"/>
                <w:color w:val="000000"/>
                <w:sz w:val="20"/>
                <w:szCs w:val="20"/>
                <w:highlight w:val="none"/>
                <w:u w:val="none"/>
                <w:lang w:val="en-US" w:eastAsia="zh-CN"/>
              </w:rPr>
              <w:t>64900</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val="en-US" w:eastAsia="zh-CN"/>
              </w:rPr>
            </w:pPr>
            <w:r>
              <w:rPr>
                <w:rFonts w:hint="eastAsia" w:ascii="宋体" w:hAnsi="宋体" w:eastAsia="宋体" w:cs="宋体"/>
                <w:b/>
                <w:bCs/>
                <w:i w:val="0"/>
                <w:color w:val="auto"/>
                <w:sz w:val="20"/>
                <w:szCs w:val="20"/>
                <w:highlight w:val="none"/>
                <w:u w:val="none"/>
                <w:lang w:val="en-US" w:eastAsia="zh-CN"/>
              </w:rPr>
              <w:t>100%</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b/>
                <w:bCs/>
                <w:i w:val="0"/>
                <w:color w:val="auto"/>
                <w:sz w:val="20"/>
                <w:szCs w:val="20"/>
                <w:highlight w:val="none"/>
                <w:u w:val="none"/>
                <w:lang w:val="en-US" w:eastAsia="zh-CN"/>
              </w:rPr>
            </w:pPr>
            <w:r>
              <w:rPr>
                <w:rFonts w:hint="eastAsia" w:ascii="宋体" w:hAnsi="宋体" w:eastAsia="宋体" w:cs="宋体"/>
                <w:b/>
                <w:bCs/>
                <w:i w:val="0"/>
                <w:color w:val="auto"/>
                <w:sz w:val="20"/>
                <w:szCs w:val="20"/>
                <w:highlight w:val="none"/>
                <w:u w:val="none"/>
                <w:lang w:val="en-US" w:eastAsia="zh-CN"/>
              </w:rPr>
              <w:t>350.4%</w:t>
            </w:r>
          </w:p>
        </w:tc>
      </w:tr>
      <w:tr>
        <w:tblPrEx>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专项收入</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225</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225</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225</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4.2%</w:t>
            </w:r>
          </w:p>
        </w:tc>
      </w:tr>
      <w:tr>
        <w:tblPrEx>
          <w:shd w:val="clear" w:color="auto" w:fill="FFFFFF" w:themeFill="background1"/>
          <w:tblCellMar>
            <w:top w:w="0" w:type="dxa"/>
            <w:left w:w="0" w:type="dxa"/>
            <w:bottom w:w="0" w:type="dxa"/>
            <w:right w:w="0" w:type="dxa"/>
          </w:tblCellMar>
        </w:tblPrEx>
        <w:trPr>
          <w:trHeight w:val="89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行政事业性收费收入</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51</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85</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166.7%</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-46.9%</w:t>
            </w:r>
          </w:p>
        </w:tc>
      </w:tr>
      <w:tr>
        <w:tblPrEx>
          <w:shd w:val="clear" w:color="auto" w:fill="FFFFFF" w:themeFill="background1"/>
          <w:tblCellMar>
            <w:top w:w="0" w:type="dxa"/>
            <w:left w:w="0" w:type="dxa"/>
            <w:bottom w:w="0" w:type="dxa"/>
            <w:right w:w="0" w:type="dxa"/>
          </w:tblCellMar>
        </w:tblPrEx>
        <w:trPr>
          <w:trHeight w:val="1072" w:hRule="atLeast"/>
        </w:trPr>
        <w:tc>
          <w:tcPr>
            <w:tcW w:w="337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 xml:space="preserve">    国有资源（资产）有偿使用收入</w:t>
            </w:r>
          </w:p>
        </w:tc>
        <w:tc>
          <w:tcPr>
            <w:tcW w:w="121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64600</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64590</w:t>
            </w:r>
          </w:p>
        </w:tc>
        <w:tc>
          <w:tcPr>
            <w:tcW w:w="1267"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100%</w:t>
            </w:r>
          </w:p>
        </w:tc>
        <w:tc>
          <w:tcPr>
            <w:tcW w:w="1188" w:type="dxa"/>
            <w:tcBorders>
              <w:top w:val="single" w:color="000000" w:sz="4" w:space="0"/>
              <w:left w:val="single" w:color="000000" w:sz="4" w:space="0"/>
              <w:bottom w:val="single" w:color="000000" w:sz="4" w:space="0"/>
              <w:right w:val="single" w:color="000000" w:sz="4" w:space="0"/>
            </w:tcBorders>
            <w:shd w:val="clear" w:color="auto" w:fill="FFFFFF" w:themeFill="background1"/>
            <w:noWrap/>
            <w:tcMar>
              <w:top w:w="15" w:type="dxa"/>
              <w:left w:w="15" w:type="dxa"/>
              <w:right w:w="15" w:type="dxa"/>
            </w:tcMar>
            <w:vAlign w:val="center"/>
          </w:tcPr>
          <w:p>
            <w:pPr>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360.7%</w:t>
            </w:r>
          </w:p>
        </w:tc>
      </w:tr>
    </w:tbl>
    <w:p>
      <w:pPr>
        <w:numPr>
          <w:ilvl w:val="0"/>
          <w:numId w:val="0"/>
        </w:numPr>
        <w:spacing w:line="240" w:lineRule="auto"/>
        <w:jc w:val="both"/>
        <w:rPr>
          <w:rFonts w:hint="eastAsia" w:ascii="仿宋" w:hAnsi="仿宋" w:eastAsia="仿宋" w:cs="仿宋"/>
          <w:b w:val="0"/>
          <w:bCs w:val="0"/>
          <w:sz w:val="32"/>
          <w:szCs w:val="32"/>
          <w:highlight w:val="yellow"/>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bidi w:val="0"/>
        <w:spacing w:before="0" w:after="0" w:line="240" w:lineRule="auto"/>
        <w:jc w:val="both"/>
        <w:rPr>
          <w:rFonts w:hint="eastAsia" w:asciiTheme="majorEastAsia" w:hAnsiTheme="majorEastAsia" w:eastAsiaTheme="majorEastAsia" w:cstheme="majorEastAsia"/>
          <w:highlight w:val="none"/>
          <w:lang w:val="en-US" w:eastAsia="zh-CN"/>
        </w:rPr>
      </w:pP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关于2025年一般公共预算</w:t>
      </w: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收入决算表的说明</w:t>
      </w:r>
    </w:p>
    <w:p>
      <w:pPr>
        <w:numPr>
          <w:ilvl w:val="0"/>
          <w:numId w:val="0"/>
        </w:numPr>
        <w:spacing w:line="240" w:lineRule="auto"/>
        <w:jc w:val="both"/>
        <w:rPr>
          <w:rFonts w:hint="eastAsia" w:ascii="仿宋" w:hAnsi="仿宋" w:eastAsia="仿宋" w:cs="仿宋"/>
          <w:b/>
          <w:bCs/>
          <w:sz w:val="44"/>
          <w:szCs w:val="44"/>
          <w:highlight w:val="yellow"/>
          <w:lang w:val="en-US" w:eastAsia="zh-CN"/>
        </w:rPr>
      </w:pPr>
    </w:p>
    <w:p>
      <w:pPr>
        <w:numPr>
          <w:ilvl w:val="0"/>
          <w:numId w:val="0"/>
        </w:numPr>
        <w:spacing w:line="240" w:lineRule="auto"/>
        <w:ind w:firstLine="640" w:firstLineChars="200"/>
        <w:jc w:val="both"/>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 xml:space="preserve">一般公共预算是对以税收为主体的财政收入，安排用于保障和改善民生、推动经济社会发展、维持国家机构正常运转等方面的收支预算。一般公共预算收入包括各项税收收入、专项收入、行政事业性收费收入和国有资源(资产)有偿使用收入等。  </w:t>
      </w:r>
    </w:p>
    <w:p>
      <w:pPr>
        <w:numPr>
          <w:ilvl w:val="0"/>
          <w:numId w:val="0"/>
        </w:numPr>
        <w:spacing w:line="240" w:lineRule="auto"/>
        <w:ind w:firstLine="640"/>
        <w:jc w:val="both"/>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 xml:space="preserve">地方级财政收入按分税制收入划分比例分享的增值税、企业所得税、个人所得税、房产税、车船税、契税收入、耕地占用税、行政事业性收费和国有资源(资产)有偿使用收入等非税收入构成。  </w:t>
      </w:r>
    </w:p>
    <w:p>
      <w:pPr>
        <w:numPr>
          <w:ilvl w:val="0"/>
          <w:numId w:val="0"/>
        </w:numPr>
        <w:spacing w:line="240" w:lineRule="auto"/>
        <w:ind w:firstLine="640"/>
        <w:jc w:val="both"/>
        <w:rPr>
          <w:rFonts w:hint="eastAsia"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2025年地方级财政收入72,444万元，完成预算收入的100.8%，同比上年增长60.9%，具体如下：</w:t>
      </w:r>
    </w:p>
    <w:p>
      <w:pPr>
        <w:numPr>
          <w:ilvl w:val="0"/>
          <w:numId w:val="0"/>
        </w:numPr>
        <w:spacing w:line="240" w:lineRule="auto"/>
        <w:ind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1、税收收入7,544万元，完成预算收入的108.2%，同比上年减少75.4%。</w:t>
      </w:r>
    </w:p>
    <w:p>
      <w:pPr>
        <w:numPr>
          <w:ilvl w:val="0"/>
          <w:numId w:val="0"/>
        </w:numPr>
        <w:spacing w:line="240" w:lineRule="auto"/>
        <w:ind w:firstLine="640" w:firstLineChars="200"/>
        <w:jc w:val="both"/>
        <w:rPr>
          <w:rFonts w:hint="eastAsia"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2、</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专项收入225万元，完成预算收入的100%，同比上年增长4.2%，主要为残疾人就业保障金收入。</w:t>
      </w:r>
    </w:p>
    <w:p>
      <w:pPr>
        <w:numPr>
          <w:ilvl w:val="0"/>
          <w:numId w:val="0"/>
        </w:numPr>
        <w:spacing w:line="240" w:lineRule="auto"/>
        <w:ind w:firstLine="640" w:firstLineChars="200"/>
        <w:jc w:val="both"/>
        <w:rPr>
          <w:rFonts w:hint="eastAsia"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3、</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行政事业性收费收入85万元，同比上年减少46.9%，完成预算收入的166.7%，主要为公办幼儿园保教费、城市道路占用挖掘修复费和生活垃圾处理费。</w:t>
      </w:r>
    </w:p>
    <w:p>
      <w:pPr>
        <w:numPr>
          <w:ilvl w:val="0"/>
          <w:numId w:val="0"/>
        </w:numPr>
        <w:spacing w:line="240" w:lineRule="auto"/>
        <w:ind w:firstLine="640" w:firstLineChars="200"/>
        <w:jc w:val="both"/>
        <w:rPr>
          <w:rFonts w:hint="eastAsia" w:ascii="仿宋" w:hAnsi="仿宋" w:eastAsia="仿宋" w:cs="仿宋"/>
          <w:b/>
          <w:bCs/>
          <w:sz w:val="32"/>
          <w:szCs w:val="32"/>
          <w:highlight w:val="yellow"/>
          <w:lang w:val="en-US" w:eastAsia="zh-CN"/>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4、</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国有资源（资产）有偿使用收入64,590万元，完成预算收入的100%，同比上年增长360.7%，主要是示范区存量土地经营权收入等。</w:t>
      </w: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p>
      <w:pPr>
        <w:tabs>
          <w:tab w:val="center" w:pos="4153"/>
        </w:tabs>
        <w:bidi w:val="0"/>
        <w:jc w:val="left"/>
        <w:rPr>
          <w:rFonts w:hint="eastAsia"/>
          <w:sz w:val="32"/>
          <w:szCs w:val="32"/>
          <w:lang w:val="en-US" w:eastAsia="zh-CN"/>
        </w:rPr>
      </w:pPr>
    </w:p>
    <w:tbl>
      <w:tblPr>
        <w:tblStyle w:val="10"/>
        <w:tblW w:w="8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3"/>
        <w:gridCol w:w="20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3" w:hRule="atLeast"/>
        </w:trPr>
        <w:tc>
          <w:tcPr>
            <w:tcW w:w="8200" w:type="dxa"/>
            <w:gridSpan w:val="2"/>
            <w:tcBorders>
              <w:top w:val="nil"/>
              <w:left w:val="nil"/>
              <w:bottom w:val="nil"/>
              <w:right w:val="nil"/>
            </w:tcBorders>
            <w:shd w:val="clear" w:color="auto" w:fill="auto"/>
            <w:vAlign w:val="bottom"/>
          </w:tcPr>
          <w:p>
            <w:pPr>
              <w:jc w:val="center"/>
              <w:rPr>
                <w:rFonts w:hint="eastAsia" w:ascii="楷体_GB2312" w:hAnsi="宋体" w:eastAsia="楷体_GB2312" w:cs="楷体_GB2312"/>
                <w:i w:val="0"/>
                <w:iCs w:val="0"/>
                <w:color w:val="000000"/>
                <w:sz w:val="22"/>
                <w:szCs w:val="22"/>
                <w:u w:val="none"/>
              </w:rPr>
            </w:pPr>
            <w:r>
              <w:rPr>
                <w:rFonts w:hint="eastAsia" w:ascii="宋体" w:hAnsi="宋体" w:eastAsia="宋体" w:cs="宋体"/>
                <w:b/>
                <w:bCs/>
                <w:i w:val="0"/>
                <w:iCs w:val="0"/>
                <w:color w:val="000000"/>
                <w:kern w:val="0"/>
                <w:sz w:val="32"/>
                <w:szCs w:val="32"/>
                <w:u w:val="none"/>
                <w:lang w:val="en-US" w:eastAsia="zh-CN" w:bidi="ar"/>
              </w:rPr>
              <w:t>2025年一般公共预算支出决算表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8200" w:type="dxa"/>
            <w:gridSpan w:val="2"/>
            <w:tcBorders>
              <w:top w:val="nil"/>
              <w:left w:val="nil"/>
              <w:bottom w:val="nil"/>
              <w:right w:val="nil"/>
            </w:tcBorders>
            <w:shd w:val="clear" w:color="auto" w:fill="auto"/>
            <w:vAlign w:val="bottom"/>
          </w:tcPr>
          <w:p>
            <w:pPr>
              <w:jc w:val="right"/>
              <w:rPr>
                <w:rFonts w:hint="default" w:ascii="楷体_GB2312" w:hAnsi="宋体" w:eastAsia="楷体_GB2312" w:cs="楷体_GB2312"/>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    算    科    目</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2025年</w:t>
            </w:r>
          </w:p>
          <w:p>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20,221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其中：地方政府一般债券付息支出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61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本年一般公共预算支出合计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87,285 </w:t>
            </w:r>
          </w:p>
        </w:tc>
      </w:tr>
    </w:tbl>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关于2025年示范区一般公共预算</w:t>
      </w: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支出情况表的说明</w:t>
      </w:r>
    </w:p>
    <w:p>
      <w:pPr>
        <w:numPr>
          <w:ilvl w:val="0"/>
          <w:numId w:val="0"/>
        </w:numPr>
        <w:spacing w:line="240" w:lineRule="auto"/>
        <w:jc w:val="both"/>
        <w:rPr>
          <w:rFonts w:hint="eastAsia" w:ascii="仿宋" w:hAnsi="仿宋" w:eastAsia="仿宋" w:cs="仿宋"/>
          <w:b w:val="0"/>
          <w:bCs w:val="0"/>
          <w:sz w:val="44"/>
          <w:szCs w:val="44"/>
          <w:highlight w:val="yellow"/>
          <w:lang w:val="en-US" w:eastAsia="zh-CN"/>
        </w:rPr>
      </w:pPr>
    </w:p>
    <w:p>
      <w:pPr>
        <w:numPr>
          <w:ilvl w:val="0"/>
          <w:numId w:val="0"/>
        </w:numPr>
        <w:spacing w:line="240" w:lineRule="auto"/>
        <w:ind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sz w:val="32"/>
          <w:szCs w:val="32"/>
          <w:highlight w:val="none"/>
          <w:lang w:val="en-US" w:eastAsia="zh-CN"/>
        </w:rPr>
        <w:t>2025年</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一般公共预算财政支出完成87,285万元。具体情况如下：</w:t>
      </w:r>
    </w:p>
    <w:p>
      <w:pPr>
        <w:numPr>
          <w:ilvl w:val="0"/>
          <w:numId w:val="3"/>
        </w:numPr>
        <w:spacing w:line="240" w:lineRule="auto"/>
        <w:ind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一般公共服务支出26,045万元。主要用于保障机关事业单位正常运转和职能履行，提升机关事业单位社会管理和公共服务能力。</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国防支出10万元。</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教育支出7，221万元，主要为教育部门三保支出等。</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auto"/>
          <w:sz w:val="32"/>
          <w:szCs w:val="32"/>
          <w:highlight w:val="none"/>
          <w:lang w:val="en-US" w:eastAsia="zh-CN"/>
        </w:rPr>
        <w:t>科学技术支出1,020万元。</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文化旅游体育与传媒支出27万元。</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社会保障和就业支出2,938万元，主要为示范区区内抚恤、社会福利与困难群众相关支出。</w:t>
      </w:r>
    </w:p>
    <w:p>
      <w:pPr>
        <w:numPr>
          <w:ilvl w:val="0"/>
          <w:numId w:val="3"/>
        </w:numPr>
        <w:spacing w:line="240" w:lineRule="auto"/>
        <w:ind w:left="0" w:leftChars="0" w:firstLine="640" w:firstLineChars="200"/>
        <w:jc w:val="both"/>
        <w:rPr>
          <w:rFonts w:hint="default"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卫生健康支出2,030万元，主要用于基层医疗卫生机构、公共卫生、行政事业单位医疗等支出。</w:t>
      </w:r>
    </w:p>
    <w:p>
      <w:pPr>
        <w:numPr>
          <w:ilvl w:val="0"/>
          <w:numId w:val="3"/>
        </w:numPr>
        <w:spacing w:line="240" w:lineRule="auto"/>
        <w:ind w:left="0" w:leftChars="0" w:firstLine="640" w:firstLineChars="200"/>
        <w:jc w:val="both"/>
        <w:rPr>
          <w:rFonts w:hint="default"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节能环保支出408万元。</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城乡社区支出15,356万元，主要用于示范区城乡社区公共设施支出。</w:t>
      </w:r>
    </w:p>
    <w:p>
      <w:pPr>
        <w:numPr>
          <w:ilvl w:val="0"/>
          <w:numId w:val="3"/>
        </w:numPr>
        <w:spacing w:line="240" w:lineRule="auto"/>
        <w:ind w:left="0" w:leftChars="0" w:firstLine="640" w:firstLineChars="200"/>
        <w:jc w:val="both"/>
        <w:rPr>
          <w:rFonts w:hint="eastAsia"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农林水支出1,502万元，主要用于农业农村、农村综合改革等支出。</w:t>
      </w:r>
    </w:p>
    <w:p>
      <w:pPr>
        <w:numPr>
          <w:ilvl w:val="0"/>
          <w:numId w:val="3"/>
        </w:numPr>
        <w:spacing w:line="240" w:lineRule="auto"/>
        <w:ind w:left="0" w:leftChars="0" w:firstLine="640" w:firstLineChars="200"/>
        <w:jc w:val="both"/>
        <w:rPr>
          <w:rFonts w:hint="eastAsia"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交通运输支出10万元。</w:t>
      </w:r>
    </w:p>
    <w:p>
      <w:pPr>
        <w:numPr>
          <w:ilvl w:val="0"/>
          <w:numId w:val="3"/>
        </w:numPr>
        <w:spacing w:line="240" w:lineRule="auto"/>
        <w:ind w:left="0" w:leftChars="0" w:firstLine="640" w:firstLineChars="200"/>
        <w:jc w:val="both"/>
        <w:rPr>
          <w:rFonts w:hint="eastAsia"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资源勘探工业信息等支出20,221万元，主要用于示范区国有资产监管支出。</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商业服务业等支出20万元。</w:t>
      </w:r>
    </w:p>
    <w:p>
      <w:pPr>
        <w:numPr>
          <w:ilvl w:val="0"/>
          <w:numId w:val="3"/>
        </w:numPr>
        <w:spacing w:line="240" w:lineRule="auto"/>
        <w:ind w:left="0" w:leftChars="0" w:firstLine="640" w:firstLineChars="200"/>
        <w:jc w:val="both"/>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auto"/>
          <w:sz w:val="32"/>
          <w:szCs w:val="32"/>
          <w:highlight w:val="none"/>
          <w:lang w:val="en-US" w:eastAsia="zh-CN"/>
        </w:rPr>
        <w:t>自然资源海洋气象等支出914万元。</w:t>
      </w:r>
    </w:p>
    <w:p>
      <w:pPr>
        <w:numPr>
          <w:ilvl w:val="0"/>
          <w:numId w:val="3"/>
        </w:numPr>
        <w:spacing w:line="240" w:lineRule="auto"/>
        <w:ind w:left="0" w:leftChars="0" w:firstLine="640" w:firstLineChars="200"/>
        <w:jc w:val="both"/>
        <w:rPr>
          <w:rFonts w:hint="default" w:ascii="仿宋" w:hAnsi="仿宋" w:eastAsia="仿宋" w:cs="仿宋"/>
          <w:b w:val="0"/>
          <w:bCs w:val="0"/>
          <w:color w:val="FF0000"/>
          <w:sz w:val="32"/>
          <w:szCs w:val="32"/>
          <w:highlight w:val="none"/>
          <w:lang w:val="en-US" w:eastAsia="zh-CN"/>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住房保障支出1,319万元，主要为工作人员住房公积金支出。</w:t>
      </w:r>
    </w:p>
    <w:p>
      <w:pPr>
        <w:numPr>
          <w:ilvl w:val="0"/>
          <w:numId w:val="3"/>
        </w:numPr>
        <w:spacing w:line="240" w:lineRule="auto"/>
        <w:ind w:left="0" w:leftChars="0" w:firstLine="640" w:firstLineChars="200"/>
        <w:jc w:val="both"/>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灾害防治及应急管理659万元。</w:t>
      </w:r>
    </w:p>
    <w:p>
      <w:pPr>
        <w:numPr>
          <w:ilvl w:val="0"/>
          <w:numId w:val="3"/>
        </w:numPr>
        <w:spacing w:line="240" w:lineRule="auto"/>
        <w:ind w:left="0" w:leftChars="0" w:firstLine="640" w:firstLineChars="200"/>
        <w:jc w:val="both"/>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其他支出3,000万元，主要用于示范区建设支出。</w:t>
      </w:r>
    </w:p>
    <w:p>
      <w:pPr>
        <w:numPr>
          <w:ilvl w:val="0"/>
          <w:numId w:val="3"/>
        </w:numPr>
        <w:spacing w:line="240" w:lineRule="auto"/>
        <w:ind w:left="0" w:leftChars="0" w:firstLine="640" w:firstLineChars="200"/>
        <w:jc w:val="both"/>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债务付息支出4,577万元，主要用于地方政府一般债券利息支出。</w:t>
      </w:r>
    </w:p>
    <w:p>
      <w:pPr>
        <w:numPr>
          <w:ilvl w:val="0"/>
          <w:numId w:val="3"/>
        </w:numPr>
        <w:spacing w:line="240" w:lineRule="auto"/>
        <w:ind w:left="0" w:leftChars="0" w:firstLine="640" w:firstLineChars="200"/>
        <w:jc w:val="both"/>
        <w:rPr>
          <w:rFonts w:hint="eastAsia" w:ascii="仿宋" w:hAnsi="仿宋" w:eastAsia="仿宋" w:cs="仿宋"/>
          <w:b w:val="0"/>
          <w:bCs w:val="0"/>
          <w:sz w:val="36"/>
          <w:szCs w:val="36"/>
          <w:highlight w:val="none"/>
          <w:lang w:val="en-US" w:eastAsia="zh-CN"/>
        </w:rPr>
      </w:pPr>
      <w:r>
        <w:rPr>
          <w:rFonts w:hint="eastAsia" w:ascii="仿宋" w:hAnsi="仿宋" w:eastAsia="仿宋" w:cs="仿宋"/>
          <w:b w:val="0"/>
          <w:bCs w:val="0"/>
          <w:color w:val="auto"/>
          <w:sz w:val="32"/>
          <w:szCs w:val="32"/>
          <w:highlight w:val="none"/>
          <w:lang w:val="en-US" w:eastAsia="zh-CN"/>
        </w:rPr>
        <w:t>债务发行费用支出8万元，主要是地方政府一般债券发行费。</w:t>
      </w:r>
    </w:p>
    <w:p>
      <w:pPr>
        <w:tabs>
          <w:tab w:val="center" w:pos="4153"/>
        </w:tabs>
        <w:bidi w:val="0"/>
        <w:jc w:val="left"/>
        <w:rPr>
          <w:rFonts w:hint="eastAsia"/>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0"/>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4"/>
        <w:gridCol w:w="5862"/>
        <w:gridCol w:w="1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8331" w:type="dxa"/>
            <w:gridSpan w:val="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32"/>
                <w:szCs w:val="32"/>
                <w:u w:val="none"/>
                <w:lang w:val="en-US" w:eastAsia="zh-CN" w:bidi="ar"/>
              </w:rPr>
              <w:t>2025年一般公共预算支出决算表（类款项）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8331" w:type="dxa"/>
            <w:gridSpan w:val="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科目名称</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一般公共预算支出</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一般公共服务支出</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20103</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政府办公厅(室)及相关机构事务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2010301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2010302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2010303</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20104</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发展与改革事务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2010401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2010402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2010499</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其他发展与改革事务支出</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20106</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财政事务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2010601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2010602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2010607</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2010608</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财政委托业务支出</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20108</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审计事务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2010801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2010804</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审计业务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纪检监察事务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2011101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2011102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20113</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商贸事务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2011301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2011302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2011308</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招商引资</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党委办公厅(室)及相关机构事务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2013101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2013102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20136</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其他共产党事务支出(款)</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2013601</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2013602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20138</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市场监督管理事务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2013802</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2013899</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其他市场监督管理事务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20139</w:t>
            </w:r>
          </w:p>
        </w:tc>
        <w:tc>
          <w:tcPr>
            <w:tcW w:w="5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社会工作事务</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r>
    </w:tbl>
    <w:p>
      <w:pPr>
        <w:numPr>
          <w:ilvl w:val="0"/>
          <w:numId w:val="0"/>
        </w:numPr>
        <w:spacing w:line="240" w:lineRule="auto"/>
        <w:jc w:val="center"/>
        <w:rPr>
          <w:rFonts w:hint="eastAsia" w:ascii="仿宋" w:hAnsi="仿宋" w:eastAsia="仿宋" w:cs="仿宋"/>
          <w:b/>
          <w:bCs/>
          <w:sz w:val="44"/>
          <w:szCs w:val="44"/>
          <w:highlight w:val="yellow"/>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0"/>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6"/>
        <w:gridCol w:w="15"/>
        <w:gridCol w:w="15"/>
        <w:gridCol w:w="15"/>
        <w:gridCol w:w="15"/>
        <w:gridCol w:w="5790"/>
        <w:gridCol w:w="15"/>
        <w:gridCol w:w="15"/>
        <w:gridCol w:w="1380"/>
        <w:gridCol w:w="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8331"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lang w:val="en-US" w:eastAsia="zh-CN" w:bidi="ar"/>
              </w:rPr>
              <w:t>2025年一般公共预算支出决算表（类款项）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331" w:type="dxa"/>
            <w:gridSpan w:val="10"/>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科目名称</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2013904</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专项业务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2013999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其他社会工作事务支出</w:t>
            </w:r>
          </w:p>
        </w:tc>
        <w:tc>
          <w:tcPr>
            <w:tcW w:w="1425" w:type="dxa"/>
            <w:gridSpan w:val="4"/>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20140</w:t>
            </w:r>
          </w:p>
        </w:tc>
        <w:tc>
          <w:tcPr>
            <w:tcW w:w="5850" w:type="dxa"/>
            <w:gridSpan w:val="5"/>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信访事务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2014002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2014099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其他信访事务支出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国防支出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20306</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国防动员</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2030699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其他国防动员支出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教育支出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教育管理事务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2050102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普通教育</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2050201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学前教育</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2050202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小学教育</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2050203</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初中教育</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2050299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其他普通教育支出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20503</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职业教育</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2050302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中等职业教育</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教育费附加安排的支出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2050999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其他教育费附加安排的支出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科学技术支出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科学技术管理事务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科技重大项目</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2060901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科技重大专项</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其他科学技术支出(款)</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科技奖励</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其他科学技术支出(项)</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文化旅游体育与传媒支出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文化和旅游</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2070102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2070109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群众文化</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2070199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其他文化和旅游支出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其他文化旅游体育与传媒支出(款)</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2" w:hRule="atLeast"/>
        </w:trPr>
        <w:tc>
          <w:tcPr>
            <w:tcW w:w="8331"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lang w:val="en-US" w:eastAsia="zh-CN" w:bidi="ar"/>
              </w:rPr>
              <w:t>2025年一般公共预算支出决算表（类款项）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331" w:type="dxa"/>
            <w:gridSpan w:val="10"/>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科目名称</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2079999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其他文化旅游体育与传媒支出(项)</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人力资源和社会保障管理事务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2080105</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劳动保障监察</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民政管理事务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2080201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2080209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老龄事务</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2080299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其他民政管理事务支出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20807</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就业补助</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2080799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其他就业补助支出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抚恤</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死亡抚恤</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伤残抚恤</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2080803</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在乡复员、退伍军人生活补助</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2080805</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义务兵优待</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2080806</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农村籍退役士兵老年生活补助</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其他优抚支出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退役安置</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2080901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退役士兵安置</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20810</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社会福利</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2081001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儿童福利</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2081002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老年福利</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2081004</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殡葬</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2081099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其他社会福利支出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残疾人事业</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2081104</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残疾人康复</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2081105</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残疾人就业</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2081107</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残疾人生活和护理补贴</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2081199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其他残疾人事业支出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最低生活保障</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2081901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城市最低生活保障金支出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2081902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农村最低生活保障金支出</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20820</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临时救助</w:t>
            </w:r>
          </w:p>
        </w:tc>
        <w:tc>
          <w:tcPr>
            <w:tcW w:w="14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8331"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lang w:val="en-US" w:eastAsia="zh-CN" w:bidi="ar"/>
              </w:rPr>
              <w:t>2025年一般公共预算支出决算表（类款项）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331" w:type="dxa"/>
            <w:gridSpan w:val="10"/>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科目名称</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2082001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临时救助支出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特困人员救助供养</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2082101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城市特困人员救助供养支出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2082102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农村特困人员救助供养支出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20825</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其他生活救助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2082501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其他城市生活救助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2082502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其他农村生活救助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20826</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财政对基本养老保险基金的补助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2082602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财政对城乡居民基本养老保险基金的补助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20828</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退役军人管理事务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2082802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2082804</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拥军优属</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20830</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财政代缴社会保险费支出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2083001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财政代缴城乡居民基本养老保险费支出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卫生健康支出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卫生健康管理事务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2100102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21003</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基层医疗卫生机构</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2100301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城市社区卫生机构</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2100399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其他基层医疗卫生机构支出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21004</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公共卫生</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2100401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疾病预防控制机构</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2100408</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基本公共卫生服务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2100409</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重大公共卫生服务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2100410</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突发公共卫生事件应急处置</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21007</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计划生育事务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2100716</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计划生育机构</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2100717</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计划生育服务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行政事业单位医疗</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行政单位医疗</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事业单位医疗</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财政对基本医疗保险基金的补助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2101202</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财政对城乡居民基本医疗保险基金的补助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21013</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医疗救助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2101301</w:t>
            </w:r>
          </w:p>
        </w:tc>
        <w:tc>
          <w:tcPr>
            <w:tcW w:w="58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城乡医疗救助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652" w:hRule="atLeast"/>
        </w:trPr>
        <w:tc>
          <w:tcPr>
            <w:tcW w:w="8316"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lang w:val="en-US" w:eastAsia="zh-CN" w:bidi="ar"/>
              </w:rPr>
              <w:t>2025年一般公共预算支出决算表（类款项）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8316" w:type="dxa"/>
            <w:gridSpan w:val="9"/>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科目名称</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优抚对象医疗</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2101401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优抚对象医疗补助</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托育服务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2101999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其他托育服务支出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其他卫生健康支出(款)</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2109999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其他卫生健康支出(项)</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节能环保支出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环境保护管理事务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2110102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2110104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生态环境保护宣传</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环境监测与监察</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2110299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其他环境监测与监察支出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21103</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污染防治</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2110301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大气</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自然生态保护</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2110402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农村环境保护</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城乡社区支出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城乡社区管理事务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2120101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2120102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2120104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城管执法</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2120199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其他城乡社区管理事务支出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21203</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城乡社区公共设施</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2120399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其他城乡社区公共设施支出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其他城乡社区支出(款)</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2129999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其他城乡社区支出(项)</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农林水支出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农业农村</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2130106</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科技转化与推广服务</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2130108</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病虫害控制</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2130122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农业生产发展</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2130142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乡村道路建设</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2130153</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耕地建设与利用</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0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2130199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其他农业农村支出</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700" w:hRule="atLeast"/>
        </w:trPr>
        <w:tc>
          <w:tcPr>
            <w:tcW w:w="8316"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lang w:val="en-US" w:eastAsia="zh-CN" w:bidi="ar"/>
              </w:rPr>
              <w:t>2025年一般公共预算支出决算表（类款项）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8316" w:type="dxa"/>
            <w:gridSpan w:val="9"/>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科目名称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林业和草原</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2130205</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森林资源培育</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21303</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水利</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2130310</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水土保持</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2130311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水资源节约管理与保护</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2130314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防汛</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2130335</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农村供水</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2130399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其他水利支出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21307</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农村综合改革</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2130701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对村级公益事业建设的补助</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2130705</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对村民委员会和村党支部的补助</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交通运输支出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公路水路运输</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2140104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公路建设</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资源勘探工业信息等支出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21505</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工业和信息产业</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2150599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其他工业和信息产业支出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21507</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国有资产监管</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2150702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2150799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其他国有资产监管支出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商业服务业等支出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其他商业服务业等支出(款)</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2169999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其他商业服务业等支出(项)</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自然资源海洋气象等支出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自然资源事务</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2200101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2200102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住房改革支出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灾害防治及应急管理支出</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应急管理事务</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2240101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2240102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0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2240109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应急管理</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715" w:hRule="atLeast"/>
        </w:trPr>
        <w:tc>
          <w:tcPr>
            <w:tcW w:w="8316"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lang w:val="en-US" w:eastAsia="zh-CN" w:bidi="ar"/>
              </w:rPr>
              <w:t>2025年一般公共预算支出决算表（类款项）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8316" w:type="dxa"/>
            <w:gridSpan w:val="9"/>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科目名称</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消防救援事务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2240202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其他支出(类)</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其他支出(款)</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2299999</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其他支出(项)</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债务付息支出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23203</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地方政府一般债务付息支出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2320301</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地方政府一般债券付息支出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58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债务发行费用支出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23303</w:t>
            </w:r>
          </w:p>
        </w:tc>
        <w:tc>
          <w:tcPr>
            <w:tcW w:w="5820" w:type="dxa"/>
            <w:gridSpan w:val="3"/>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地方政府一般债务发行费用支出(款)</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dxa"/>
          <w:trHeight w:val="345" w:hRule="atLeast"/>
        </w:trPr>
        <w:tc>
          <w:tcPr>
            <w:tcW w:w="111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2330301</w:t>
            </w:r>
          </w:p>
        </w:tc>
        <w:tc>
          <w:tcPr>
            <w:tcW w:w="5820" w:type="dxa"/>
            <w:gridSpan w:val="3"/>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地方政府一般债务发行费用支出(项)</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bl>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240" w:lineRule="auto"/>
        <w:jc w:val="both"/>
        <w:rPr>
          <w:rFonts w:hint="eastAsia" w:ascii="方正小标宋_GBK" w:hAnsi="方正小标宋_GBK" w:eastAsia="方正小标宋_GBK" w:cs="方正小标宋_GBK"/>
          <w:b w:val="0"/>
          <w:bCs w:val="0"/>
          <w:sz w:val="44"/>
          <w:szCs w:val="44"/>
          <w:highlight w:val="none"/>
          <w:lang w:val="en-US" w:eastAsia="zh-CN"/>
        </w:rPr>
      </w:pPr>
    </w:p>
    <w:p>
      <w:pPr>
        <w:numPr>
          <w:ilvl w:val="0"/>
          <w:numId w:val="0"/>
        </w:numPr>
        <w:spacing w:line="600" w:lineRule="auto"/>
        <w:jc w:val="left"/>
        <w:rPr>
          <w:rFonts w:hint="eastAsia" w:ascii="仿宋" w:hAnsi="仿宋" w:eastAsia="仿宋" w:cs="仿宋"/>
          <w:b w:val="0"/>
          <w:bCs w:val="0"/>
          <w:sz w:val="44"/>
          <w:szCs w:val="44"/>
          <w:highlight w:val="yellow"/>
          <w:lang w:val="en-US" w:eastAsia="zh-CN"/>
        </w:rPr>
      </w:pPr>
    </w:p>
    <w:p>
      <w:pPr>
        <w:numPr>
          <w:ilvl w:val="0"/>
          <w:numId w:val="0"/>
        </w:numPr>
        <w:spacing w:line="600" w:lineRule="auto"/>
        <w:jc w:val="left"/>
        <w:rPr>
          <w:rFonts w:hint="eastAsia" w:ascii="仿宋" w:hAnsi="仿宋" w:eastAsia="仿宋" w:cs="仿宋"/>
          <w:b w:val="0"/>
          <w:bCs w:val="0"/>
          <w:sz w:val="44"/>
          <w:szCs w:val="44"/>
          <w:highlight w:val="yellow"/>
          <w:lang w:val="en-US" w:eastAsia="zh-CN"/>
        </w:rPr>
      </w:pP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pStyle w:val="2"/>
        <w:bidi w:val="0"/>
        <w:spacing w:before="0" w:after="0" w:line="240" w:lineRule="auto"/>
        <w:jc w:val="center"/>
        <w:rPr>
          <w:rFonts w:hint="eastAsia" w:asciiTheme="majorEastAsia" w:hAnsiTheme="majorEastAsia" w:eastAsiaTheme="majorEastAsia" w:cstheme="majorEastAsia"/>
          <w:b/>
          <w:sz w:val="52"/>
          <w:szCs w:val="52"/>
          <w:highlight w:val="none"/>
        </w:rPr>
      </w:pPr>
      <w:r>
        <w:rPr>
          <w:rFonts w:hint="eastAsia" w:asciiTheme="majorEastAsia" w:hAnsiTheme="majorEastAsia" w:eastAsiaTheme="majorEastAsia" w:cstheme="majorEastAsia"/>
          <w:b/>
          <w:sz w:val="52"/>
          <w:szCs w:val="52"/>
          <w:highlight w:val="none"/>
          <w:lang w:val="en-US" w:eastAsia="zh-CN"/>
        </w:rPr>
        <w:t>2025年</w:t>
      </w:r>
      <w:r>
        <w:rPr>
          <w:rFonts w:hint="eastAsia" w:asciiTheme="majorEastAsia" w:hAnsiTheme="majorEastAsia" w:eastAsiaTheme="majorEastAsia" w:cstheme="majorEastAsia"/>
          <w:b/>
          <w:sz w:val="52"/>
          <w:szCs w:val="52"/>
          <w:highlight w:val="none"/>
        </w:rPr>
        <w:t>区本级政府性基金预算</w:t>
      </w:r>
    </w:p>
    <w:p>
      <w:pPr>
        <w:pStyle w:val="2"/>
        <w:bidi w:val="0"/>
        <w:spacing w:before="0" w:after="0" w:line="240" w:lineRule="auto"/>
        <w:jc w:val="center"/>
        <w:rPr>
          <w:rFonts w:hint="eastAsia" w:asciiTheme="majorEastAsia" w:hAnsiTheme="majorEastAsia" w:eastAsiaTheme="majorEastAsia" w:cstheme="majorEastAsia"/>
          <w:b/>
          <w:sz w:val="52"/>
          <w:szCs w:val="52"/>
          <w:highlight w:val="none"/>
        </w:rPr>
      </w:pPr>
      <w:r>
        <w:rPr>
          <w:rFonts w:hint="eastAsia" w:asciiTheme="majorEastAsia" w:hAnsiTheme="majorEastAsia" w:eastAsiaTheme="majorEastAsia" w:cstheme="majorEastAsia"/>
          <w:b/>
          <w:sz w:val="52"/>
          <w:szCs w:val="52"/>
          <w:highlight w:val="none"/>
        </w:rPr>
        <w:t>收支执行情况</w:t>
      </w: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jc w:val="left"/>
        <w:rPr>
          <w:rFonts w:hint="eastAsia" w:ascii="微软雅黑" w:hAnsi="仿宋" w:eastAsia="微软雅黑" w:cs="微软雅黑"/>
          <w:color w:val="000000"/>
          <w:sz w:val="44"/>
          <w:szCs w:val="44"/>
          <w:highlight w:val="yellow"/>
        </w:rPr>
      </w:pPr>
    </w:p>
    <w:p>
      <w:pPr>
        <w:numPr>
          <w:ilvl w:val="0"/>
          <w:numId w:val="0"/>
        </w:numPr>
        <w:wordWrap w:val="0"/>
        <w:spacing w:line="240" w:lineRule="auto"/>
        <w:ind w:firstLine="0" w:firstLineChars="0"/>
        <w:jc w:val="left"/>
        <w:rPr>
          <w:rFonts w:hint="default" w:ascii="仿宋" w:hAnsi="仿宋" w:eastAsia="仿宋" w:cs="仿宋"/>
          <w:b/>
          <w:bCs/>
          <w:kern w:val="0"/>
          <w:sz w:val="44"/>
          <w:szCs w:val="44"/>
          <w:highlight w:val="none"/>
          <w:lang w:val="en-US" w:eastAsia="zh-CN"/>
        </w:rPr>
      </w:pPr>
    </w:p>
    <w:tbl>
      <w:tblPr>
        <w:tblStyle w:val="10"/>
        <w:tblW w:w="7978" w:type="dxa"/>
        <w:jc w:val="center"/>
        <w:tblLayout w:type="fixed"/>
        <w:tblCellMar>
          <w:top w:w="0" w:type="dxa"/>
          <w:left w:w="108" w:type="dxa"/>
          <w:bottom w:w="0" w:type="dxa"/>
          <w:right w:w="108" w:type="dxa"/>
        </w:tblCellMar>
      </w:tblPr>
      <w:tblGrid>
        <w:gridCol w:w="2811"/>
        <w:gridCol w:w="1015"/>
        <w:gridCol w:w="3058"/>
        <w:gridCol w:w="1094"/>
      </w:tblGrid>
      <w:tr>
        <w:tblPrEx>
          <w:tblCellMar>
            <w:top w:w="0" w:type="dxa"/>
            <w:left w:w="108" w:type="dxa"/>
            <w:bottom w:w="0" w:type="dxa"/>
            <w:right w:w="108" w:type="dxa"/>
          </w:tblCellMar>
        </w:tblPrEx>
        <w:trPr>
          <w:trHeight w:val="758" w:hRule="atLeast"/>
          <w:jc w:val="center"/>
        </w:trPr>
        <w:tc>
          <w:tcPr>
            <w:tcW w:w="7978" w:type="dxa"/>
            <w:gridSpan w:val="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2"/>
                <w:szCs w:val="22"/>
                <w:highlight w:val="none"/>
                <w:u w:val="none"/>
                <w:lang w:val="en-US" w:eastAsia="zh-CN" w:bidi="ar"/>
              </w:rPr>
            </w:pPr>
            <w:r>
              <w:rPr>
                <w:rFonts w:hint="eastAsia" w:ascii="宋体" w:hAnsi="宋体" w:eastAsia="宋体" w:cs="宋体"/>
                <w:b/>
                <w:bCs/>
                <w:color w:val="auto"/>
                <w:kern w:val="0"/>
                <w:sz w:val="36"/>
                <w:szCs w:val="36"/>
                <w:highlight w:val="none"/>
                <w:lang w:eastAsia="zh-CN"/>
              </w:rPr>
              <w:t>202</w:t>
            </w:r>
            <w:r>
              <w:rPr>
                <w:rFonts w:hint="eastAsia" w:ascii="宋体" w:hAnsi="宋体" w:eastAsia="宋体" w:cs="宋体"/>
                <w:b/>
                <w:bCs/>
                <w:color w:val="auto"/>
                <w:kern w:val="0"/>
                <w:sz w:val="36"/>
                <w:szCs w:val="36"/>
                <w:highlight w:val="none"/>
                <w:lang w:val="en-US" w:eastAsia="zh-CN"/>
              </w:rPr>
              <w:t>5</w:t>
            </w:r>
            <w:r>
              <w:rPr>
                <w:rFonts w:hint="eastAsia" w:ascii="宋体" w:hAnsi="宋体" w:eastAsia="宋体" w:cs="宋体"/>
                <w:b/>
                <w:bCs/>
                <w:color w:val="auto"/>
                <w:kern w:val="0"/>
                <w:sz w:val="36"/>
                <w:szCs w:val="36"/>
                <w:highlight w:val="none"/>
                <w:lang w:eastAsia="zh-CN"/>
              </w:rPr>
              <w:t>年</w:t>
            </w:r>
            <w:r>
              <w:rPr>
                <w:rFonts w:hint="eastAsia" w:ascii="宋体" w:hAnsi="宋体" w:eastAsia="宋体" w:cs="宋体"/>
                <w:b/>
                <w:bCs/>
                <w:color w:val="auto"/>
                <w:kern w:val="0"/>
                <w:sz w:val="36"/>
                <w:szCs w:val="36"/>
                <w:highlight w:val="none"/>
              </w:rPr>
              <w:t>区本级政府性基金收支平衡表</w:t>
            </w:r>
          </w:p>
        </w:tc>
      </w:tr>
      <w:tr>
        <w:tblPrEx>
          <w:tblCellMar>
            <w:top w:w="0" w:type="dxa"/>
            <w:left w:w="108" w:type="dxa"/>
            <w:bottom w:w="0" w:type="dxa"/>
            <w:right w:w="108" w:type="dxa"/>
          </w:tblCellMar>
        </w:tblPrEx>
        <w:trPr>
          <w:trHeight w:val="90" w:hRule="atLeast"/>
          <w:jc w:val="center"/>
        </w:trPr>
        <w:tc>
          <w:tcPr>
            <w:tcW w:w="7978" w:type="dxa"/>
            <w:gridSpan w:val="4"/>
            <w:tcBorders>
              <w:top w:val="nil"/>
              <w:left w:val="nil"/>
              <w:bottom w:val="single" w:color="auto" w:sz="4" w:space="0"/>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kern w:val="0"/>
                <w:sz w:val="20"/>
                <w:szCs w:val="20"/>
                <w:highlight w:val="none"/>
                <w:u w:val="none"/>
                <w:lang w:val="en-US" w:eastAsia="zh-CN" w:bidi="ar"/>
              </w:rPr>
            </w:pPr>
            <w:r>
              <w:rPr>
                <w:rFonts w:hint="eastAsia" w:ascii="宋体" w:hAnsi="宋体" w:eastAsia="宋体" w:cs="宋体"/>
                <w:kern w:val="0"/>
                <w:sz w:val="20"/>
                <w:szCs w:val="20"/>
                <w:highlight w:val="none"/>
              </w:rPr>
              <w:t>单位：万元</w:t>
            </w:r>
            <w:r>
              <w:rPr>
                <w:rFonts w:hint="eastAsia" w:ascii="宋体" w:hAnsi="宋体" w:eastAsia="宋体" w:cs="宋体"/>
                <w:kern w:val="0"/>
                <w:sz w:val="20"/>
                <w:szCs w:val="20"/>
                <w:highlight w:val="none"/>
                <w:lang w:val="en-US" w:eastAsia="zh-CN"/>
              </w:rPr>
              <w:t xml:space="preserve"> </w:t>
            </w:r>
          </w:p>
        </w:tc>
      </w:tr>
      <w:tr>
        <w:tblPrEx>
          <w:tblCellMar>
            <w:top w:w="0" w:type="dxa"/>
            <w:left w:w="108" w:type="dxa"/>
            <w:bottom w:w="0" w:type="dxa"/>
            <w:right w:w="108" w:type="dxa"/>
          </w:tblCellMar>
        </w:tblPrEx>
        <w:trPr>
          <w:trHeight w:val="758"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bCs/>
                <w:kern w:val="0"/>
                <w:sz w:val="20"/>
                <w:szCs w:val="20"/>
                <w:highlight w:val="none"/>
              </w:rPr>
            </w:pPr>
            <w:r>
              <w:rPr>
                <w:rFonts w:hint="eastAsia" w:ascii="宋体" w:hAnsi="宋体" w:eastAsia="宋体" w:cs="宋体"/>
                <w:b/>
                <w:color w:val="000000"/>
                <w:kern w:val="0"/>
                <w:sz w:val="20"/>
                <w:szCs w:val="20"/>
                <w:highlight w:val="none"/>
              </w:rPr>
              <w:t>收入项目</w:t>
            </w: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kern w:val="0"/>
                <w:sz w:val="20"/>
                <w:szCs w:val="20"/>
                <w:highlight w:val="none"/>
                <w:lang w:val="en-US"/>
              </w:rPr>
            </w:pPr>
            <w:r>
              <w:rPr>
                <w:rFonts w:hint="eastAsia" w:ascii="宋体" w:hAnsi="宋体" w:eastAsia="宋体" w:cs="宋体"/>
                <w:b/>
                <w:i w:val="0"/>
                <w:color w:val="000000"/>
                <w:kern w:val="0"/>
                <w:sz w:val="20"/>
                <w:szCs w:val="20"/>
                <w:highlight w:val="none"/>
                <w:u w:val="none"/>
                <w:lang w:val="en-US" w:eastAsia="zh-CN" w:bidi="ar"/>
              </w:rPr>
              <w:t>2025年     决算数</w:t>
            </w:r>
          </w:p>
        </w:tc>
        <w:tc>
          <w:tcPr>
            <w:tcW w:w="30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bCs/>
                <w:kern w:val="0"/>
                <w:sz w:val="20"/>
                <w:szCs w:val="20"/>
                <w:highlight w:val="none"/>
              </w:rPr>
            </w:pPr>
            <w:r>
              <w:rPr>
                <w:rFonts w:hint="eastAsia" w:ascii="宋体" w:hAnsi="宋体" w:eastAsia="宋体" w:cs="宋体"/>
                <w:b/>
                <w:color w:val="000000"/>
                <w:kern w:val="0"/>
                <w:sz w:val="20"/>
                <w:szCs w:val="20"/>
                <w:highlight w:val="none"/>
              </w:rPr>
              <w:t>支出项目</w:t>
            </w:r>
          </w:p>
        </w:tc>
        <w:tc>
          <w:tcPr>
            <w:tcW w:w="1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kern w:val="0"/>
                <w:sz w:val="20"/>
                <w:szCs w:val="20"/>
                <w:highlight w:val="none"/>
                <w:lang w:val="en-US"/>
              </w:rPr>
            </w:pPr>
            <w:r>
              <w:rPr>
                <w:rFonts w:hint="eastAsia" w:ascii="宋体" w:hAnsi="宋体" w:eastAsia="宋体" w:cs="宋体"/>
                <w:b/>
                <w:i w:val="0"/>
                <w:color w:val="000000"/>
                <w:kern w:val="0"/>
                <w:sz w:val="20"/>
                <w:szCs w:val="20"/>
                <w:highlight w:val="none"/>
                <w:u w:val="none"/>
                <w:lang w:val="en-US" w:eastAsia="zh-CN" w:bidi="ar"/>
              </w:rPr>
              <w:t>2025年     决算数</w:t>
            </w:r>
          </w:p>
        </w:tc>
      </w:tr>
      <w:tr>
        <w:tblPrEx>
          <w:tblCellMar>
            <w:top w:w="0" w:type="dxa"/>
            <w:left w:w="108" w:type="dxa"/>
            <w:bottom w:w="0" w:type="dxa"/>
            <w:right w:w="108" w:type="dxa"/>
          </w:tblCellMar>
        </w:tblPrEx>
        <w:trPr>
          <w:trHeight w:val="893"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kern w:val="0"/>
                <w:sz w:val="20"/>
                <w:szCs w:val="20"/>
                <w:highlight w:val="none"/>
              </w:rPr>
            </w:pPr>
            <w:r>
              <w:rPr>
                <w:rFonts w:hint="eastAsia" w:ascii="宋体" w:hAnsi="宋体" w:eastAsia="宋体" w:cs="宋体"/>
                <w:b/>
                <w:bCs/>
                <w:color w:val="000000"/>
                <w:kern w:val="0"/>
                <w:sz w:val="20"/>
                <w:szCs w:val="20"/>
                <w:highlight w:val="none"/>
                <w:lang w:val="en-US" w:eastAsia="zh-CN"/>
              </w:rPr>
              <w:t>一、</w:t>
            </w:r>
            <w:r>
              <w:rPr>
                <w:rFonts w:hint="eastAsia" w:ascii="宋体" w:hAnsi="宋体" w:eastAsia="宋体" w:cs="宋体"/>
                <w:b/>
                <w:bCs/>
                <w:color w:val="000000"/>
                <w:kern w:val="0"/>
                <w:sz w:val="20"/>
                <w:szCs w:val="20"/>
                <w:highlight w:val="none"/>
              </w:rPr>
              <w:t>政府性基金收入</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rPr>
            </w:pPr>
            <w:r>
              <w:rPr>
                <w:rFonts w:hint="eastAsia" w:ascii="宋体" w:hAnsi="宋体" w:eastAsia="宋体" w:cs="宋体"/>
                <w:kern w:val="0"/>
                <w:sz w:val="20"/>
                <w:szCs w:val="20"/>
                <w:highlight w:val="none"/>
                <w:lang w:val="en-US" w:eastAsia="zh-CN"/>
              </w:rPr>
              <w:t>34,484</w:t>
            </w:r>
          </w:p>
        </w:tc>
        <w:tc>
          <w:tcPr>
            <w:tcW w:w="305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b/>
                <w:bCs/>
                <w:kern w:val="0"/>
                <w:sz w:val="20"/>
                <w:szCs w:val="20"/>
                <w:highlight w:val="none"/>
              </w:rPr>
            </w:pPr>
            <w:r>
              <w:rPr>
                <w:rFonts w:hint="eastAsia" w:ascii="宋体" w:hAnsi="宋体" w:eastAsia="宋体" w:cs="宋体"/>
                <w:b/>
                <w:bCs/>
                <w:color w:val="000000"/>
                <w:kern w:val="0"/>
                <w:sz w:val="20"/>
                <w:szCs w:val="20"/>
                <w:highlight w:val="none"/>
                <w:lang w:val="en-US" w:eastAsia="zh-CN"/>
              </w:rPr>
              <w:t>一、</w:t>
            </w:r>
            <w:r>
              <w:rPr>
                <w:rFonts w:hint="eastAsia" w:ascii="宋体" w:hAnsi="宋体" w:eastAsia="宋体" w:cs="宋体"/>
                <w:b/>
                <w:bCs/>
                <w:color w:val="000000"/>
                <w:kern w:val="0"/>
                <w:sz w:val="20"/>
                <w:szCs w:val="20"/>
                <w:highlight w:val="none"/>
              </w:rPr>
              <w:t>政府性基金支出</w:t>
            </w: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167,704</w:t>
            </w:r>
          </w:p>
        </w:tc>
      </w:tr>
      <w:tr>
        <w:tblPrEx>
          <w:tblCellMar>
            <w:top w:w="0" w:type="dxa"/>
            <w:left w:w="108" w:type="dxa"/>
            <w:bottom w:w="0" w:type="dxa"/>
            <w:right w:w="108" w:type="dxa"/>
          </w:tblCellMar>
        </w:tblPrEx>
        <w:trPr>
          <w:trHeight w:val="893"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b/>
                <w:bCs/>
                <w:kern w:val="0"/>
                <w:sz w:val="20"/>
                <w:szCs w:val="20"/>
                <w:highlight w:val="none"/>
                <w:lang w:val="en-US" w:eastAsia="zh-CN" w:bidi="ar-SA"/>
              </w:rPr>
            </w:pPr>
            <w:r>
              <w:rPr>
                <w:rFonts w:hint="eastAsia" w:ascii="宋体" w:hAnsi="宋体" w:eastAsia="宋体" w:cs="宋体"/>
                <w:b/>
                <w:bCs/>
                <w:kern w:val="0"/>
                <w:sz w:val="20"/>
                <w:szCs w:val="20"/>
                <w:highlight w:val="none"/>
                <w:lang w:val="en-US" w:eastAsia="zh-CN"/>
              </w:rPr>
              <w:t>二、上年结余收入</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1,949</w:t>
            </w:r>
          </w:p>
        </w:tc>
        <w:tc>
          <w:tcPr>
            <w:tcW w:w="305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b/>
                <w:bCs/>
                <w:kern w:val="0"/>
                <w:sz w:val="20"/>
                <w:szCs w:val="20"/>
                <w:highlight w:val="none"/>
                <w:lang w:val="en-US" w:eastAsia="zh-CN" w:bidi="ar-SA"/>
              </w:rPr>
            </w:pPr>
            <w:r>
              <w:rPr>
                <w:rFonts w:hint="eastAsia" w:ascii="宋体" w:hAnsi="宋体" w:eastAsia="宋体" w:cs="宋体"/>
                <w:b/>
                <w:bCs/>
                <w:color w:val="000000"/>
                <w:kern w:val="0"/>
                <w:sz w:val="20"/>
                <w:szCs w:val="20"/>
                <w:highlight w:val="none"/>
                <w:lang w:val="en-US" w:eastAsia="zh-CN"/>
              </w:rPr>
              <w:t>二、</w:t>
            </w:r>
            <w:r>
              <w:rPr>
                <w:rFonts w:hint="eastAsia" w:ascii="宋体" w:hAnsi="宋体" w:eastAsia="宋体" w:cs="宋体"/>
                <w:b/>
                <w:bCs/>
                <w:color w:val="000000"/>
                <w:kern w:val="0"/>
                <w:sz w:val="20"/>
                <w:szCs w:val="20"/>
                <w:highlight w:val="none"/>
              </w:rPr>
              <w:t>政府性基金上解支出</w:t>
            </w: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rPr>
              <w:t>2504</w:t>
            </w:r>
          </w:p>
        </w:tc>
      </w:tr>
      <w:tr>
        <w:tblPrEx>
          <w:tblCellMar>
            <w:top w:w="0" w:type="dxa"/>
            <w:left w:w="108" w:type="dxa"/>
            <w:bottom w:w="0" w:type="dxa"/>
            <w:right w:w="108" w:type="dxa"/>
          </w:tblCellMar>
        </w:tblPrEx>
        <w:trPr>
          <w:trHeight w:val="908"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kern w:val="0"/>
                <w:sz w:val="20"/>
                <w:szCs w:val="20"/>
                <w:highlight w:val="none"/>
              </w:rPr>
            </w:pPr>
            <w:r>
              <w:rPr>
                <w:rFonts w:hint="eastAsia" w:ascii="宋体" w:hAnsi="宋体" w:eastAsia="宋体" w:cs="宋体"/>
                <w:b/>
                <w:bCs/>
                <w:color w:val="000000"/>
                <w:kern w:val="0"/>
                <w:sz w:val="20"/>
                <w:szCs w:val="20"/>
                <w:highlight w:val="none"/>
                <w:lang w:val="en-US" w:eastAsia="zh-CN"/>
              </w:rPr>
              <w:t>三、</w:t>
            </w:r>
            <w:r>
              <w:rPr>
                <w:rFonts w:hint="eastAsia" w:ascii="宋体" w:hAnsi="宋体" w:eastAsia="宋体" w:cs="宋体"/>
                <w:b/>
                <w:bCs/>
                <w:color w:val="000000"/>
                <w:kern w:val="0"/>
                <w:sz w:val="20"/>
                <w:szCs w:val="20"/>
                <w:highlight w:val="none"/>
              </w:rPr>
              <w:t>政府性基金转移</w:t>
            </w:r>
            <w:r>
              <w:rPr>
                <w:rFonts w:hint="eastAsia" w:ascii="宋体" w:hAnsi="宋体" w:eastAsia="宋体" w:cs="宋体"/>
                <w:b/>
                <w:bCs/>
                <w:color w:val="000000"/>
                <w:kern w:val="0"/>
                <w:sz w:val="20"/>
                <w:szCs w:val="20"/>
                <w:highlight w:val="none"/>
                <w:lang w:val="en-US" w:eastAsia="zh-CN"/>
              </w:rPr>
              <w:t>支付</w:t>
            </w:r>
            <w:r>
              <w:rPr>
                <w:rFonts w:hint="eastAsia" w:ascii="宋体" w:hAnsi="宋体" w:eastAsia="宋体" w:cs="宋体"/>
                <w:b/>
                <w:bCs/>
                <w:color w:val="000000"/>
                <w:kern w:val="0"/>
                <w:sz w:val="20"/>
                <w:szCs w:val="20"/>
                <w:highlight w:val="none"/>
              </w:rPr>
              <w:t>收入</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62,262</w:t>
            </w:r>
          </w:p>
        </w:tc>
        <w:tc>
          <w:tcPr>
            <w:tcW w:w="305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b/>
                <w:bCs/>
                <w:kern w:val="0"/>
                <w:sz w:val="20"/>
                <w:szCs w:val="20"/>
                <w:highlight w:val="none"/>
                <w:lang w:val="en-US" w:eastAsia="zh-CN" w:bidi="ar-SA"/>
              </w:rPr>
            </w:pPr>
            <w:r>
              <w:rPr>
                <w:rFonts w:hint="eastAsia" w:ascii="宋体" w:hAnsi="宋体" w:eastAsia="宋体" w:cs="宋体"/>
                <w:b/>
                <w:bCs/>
                <w:kern w:val="0"/>
                <w:sz w:val="20"/>
                <w:szCs w:val="20"/>
                <w:highlight w:val="none"/>
                <w:lang w:val="en-US" w:eastAsia="zh-CN"/>
              </w:rPr>
              <w:t>三、调出资金</w:t>
            </w: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rPr>
              <w:t>540</w:t>
            </w:r>
          </w:p>
        </w:tc>
      </w:tr>
      <w:tr>
        <w:tblPrEx>
          <w:tblCellMar>
            <w:top w:w="0" w:type="dxa"/>
            <w:left w:w="108" w:type="dxa"/>
            <w:bottom w:w="0" w:type="dxa"/>
            <w:right w:w="108" w:type="dxa"/>
          </w:tblCellMar>
        </w:tblPrEx>
        <w:trPr>
          <w:trHeight w:val="758"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600" w:firstLineChars="300"/>
              <w:jc w:val="left"/>
              <w:textAlignment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城乡社区</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58,518</w:t>
            </w:r>
          </w:p>
        </w:tc>
        <w:tc>
          <w:tcPr>
            <w:tcW w:w="305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b/>
                <w:bCs/>
                <w:kern w:val="0"/>
                <w:sz w:val="20"/>
                <w:szCs w:val="20"/>
                <w:highlight w:val="none"/>
                <w:lang w:val="en-US" w:eastAsia="zh-CN" w:bidi="ar-SA"/>
              </w:rPr>
            </w:pPr>
            <w:r>
              <w:rPr>
                <w:rFonts w:hint="eastAsia" w:ascii="宋体" w:hAnsi="宋体" w:eastAsia="宋体" w:cs="宋体"/>
                <w:b/>
                <w:bCs/>
                <w:color w:val="000000"/>
                <w:kern w:val="0"/>
                <w:sz w:val="20"/>
                <w:szCs w:val="20"/>
                <w:highlight w:val="none"/>
                <w:lang w:val="en-US" w:eastAsia="zh-CN"/>
              </w:rPr>
              <w:t>四、</w:t>
            </w:r>
            <w:r>
              <w:rPr>
                <w:rFonts w:hint="eastAsia" w:ascii="宋体" w:hAnsi="宋体" w:eastAsia="宋体" w:cs="宋体"/>
                <w:b/>
                <w:bCs/>
                <w:color w:val="000000"/>
                <w:kern w:val="0"/>
                <w:sz w:val="20"/>
                <w:szCs w:val="20"/>
                <w:highlight w:val="none"/>
              </w:rPr>
              <w:t>地方政府专项债务还本支出</w:t>
            </w: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rPr>
              <w:t>721</w:t>
            </w:r>
          </w:p>
        </w:tc>
      </w:tr>
      <w:tr>
        <w:tblPrEx>
          <w:tblCellMar>
            <w:top w:w="0" w:type="dxa"/>
            <w:left w:w="108" w:type="dxa"/>
            <w:bottom w:w="0" w:type="dxa"/>
            <w:right w:w="108" w:type="dxa"/>
          </w:tblCellMar>
        </w:tblPrEx>
        <w:trPr>
          <w:trHeight w:val="579"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kern w:val="0"/>
                <w:sz w:val="20"/>
                <w:szCs w:val="20"/>
                <w:highlight w:val="none"/>
              </w:rPr>
            </w:pPr>
            <w:r>
              <w:rPr>
                <w:rFonts w:hint="eastAsia" w:ascii="宋体" w:hAnsi="宋体" w:eastAsia="宋体" w:cs="宋体"/>
                <w:color w:val="000000"/>
                <w:kern w:val="0"/>
                <w:sz w:val="20"/>
                <w:szCs w:val="20"/>
                <w:highlight w:val="none"/>
              </w:rPr>
              <w:t xml:space="preserve">      超长期特别国债</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3,700</w:t>
            </w:r>
          </w:p>
        </w:tc>
        <w:tc>
          <w:tcPr>
            <w:tcW w:w="305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b/>
                <w:bCs/>
                <w:kern w:val="0"/>
                <w:sz w:val="20"/>
                <w:szCs w:val="20"/>
                <w:highlight w:val="none"/>
                <w:lang w:val="en-US" w:eastAsia="zh-CN" w:bidi="ar-SA"/>
              </w:rPr>
            </w:pPr>
            <w:r>
              <w:rPr>
                <w:rFonts w:hint="eastAsia" w:ascii="宋体" w:hAnsi="宋体" w:eastAsia="宋体" w:cs="宋体"/>
                <w:b/>
                <w:bCs/>
                <w:color w:val="000000"/>
                <w:kern w:val="0"/>
                <w:sz w:val="20"/>
                <w:szCs w:val="20"/>
                <w:highlight w:val="none"/>
                <w:lang w:val="en-US" w:eastAsia="zh-CN"/>
              </w:rPr>
              <w:t>五、</w:t>
            </w:r>
            <w:r>
              <w:rPr>
                <w:rFonts w:hint="eastAsia" w:ascii="宋体" w:hAnsi="宋体" w:eastAsia="宋体" w:cs="宋体"/>
                <w:b/>
                <w:bCs/>
                <w:color w:val="000000"/>
                <w:kern w:val="0"/>
                <w:sz w:val="20"/>
                <w:szCs w:val="20"/>
                <w:highlight w:val="none"/>
              </w:rPr>
              <w:t>年终结余</w:t>
            </w: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bidi="ar-SA"/>
              </w:rPr>
            </w:pPr>
            <w:r>
              <w:rPr>
                <w:rFonts w:hint="eastAsia" w:ascii="宋体" w:hAnsi="宋体" w:eastAsia="宋体" w:cs="宋体"/>
                <w:kern w:val="0"/>
                <w:sz w:val="20"/>
                <w:szCs w:val="20"/>
                <w:highlight w:val="none"/>
                <w:lang w:val="en-US" w:eastAsia="zh-CN"/>
              </w:rPr>
              <w:t>20270</w:t>
            </w:r>
          </w:p>
        </w:tc>
      </w:tr>
      <w:tr>
        <w:tblPrEx>
          <w:tblCellMar>
            <w:top w:w="0" w:type="dxa"/>
            <w:left w:w="108" w:type="dxa"/>
            <w:bottom w:w="0" w:type="dxa"/>
            <w:right w:w="108" w:type="dxa"/>
          </w:tblCellMar>
        </w:tblPrEx>
        <w:trPr>
          <w:trHeight w:val="609"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kern w:val="0"/>
                <w:sz w:val="20"/>
                <w:szCs w:val="20"/>
                <w:highlight w:val="none"/>
              </w:rPr>
            </w:pPr>
            <w:r>
              <w:rPr>
                <w:rFonts w:hint="eastAsia" w:ascii="宋体" w:hAnsi="宋体" w:eastAsia="宋体" w:cs="宋体"/>
                <w:color w:val="000000"/>
                <w:kern w:val="0"/>
                <w:sz w:val="20"/>
                <w:szCs w:val="20"/>
                <w:highlight w:val="none"/>
              </w:rPr>
              <w:t xml:space="preserve">      其他收入</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44</w:t>
            </w:r>
          </w:p>
        </w:tc>
        <w:tc>
          <w:tcPr>
            <w:tcW w:w="305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b/>
                <w:bCs/>
                <w:kern w:val="0"/>
                <w:sz w:val="20"/>
                <w:szCs w:val="20"/>
                <w:highlight w:val="none"/>
              </w:rPr>
            </w:pP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rPr>
            </w:pPr>
          </w:p>
        </w:tc>
      </w:tr>
      <w:tr>
        <w:tblPrEx>
          <w:tblCellMar>
            <w:top w:w="0" w:type="dxa"/>
            <w:left w:w="108" w:type="dxa"/>
            <w:bottom w:w="0" w:type="dxa"/>
            <w:right w:w="108" w:type="dxa"/>
          </w:tblCellMar>
        </w:tblPrEx>
        <w:trPr>
          <w:trHeight w:val="658"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textAlignment w:val="center"/>
              <w:rPr>
                <w:rFonts w:hint="eastAsia" w:ascii="宋体" w:hAnsi="宋体" w:eastAsia="宋体" w:cs="宋体"/>
                <w:kern w:val="0"/>
                <w:sz w:val="20"/>
                <w:szCs w:val="20"/>
                <w:highlight w:val="none"/>
              </w:rPr>
            </w:pPr>
            <w:r>
              <w:rPr>
                <w:rFonts w:hint="eastAsia" w:ascii="宋体" w:hAnsi="宋体" w:eastAsia="宋体" w:cs="宋体"/>
                <w:b/>
                <w:bCs/>
                <w:kern w:val="0"/>
                <w:sz w:val="20"/>
                <w:szCs w:val="20"/>
                <w:highlight w:val="none"/>
                <w:lang w:val="en-US" w:eastAsia="zh-CN"/>
              </w:rPr>
              <w:t>四、</w:t>
            </w:r>
            <w:r>
              <w:rPr>
                <w:rFonts w:hint="eastAsia" w:ascii="宋体" w:hAnsi="宋体" w:eastAsia="宋体" w:cs="宋体"/>
                <w:b/>
                <w:bCs/>
                <w:kern w:val="0"/>
                <w:sz w:val="20"/>
                <w:szCs w:val="20"/>
                <w:highlight w:val="none"/>
              </w:rPr>
              <w:t>调入资金</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32,779</w:t>
            </w:r>
          </w:p>
        </w:tc>
        <w:tc>
          <w:tcPr>
            <w:tcW w:w="30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s="宋体"/>
                <w:kern w:val="0"/>
                <w:sz w:val="20"/>
                <w:szCs w:val="20"/>
                <w:highlight w:val="none"/>
              </w:rPr>
            </w:pP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rPr>
            </w:pPr>
          </w:p>
        </w:tc>
      </w:tr>
      <w:tr>
        <w:tblPrEx>
          <w:tblCellMar>
            <w:top w:w="0" w:type="dxa"/>
            <w:left w:w="108" w:type="dxa"/>
            <w:bottom w:w="0" w:type="dxa"/>
            <w:right w:w="108" w:type="dxa"/>
          </w:tblCellMar>
        </w:tblPrEx>
        <w:trPr>
          <w:trHeight w:val="564"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s="宋体"/>
                <w:kern w:val="0"/>
                <w:sz w:val="20"/>
                <w:szCs w:val="20"/>
                <w:highlight w:val="none"/>
              </w:rPr>
            </w:pPr>
            <w:r>
              <w:rPr>
                <w:rFonts w:hint="eastAsia" w:ascii="宋体" w:hAnsi="宋体" w:eastAsia="宋体" w:cs="宋体"/>
                <w:b/>
                <w:bCs/>
                <w:kern w:val="0"/>
                <w:sz w:val="20"/>
                <w:szCs w:val="20"/>
                <w:highlight w:val="none"/>
                <w:lang w:val="en-US" w:eastAsia="zh-CN"/>
              </w:rPr>
              <w:t>五、</w:t>
            </w:r>
            <w:r>
              <w:rPr>
                <w:rFonts w:hint="eastAsia" w:ascii="宋体" w:hAnsi="宋体" w:eastAsia="宋体" w:cs="宋体"/>
                <w:b/>
                <w:bCs/>
                <w:kern w:val="0"/>
                <w:sz w:val="20"/>
                <w:szCs w:val="20"/>
                <w:highlight w:val="none"/>
              </w:rPr>
              <w:t>债务转贷收入</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60,265</w:t>
            </w:r>
          </w:p>
        </w:tc>
        <w:tc>
          <w:tcPr>
            <w:tcW w:w="30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s="宋体"/>
                <w:kern w:val="0"/>
                <w:sz w:val="20"/>
                <w:szCs w:val="20"/>
                <w:highlight w:val="none"/>
              </w:rPr>
            </w:pP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rPr>
            </w:pPr>
          </w:p>
        </w:tc>
      </w:tr>
      <w:tr>
        <w:tblPrEx>
          <w:tblCellMar>
            <w:top w:w="0" w:type="dxa"/>
            <w:left w:w="108" w:type="dxa"/>
            <w:bottom w:w="0" w:type="dxa"/>
            <w:right w:w="108" w:type="dxa"/>
          </w:tblCellMar>
        </w:tblPrEx>
        <w:trPr>
          <w:trHeight w:val="564"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s="宋体"/>
                <w:b/>
                <w:bCs/>
                <w:kern w:val="0"/>
                <w:sz w:val="20"/>
                <w:szCs w:val="20"/>
                <w:highlight w:val="none"/>
                <w:lang w:val="en-US" w:eastAsia="zh-CN"/>
              </w:rPr>
            </w:pP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p>
        </w:tc>
        <w:tc>
          <w:tcPr>
            <w:tcW w:w="30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宋体" w:hAnsi="宋体" w:eastAsia="宋体" w:cs="宋体"/>
                <w:kern w:val="0"/>
                <w:sz w:val="20"/>
                <w:szCs w:val="20"/>
                <w:highlight w:val="none"/>
              </w:rPr>
            </w:pP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rPr>
            </w:pPr>
          </w:p>
        </w:tc>
      </w:tr>
      <w:tr>
        <w:tblPrEx>
          <w:tblCellMar>
            <w:top w:w="0" w:type="dxa"/>
            <w:left w:w="108" w:type="dxa"/>
            <w:bottom w:w="0" w:type="dxa"/>
            <w:right w:w="108" w:type="dxa"/>
          </w:tblCellMar>
        </w:tblPrEx>
        <w:trPr>
          <w:trHeight w:val="677" w:hRule="atLeast"/>
          <w:jc w:val="center"/>
        </w:trPr>
        <w:tc>
          <w:tcPr>
            <w:tcW w:w="28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b/>
                <w:bCs/>
                <w:kern w:val="0"/>
                <w:sz w:val="20"/>
                <w:szCs w:val="20"/>
                <w:highlight w:val="none"/>
              </w:rPr>
            </w:pPr>
            <w:r>
              <w:rPr>
                <w:rFonts w:hint="eastAsia" w:ascii="宋体" w:hAnsi="宋体" w:eastAsia="宋体" w:cs="宋体"/>
                <w:b/>
                <w:color w:val="000000"/>
                <w:kern w:val="0"/>
                <w:sz w:val="20"/>
                <w:szCs w:val="20"/>
                <w:highlight w:val="none"/>
              </w:rPr>
              <w:t>收入总计</w:t>
            </w:r>
          </w:p>
        </w:tc>
        <w:tc>
          <w:tcPr>
            <w:tcW w:w="101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191,739</w:t>
            </w:r>
          </w:p>
        </w:tc>
        <w:tc>
          <w:tcPr>
            <w:tcW w:w="305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宋体" w:hAnsi="宋体" w:eastAsia="宋体" w:cs="宋体"/>
                <w:b/>
                <w:bCs/>
                <w:kern w:val="0"/>
                <w:sz w:val="20"/>
                <w:szCs w:val="20"/>
                <w:highlight w:val="none"/>
              </w:rPr>
            </w:pPr>
            <w:r>
              <w:rPr>
                <w:rFonts w:hint="eastAsia" w:ascii="宋体" w:hAnsi="宋体" w:eastAsia="宋体" w:cs="宋体"/>
                <w:b/>
                <w:color w:val="000000"/>
                <w:kern w:val="0"/>
                <w:sz w:val="20"/>
                <w:szCs w:val="20"/>
                <w:highlight w:val="none"/>
              </w:rPr>
              <w:t>支出总计</w:t>
            </w:r>
          </w:p>
        </w:tc>
        <w:tc>
          <w:tcPr>
            <w:tcW w:w="109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191,739</w:t>
            </w:r>
          </w:p>
        </w:tc>
      </w:tr>
    </w:tbl>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yellow"/>
        </w:rPr>
      </w:pPr>
    </w:p>
    <w:p>
      <w:pPr>
        <w:pStyle w:val="2"/>
        <w:bidi w:val="0"/>
        <w:spacing w:before="0" w:after="0" w:line="240" w:lineRule="auto"/>
        <w:jc w:val="both"/>
        <w:rPr>
          <w:rFonts w:hint="eastAsia" w:asciiTheme="majorEastAsia" w:hAnsiTheme="majorEastAsia" w:eastAsiaTheme="majorEastAsia" w:cstheme="majorEastAsia"/>
          <w:highlight w:val="none"/>
          <w:lang w:val="en-US" w:eastAsia="zh-CN"/>
        </w:rPr>
      </w:pP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关于2025年区本级政府性基金</w:t>
      </w:r>
    </w:p>
    <w:p>
      <w:pPr>
        <w:pStyle w:val="2"/>
        <w:bidi w:val="0"/>
        <w:spacing w:before="0" w:after="0" w:line="240" w:lineRule="auto"/>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收支平衡表的说明</w:t>
      </w:r>
    </w:p>
    <w:p>
      <w:pPr>
        <w:rPr>
          <w:rFonts w:ascii="仿宋" w:hAnsi="仿宋" w:eastAsia="仿宋"/>
          <w:sz w:val="44"/>
          <w:szCs w:val="44"/>
          <w:highlight w:val="yellow"/>
        </w:rPr>
      </w:pPr>
    </w:p>
    <w:p>
      <w:pPr>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本表反映区本级</w:t>
      </w:r>
      <w:r>
        <w:rPr>
          <w:rFonts w:hint="eastAsia" w:ascii="仿宋" w:hAnsi="仿宋" w:eastAsia="仿宋" w:cs="仿宋"/>
          <w:sz w:val="32"/>
          <w:szCs w:val="32"/>
          <w:highlight w:val="none"/>
          <w:lang w:eastAsia="zh-CN"/>
        </w:rPr>
        <w:t>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lang w:eastAsia="zh-CN"/>
        </w:rPr>
        <w:t>年</w:t>
      </w:r>
      <w:r>
        <w:rPr>
          <w:rFonts w:hint="eastAsia" w:ascii="仿宋" w:hAnsi="仿宋" w:eastAsia="仿宋" w:cs="仿宋"/>
          <w:sz w:val="32"/>
          <w:szCs w:val="32"/>
          <w:highlight w:val="none"/>
        </w:rPr>
        <w:t>度政府性基金各项收入和各项支出的平衡关系。</w:t>
      </w:r>
    </w:p>
    <w:p>
      <w:pPr>
        <w:numPr>
          <w:ilvl w:val="0"/>
          <w:numId w:val="0"/>
        </w:numPr>
        <w:spacing w:line="600" w:lineRule="auto"/>
        <w:ind w:firstLine="640" w:firstLineChars="200"/>
        <w:jc w:val="both"/>
        <w:rPr>
          <w:rFonts w:hint="default" w:ascii="宋体" w:hAnsi="宋体" w:cs="宋体"/>
          <w:b/>
          <w:bCs/>
          <w:color w:val="auto"/>
          <w:kern w:val="0"/>
          <w:sz w:val="36"/>
          <w:szCs w:val="36"/>
          <w:highlight w:val="none"/>
          <w:lang w:val="en-US"/>
        </w:rPr>
      </w:pP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年</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政府性基金收入总计191,739万元，其中：政府性基金收入34,484万元；上年结转1,949万元；政府性基金转移支付收入62,262万元；调入资金32,779万元；债务转贷收入60,265万元。</w:t>
      </w:r>
    </w:p>
    <w:p>
      <w:pPr>
        <w:spacing w:line="360" w:lineRule="auto"/>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政府性基金支出</w:t>
      </w:r>
      <w:r>
        <w:rPr>
          <w:rFonts w:hint="eastAsia" w:ascii="仿宋" w:hAnsi="仿宋" w:eastAsia="仿宋" w:cs="仿宋"/>
          <w:color w:val="auto"/>
          <w:sz w:val="32"/>
          <w:szCs w:val="32"/>
          <w:highlight w:val="none"/>
          <w:lang w:val="en-US" w:eastAsia="zh-CN"/>
        </w:rPr>
        <w:t>总计191,739</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其中：政府性基金预算支出167,704万元;上解支出2,504万元;调出资金540万元；地方政府专项债券还本支出721万元;</w:t>
      </w:r>
      <w:r>
        <w:rPr>
          <w:rFonts w:hint="eastAsia" w:ascii="仿宋" w:hAnsi="仿宋" w:eastAsia="仿宋" w:cs="仿宋"/>
          <w:color w:val="auto"/>
          <w:sz w:val="32"/>
          <w:szCs w:val="32"/>
          <w:highlight w:val="none"/>
        </w:rPr>
        <w:t>年终结转</w:t>
      </w:r>
      <w:r>
        <w:rPr>
          <w:rFonts w:hint="eastAsia" w:ascii="仿宋" w:hAnsi="仿宋" w:eastAsia="仿宋" w:cs="仿宋"/>
          <w:color w:val="auto"/>
          <w:sz w:val="32"/>
          <w:szCs w:val="32"/>
          <w:highlight w:val="none"/>
          <w:lang w:val="en-US" w:eastAsia="zh-CN"/>
        </w:rPr>
        <w:t>20,270</w:t>
      </w:r>
      <w:r>
        <w:rPr>
          <w:rFonts w:hint="eastAsia" w:ascii="仿宋" w:hAnsi="仿宋" w:eastAsia="仿宋" w:cs="仿宋"/>
          <w:color w:val="auto"/>
          <w:sz w:val="32"/>
          <w:szCs w:val="32"/>
          <w:highlight w:val="none"/>
        </w:rPr>
        <w:t>万元。</w:t>
      </w:r>
    </w:p>
    <w:p>
      <w:pPr>
        <w:spacing w:line="360" w:lineRule="auto"/>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收支总量相抵，区本级财政实现收支平衡。</w:t>
      </w:r>
    </w:p>
    <w:p>
      <w:pPr>
        <w:spacing w:line="360" w:lineRule="auto"/>
        <w:ind w:firstLine="640" w:firstLineChars="200"/>
        <w:jc w:val="left"/>
        <w:rPr>
          <w:rFonts w:hint="eastAsia" w:ascii="仿宋" w:hAnsi="仿宋" w:eastAsia="仿宋" w:cs="仿宋"/>
          <w:color w:val="auto"/>
          <w:sz w:val="32"/>
          <w:szCs w:val="32"/>
          <w:highlight w:val="none"/>
        </w:rPr>
      </w:pPr>
    </w:p>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yellow"/>
        </w:rPr>
      </w:pPr>
    </w:p>
    <w:p>
      <w:pPr>
        <w:jc w:val="both"/>
        <w:rPr>
          <w:rFonts w:hint="eastAsia" w:ascii="宋体" w:hAnsi="宋体" w:cs="宋体"/>
          <w:b/>
          <w:bCs/>
          <w:kern w:val="0"/>
          <w:sz w:val="36"/>
          <w:szCs w:val="36"/>
          <w:highlight w:val="none"/>
        </w:rPr>
      </w:pPr>
      <w:r>
        <w:rPr>
          <w:rFonts w:hint="eastAsia" w:ascii="宋体" w:hAnsi="宋体" w:cs="宋体"/>
          <w:kern w:val="0"/>
          <w:sz w:val="20"/>
          <w:szCs w:val="20"/>
          <w:highlight w:val="none"/>
          <w:lang w:val="en-US" w:eastAsia="zh-CN"/>
        </w:rPr>
        <w:t xml:space="preserve">                                                          </w:t>
      </w:r>
    </w:p>
    <w:tbl>
      <w:tblPr>
        <w:tblStyle w:val="10"/>
        <w:tblW w:w="8299" w:type="dxa"/>
        <w:jc w:val="center"/>
        <w:tblLayout w:type="fixed"/>
        <w:tblCellMar>
          <w:top w:w="0" w:type="dxa"/>
          <w:left w:w="108" w:type="dxa"/>
          <w:bottom w:w="0" w:type="dxa"/>
          <w:right w:w="108" w:type="dxa"/>
        </w:tblCellMar>
      </w:tblPr>
      <w:tblGrid>
        <w:gridCol w:w="4444"/>
        <w:gridCol w:w="1378"/>
        <w:gridCol w:w="1245"/>
        <w:gridCol w:w="1232"/>
      </w:tblGrid>
      <w:tr>
        <w:tblPrEx>
          <w:tblCellMar>
            <w:top w:w="0" w:type="dxa"/>
            <w:left w:w="108" w:type="dxa"/>
            <w:bottom w:w="0" w:type="dxa"/>
            <w:right w:w="108" w:type="dxa"/>
          </w:tblCellMar>
        </w:tblPrEx>
        <w:trPr>
          <w:trHeight w:val="639" w:hRule="atLeast"/>
          <w:jc w:val="center"/>
        </w:trPr>
        <w:tc>
          <w:tcPr>
            <w:tcW w:w="8299" w:type="dxa"/>
            <w:gridSpan w:val="4"/>
            <w:tcBorders>
              <w:top w:val="nil"/>
              <w:left w:val="nil"/>
              <w:bottom w:val="nil"/>
              <w:right w:val="nil"/>
            </w:tcBorders>
            <w:shd w:val="clear" w:color="auto" w:fill="auto"/>
            <w:noWrap/>
            <w:vAlign w:val="center"/>
          </w:tcPr>
          <w:p>
            <w:pPr>
              <w:widowControl/>
              <w:jc w:val="center"/>
              <w:textAlignment w:val="center"/>
              <w:rPr>
                <w:rFonts w:hint="eastAsia" w:ascii="仿宋" w:hAnsi="仿宋" w:eastAsia="仿宋" w:cs="仿宋"/>
                <w:b/>
                <w:i w:val="0"/>
                <w:color w:val="000000"/>
                <w:sz w:val="24"/>
                <w:szCs w:val="24"/>
                <w:highlight w:val="none"/>
                <w:u w:val="none"/>
                <w:lang w:val="en-US" w:eastAsia="zh-CN"/>
              </w:rPr>
            </w:pPr>
            <w:r>
              <w:rPr>
                <w:rFonts w:hint="eastAsia" w:ascii="仿宋" w:hAnsi="仿宋" w:eastAsia="仿宋" w:cs="仿宋"/>
                <w:b/>
                <w:bCs/>
                <w:color w:val="auto"/>
                <w:kern w:val="0"/>
                <w:sz w:val="36"/>
                <w:szCs w:val="36"/>
                <w:highlight w:val="none"/>
                <w:lang w:eastAsia="zh-CN"/>
              </w:rPr>
              <w:t>202</w:t>
            </w:r>
            <w:r>
              <w:rPr>
                <w:rFonts w:hint="eastAsia" w:ascii="仿宋" w:hAnsi="仿宋" w:eastAsia="仿宋" w:cs="仿宋"/>
                <w:b/>
                <w:bCs/>
                <w:color w:val="auto"/>
                <w:kern w:val="0"/>
                <w:sz w:val="36"/>
                <w:szCs w:val="36"/>
                <w:highlight w:val="none"/>
                <w:lang w:val="en-US" w:eastAsia="zh-CN"/>
              </w:rPr>
              <w:t>5</w:t>
            </w:r>
            <w:r>
              <w:rPr>
                <w:rFonts w:hint="eastAsia" w:ascii="仿宋" w:hAnsi="仿宋" w:eastAsia="仿宋" w:cs="仿宋"/>
                <w:b/>
                <w:bCs/>
                <w:color w:val="auto"/>
                <w:kern w:val="0"/>
                <w:sz w:val="36"/>
                <w:szCs w:val="36"/>
                <w:highlight w:val="none"/>
                <w:lang w:eastAsia="zh-CN"/>
              </w:rPr>
              <w:t>年</w:t>
            </w:r>
            <w:r>
              <w:rPr>
                <w:rFonts w:hint="eastAsia" w:ascii="仿宋" w:hAnsi="仿宋" w:eastAsia="仿宋" w:cs="仿宋"/>
                <w:b/>
                <w:bCs/>
                <w:color w:val="auto"/>
                <w:kern w:val="0"/>
                <w:sz w:val="36"/>
                <w:szCs w:val="36"/>
                <w:highlight w:val="none"/>
              </w:rPr>
              <w:t>区本级政府性基金收入预算执行情况表</w:t>
            </w:r>
          </w:p>
        </w:tc>
      </w:tr>
      <w:tr>
        <w:tblPrEx>
          <w:tblCellMar>
            <w:top w:w="0" w:type="dxa"/>
            <w:left w:w="108" w:type="dxa"/>
            <w:bottom w:w="0" w:type="dxa"/>
            <w:right w:w="108" w:type="dxa"/>
          </w:tblCellMar>
        </w:tblPrEx>
        <w:trPr>
          <w:trHeight w:val="329" w:hRule="atLeast"/>
          <w:jc w:val="center"/>
        </w:trPr>
        <w:tc>
          <w:tcPr>
            <w:tcW w:w="8299" w:type="dxa"/>
            <w:gridSpan w:val="4"/>
            <w:tcBorders>
              <w:top w:val="nil"/>
              <w:left w:val="nil"/>
              <w:bottom w:val="single" w:color="auto" w:sz="4" w:space="0"/>
              <w:right w:val="nil"/>
            </w:tcBorders>
            <w:shd w:val="clear" w:color="auto" w:fill="auto"/>
            <w:noWrap/>
            <w:vAlign w:val="center"/>
          </w:tcPr>
          <w:p>
            <w:pPr>
              <w:widowControl/>
              <w:jc w:val="right"/>
              <w:textAlignment w:val="center"/>
              <w:rPr>
                <w:rFonts w:hint="eastAsia" w:ascii="仿宋" w:hAnsi="仿宋" w:eastAsia="仿宋" w:cs="仿宋"/>
                <w:b/>
                <w:i w:val="0"/>
                <w:color w:val="000000"/>
                <w:sz w:val="24"/>
                <w:szCs w:val="24"/>
                <w:highlight w:val="none"/>
                <w:u w:val="none"/>
                <w:lang w:val="en-US" w:eastAsia="zh-CN"/>
              </w:rPr>
            </w:pPr>
            <w:r>
              <w:rPr>
                <w:rFonts w:hint="eastAsia" w:ascii="宋体" w:hAnsi="宋体" w:cs="宋体"/>
                <w:kern w:val="0"/>
                <w:sz w:val="20"/>
                <w:szCs w:val="20"/>
                <w:highlight w:val="none"/>
                <w:lang w:val="en-US" w:eastAsia="zh-CN"/>
              </w:rPr>
              <w:t xml:space="preserve"> </w:t>
            </w:r>
            <w:r>
              <w:rPr>
                <w:rFonts w:hint="eastAsia" w:ascii="宋体" w:hAnsi="宋体" w:cs="宋体"/>
                <w:kern w:val="0"/>
                <w:sz w:val="20"/>
                <w:szCs w:val="20"/>
                <w:highlight w:val="none"/>
              </w:rPr>
              <w:t>单位：万元</w:t>
            </w:r>
          </w:p>
        </w:tc>
      </w:tr>
      <w:tr>
        <w:tblPrEx>
          <w:tblCellMar>
            <w:top w:w="0" w:type="dxa"/>
            <w:left w:w="108" w:type="dxa"/>
            <w:bottom w:w="0" w:type="dxa"/>
            <w:right w:w="108" w:type="dxa"/>
          </w:tblCellMar>
        </w:tblPrEx>
        <w:trPr>
          <w:trHeight w:val="63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kern w:val="0"/>
                <w:sz w:val="20"/>
                <w:szCs w:val="20"/>
                <w:highlight w:val="none"/>
              </w:rPr>
            </w:pPr>
            <w:r>
              <w:rPr>
                <w:rFonts w:hint="eastAsia" w:ascii="仿宋" w:hAnsi="仿宋" w:eastAsia="仿宋" w:cs="仿宋"/>
                <w:b/>
                <w:bCs/>
                <w:kern w:val="0"/>
                <w:sz w:val="20"/>
                <w:szCs w:val="20"/>
                <w:highlight w:val="none"/>
              </w:rPr>
              <w:t>项          目</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i w:val="0"/>
                <w:color w:val="000000"/>
                <w:kern w:val="0"/>
                <w:sz w:val="22"/>
                <w:szCs w:val="22"/>
                <w:highlight w:val="none"/>
                <w:u w:val="none"/>
                <w:lang w:val="en-US" w:eastAsia="zh-CN" w:bidi="ar"/>
              </w:rPr>
            </w:pPr>
            <w:r>
              <w:rPr>
                <w:rFonts w:hint="eastAsia" w:ascii="仿宋" w:hAnsi="仿宋" w:eastAsia="仿宋" w:cs="仿宋"/>
                <w:b/>
                <w:i w:val="0"/>
                <w:color w:val="000000"/>
                <w:kern w:val="0"/>
                <w:sz w:val="22"/>
                <w:szCs w:val="22"/>
                <w:highlight w:val="none"/>
                <w:u w:val="none"/>
                <w:lang w:val="en-US" w:eastAsia="zh-CN" w:bidi="ar"/>
              </w:rPr>
              <w:t>2025年</w:t>
            </w:r>
          </w:p>
          <w:p>
            <w:pPr>
              <w:keepNext w:val="0"/>
              <w:keepLines w:val="0"/>
              <w:widowControl/>
              <w:suppressLineNumbers w:val="0"/>
              <w:jc w:val="center"/>
              <w:textAlignment w:val="center"/>
              <w:rPr>
                <w:rFonts w:hint="default" w:ascii="仿宋" w:hAnsi="仿宋" w:eastAsia="仿宋" w:cs="仿宋"/>
                <w:b/>
                <w:i w:val="0"/>
                <w:color w:val="000000"/>
                <w:kern w:val="0"/>
                <w:sz w:val="22"/>
                <w:szCs w:val="22"/>
                <w:highlight w:val="none"/>
                <w:u w:val="none"/>
                <w:lang w:val="en-US" w:eastAsia="zh-CN" w:bidi="ar"/>
              </w:rPr>
            </w:pPr>
            <w:r>
              <w:rPr>
                <w:rFonts w:hint="eastAsia" w:ascii="仿宋" w:hAnsi="仿宋" w:eastAsia="仿宋" w:cs="仿宋"/>
                <w:b/>
                <w:i w:val="0"/>
                <w:color w:val="000000"/>
                <w:kern w:val="0"/>
                <w:sz w:val="22"/>
                <w:szCs w:val="22"/>
                <w:highlight w:val="none"/>
                <w:u w:val="none"/>
                <w:lang w:val="en-US" w:eastAsia="zh-CN" w:bidi="ar"/>
              </w:rPr>
              <w:t>预算</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i w:val="0"/>
                <w:color w:val="000000"/>
                <w:kern w:val="0"/>
                <w:sz w:val="22"/>
                <w:szCs w:val="22"/>
                <w:highlight w:val="none"/>
                <w:u w:val="none"/>
                <w:lang w:val="en-US" w:eastAsia="zh-CN" w:bidi="ar"/>
              </w:rPr>
            </w:pPr>
            <w:r>
              <w:rPr>
                <w:rFonts w:hint="eastAsia" w:ascii="仿宋" w:hAnsi="仿宋" w:eastAsia="仿宋" w:cs="仿宋"/>
                <w:b/>
                <w:i w:val="0"/>
                <w:color w:val="000000"/>
                <w:kern w:val="0"/>
                <w:sz w:val="22"/>
                <w:szCs w:val="22"/>
                <w:highlight w:val="none"/>
                <w:u w:val="none"/>
                <w:lang w:val="en-US" w:eastAsia="zh-CN" w:bidi="ar"/>
              </w:rPr>
              <w:t>2025年</w:t>
            </w:r>
          </w:p>
          <w:p>
            <w:pPr>
              <w:keepNext w:val="0"/>
              <w:keepLines w:val="0"/>
              <w:widowControl/>
              <w:suppressLineNumbers w:val="0"/>
              <w:jc w:val="center"/>
              <w:textAlignment w:val="center"/>
              <w:rPr>
                <w:rFonts w:hint="eastAsia" w:ascii="仿宋" w:hAnsi="仿宋" w:eastAsia="仿宋" w:cs="仿宋"/>
                <w:b/>
                <w:bCs/>
                <w:kern w:val="0"/>
                <w:szCs w:val="21"/>
                <w:highlight w:val="none"/>
              </w:rPr>
            </w:pPr>
            <w:r>
              <w:rPr>
                <w:rFonts w:hint="eastAsia" w:ascii="仿宋" w:hAnsi="仿宋" w:eastAsia="仿宋" w:cs="仿宋"/>
                <w:b/>
                <w:i w:val="0"/>
                <w:color w:val="000000"/>
                <w:kern w:val="0"/>
                <w:sz w:val="22"/>
                <w:szCs w:val="22"/>
                <w:highlight w:val="none"/>
                <w:u w:val="none"/>
                <w:lang w:val="en-US" w:eastAsia="zh-CN" w:bidi="ar"/>
              </w:rPr>
              <w:t>决算数</w:t>
            </w:r>
          </w:p>
        </w:tc>
        <w:tc>
          <w:tcPr>
            <w:tcW w:w="12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highlight w:val="none"/>
                <w:u w:val="none"/>
                <w:lang w:val="en-US" w:eastAsia="zh-CN"/>
              </w:rPr>
            </w:pPr>
            <w:r>
              <w:rPr>
                <w:rFonts w:hint="eastAsia" w:ascii="仿宋" w:hAnsi="仿宋" w:eastAsia="仿宋" w:cs="仿宋"/>
                <w:b/>
                <w:i w:val="0"/>
                <w:color w:val="000000"/>
                <w:sz w:val="24"/>
                <w:szCs w:val="24"/>
                <w:highlight w:val="none"/>
                <w:u w:val="none"/>
                <w:lang w:val="en-US" w:eastAsia="zh-CN"/>
              </w:rPr>
              <w:t>同比上年</w:t>
            </w:r>
          </w:p>
          <w:p>
            <w:pPr>
              <w:widowControl/>
              <w:jc w:val="center"/>
              <w:textAlignment w:val="center"/>
              <w:rPr>
                <w:rFonts w:hint="eastAsia" w:ascii="仿宋" w:hAnsi="仿宋" w:eastAsia="仿宋" w:cs="仿宋"/>
                <w:b/>
                <w:color w:val="000000"/>
                <w:kern w:val="0"/>
                <w:szCs w:val="21"/>
                <w:highlight w:val="none"/>
              </w:rPr>
            </w:pPr>
            <w:r>
              <w:rPr>
                <w:rFonts w:hint="eastAsia" w:ascii="仿宋" w:hAnsi="仿宋" w:eastAsia="仿宋" w:cs="仿宋"/>
                <w:b/>
                <w:i w:val="0"/>
                <w:color w:val="000000"/>
                <w:sz w:val="24"/>
                <w:szCs w:val="24"/>
                <w:highlight w:val="none"/>
                <w:u w:val="none"/>
                <w:lang w:val="en-US" w:eastAsia="zh-CN"/>
              </w:rPr>
              <w:t>增减%</w:t>
            </w: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kern w:val="0"/>
                <w:sz w:val="22"/>
                <w:szCs w:val="22"/>
                <w:highlight w:val="none"/>
              </w:rPr>
            </w:pPr>
            <w:r>
              <w:rPr>
                <w:rFonts w:hint="eastAsia" w:ascii="仿宋" w:hAnsi="仿宋" w:eastAsia="仿宋" w:cs="仿宋"/>
                <w:b/>
                <w:bCs/>
                <w:kern w:val="0"/>
                <w:sz w:val="22"/>
                <w:szCs w:val="22"/>
                <w:highlight w:val="none"/>
              </w:rPr>
              <w:t>收入合计</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34484</w:t>
            </w: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r>
              <w:rPr>
                <w:rFonts w:hint="eastAsia" w:ascii="仿宋" w:hAnsi="仿宋" w:eastAsia="仿宋" w:cs="仿宋"/>
                <w:kern w:val="0"/>
                <w:sz w:val="20"/>
                <w:szCs w:val="20"/>
                <w:highlight w:val="none"/>
                <w:lang w:val="en-US" w:eastAsia="zh-CN"/>
              </w:rPr>
              <w:t>34,484</w:t>
            </w: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-44.44%</w:t>
            </w:r>
          </w:p>
        </w:tc>
      </w:tr>
      <w:tr>
        <w:tblPrEx>
          <w:tblCellMar>
            <w:top w:w="0" w:type="dxa"/>
            <w:left w:w="108" w:type="dxa"/>
            <w:bottom w:w="0" w:type="dxa"/>
            <w:right w:w="108" w:type="dxa"/>
          </w:tblCellMar>
        </w:tblPrEx>
        <w:trPr>
          <w:trHeight w:val="599" w:hRule="atLeast"/>
          <w:jc w:val="center"/>
        </w:trPr>
        <w:tc>
          <w:tcPr>
            <w:tcW w:w="444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一、大中型水库移民后期扶持基金收入</w:t>
            </w:r>
          </w:p>
        </w:tc>
        <w:tc>
          <w:tcPr>
            <w:tcW w:w="1378" w:type="dxa"/>
            <w:tcBorders>
              <w:top w:val="nil"/>
              <w:left w:val="nil"/>
              <w:bottom w:val="single" w:color="auto" w:sz="4" w:space="0"/>
              <w:right w:val="single" w:color="auto" w:sz="4" w:space="0"/>
            </w:tcBorders>
            <w:shd w:val="clear" w:color="auto" w:fill="auto"/>
            <w:noWrap/>
            <w:vAlign w:val="center"/>
          </w:tcPr>
          <w:p>
            <w:pPr>
              <w:jc w:val="center"/>
              <w:rPr>
                <w:rFonts w:hint="default" w:ascii="仿宋" w:hAnsi="仿宋" w:eastAsia="仿宋" w:cs="仿宋"/>
                <w:kern w:val="0"/>
                <w:sz w:val="20"/>
                <w:szCs w:val="20"/>
                <w:highlight w:val="none"/>
                <w:lang w:val="en-US" w:eastAsia="zh-CN"/>
              </w:rPr>
            </w:pPr>
          </w:p>
        </w:tc>
        <w:tc>
          <w:tcPr>
            <w:tcW w:w="1245"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yellow"/>
              </w:rPr>
            </w:pPr>
          </w:p>
        </w:tc>
        <w:tc>
          <w:tcPr>
            <w:tcW w:w="1232"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二、小型水库移民扶助基金收入</w:t>
            </w:r>
          </w:p>
        </w:tc>
        <w:tc>
          <w:tcPr>
            <w:tcW w:w="1378"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c>
          <w:tcPr>
            <w:tcW w:w="1245"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yellow"/>
              </w:rPr>
            </w:pPr>
          </w:p>
        </w:tc>
        <w:tc>
          <w:tcPr>
            <w:tcW w:w="1232"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三、国有土地使用权出让收入</w:t>
            </w:r>
          </w:p>
        </w:tc>
        <w:tc>
          <w:tcPr>
            <w:tcW w:w="1378"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c>
          <w:tcPr>
            <w:tcW w:w="1245"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yellow"/>
              </w:rPr>
            </w:pPr>
          </w:p>
        </w:tc>
        <w:tc>
          <w:tcPr>
            <w:tcW w:w="1232"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四、国有土地收益基金收入</w:t>
            </w:r>
          </w:p>
        </w:tc>
        <w:tc>
          <w:tcPr>
            <w:tcW w:w="1378"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c>
          <w:tcPr>
            <w:tcW w:w="1245"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yellow"/>
              </w:rPr>
            </w:pPr>
          </w:p>
        </w:tc>
        <w:tc>
          <w:tcPr>
            <w:tcW w:w="1232"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五、农业土地开发资金收入</w:t>
            </w:r>
          </w:p>
        </w:tc>
        <w:tc>
          <w:tcPr>
            <w:tcW w:w="13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kern w:val="0"/>
                <w:sz w:val="20"/>
                <w:szCs w:val="20"/>
                <w:highlight w:val="none"/>
                <w:lang w:val="en-US"/>
              </w:rPr>
            </w:pPr>
          </w:p>
        </w:tc>
        <w:tc>
          <w:tcPr>
            <w:tcW w:w="12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六、城市基础设施配套费收入</w:t>
            </w:r>
          </w:p>
        </w:tc>
        <w:tc>
          <w:tcPr>
            <w:tcW w:w="1378" w:type="dxa"/>
            <w:tcBorders>
              <w:top w:val="nil"/>
              <w:left w:val="nil"/>
              <w:bottom w:val="single" w:color="auto" w:sz="4" w:space="0"/>
              <w:right w:val="single" w:color="auto" w:sz="4" w:space="0"/>
            </w:tcBorders>
            <w:shd w:val="clear" w:color="auto" w:fill="auto"/>
            <w:noWrap/>
            <w:vAlign w:val="center"/>
          </w:tcPr>
          <w:p>
            <w:pPr>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11084</w:t>
            </w:r>
          </w:p>
        </w:tc>
        <w:tc>
          <w:tcPr>
            <w:tcW w:w="1245"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yellow"/>
              </w:rPr>
            </w:pPr>
            <w:r>
              <w:rPr>
                <w:rFonts w:hint="eastAsia" w:ascii="仿宋" w:hAnsi="仿宋" w:eastAsia="仿宋" w:cs="仿宋"/>
                <w:kern w:val="0"/>
                <w:sz w:val="20"/>
                <w:szCs w:val="20"/>
                <w:highlight w:val="none"/>
                <w:lang w:val="en-US" w:eastAsia="zh-CN"/>
              </w:rPr>
              <w:t>11,084</w:t>
            </w:r>
          </w:p>
        </w:tc>
        <w:tc>
          <w:tcPr>
            <w:tcW w:w="1232" w:type="dxa"/>
            <w:tcBorders>
              <w:top w:val="nil"/>
              <w:left w:val="nil"/>
              <w:bottom w:val="single" w:color="auto" w:sz="4" w:space="0"/>
              <w:right w:val="single" w:color="auto" w:sz="4" w:space="0"/>
            </w:tcBorders>
            <w:shd w:val="clear" w:color="auto" w:fill="auto"/>
            <w:noWrap/>
            <w:vAlign w:val="center"/>
          </w:tcPr>
          <w:p>
            <w:pPr>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-8.76%</w:t>
            </w:r>
          </w:p>
        </w:tc>
      </w:tr>
      <w:tr>
        <w:tblPrEx>
          <w:tblCellMar>
            <w:top w:w="0" w:type="dxa"/>
            <w:left w:w="108" w:type="dxa"/>
            <w:bottom w:w="0" w:type="dxa"/>
            <w:right w:w="108" w:type="dxa"/>
          </w:tblCellMar>
        </w:tblPrEx>
        <w:trPr>
          <w:trHeight w:val="599" w:hRule="atLeast"/>
          <w:jc w:val="center"/>
        </w:trPr>
        <w:tc>
          <w:tcPr>
            <w:tcW w:w="4444"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七、大中型水库库区基金收入</w:t>
            </w:r>
          </w:p>
        </w:tc>
        <w:tc>
          <w:tcPr>
            <w:tcW w:w="1378"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c>
          <w:tcPr>
            <w:tcW w:w="1245"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yellow"/>
              </w:rPr>
            </w:pPr>
          </w:p>
        </w:tc>
        <w:tc>
          <w:tcPr>
            <w:tcW w:w="1232" w:type="dxa"/>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八、车辆通行费</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kern w:val="0"/>
                <w:sz w:val="20"/>
                <w:szCs w:val="20"/>
                <w:highlight w:val="none"/>
                <w:lang w:val="en-US"/>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九、国家重大水利工程建设基金收入</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十、旅游发展基金收入</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十一、污水处理费收入</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十二、国家电影事业发展专项资金收入</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63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十三、 彩票发行机构和彩票销售机构</w:t>
            </w:r>
            <w:r>
              <w:rPr>
                <w:rFonts w:hint="eastAsia" w:ascii="仿宋" w:hAnsi="仿宋" w:eastAsia="仿宋" w:cs="仿宋"/>
                <w:kern w:val="0"/>
                <w:sz w:val="20"/>
                <w:szCs w:val="20"/>
                <w:highlight w:val="none"/>
                <w:lang w:val="en-US" w:eastAsia="zh-CN"/>
              </w:rPr>
              <w:br w:type="textWrapping"/>
            </w:r>
            <w:r>
              <w:rPr>
                <w:rFonts w:hint="eastAsia" w:ascii="仿宋" w:hAnsi="仿宋" w:eastAsia="仿宋" w:cs="仿宋"/>
                <w:kern w:val="0"/>
                <w:sz w:val="20"/>
                <w:szCs w:val="20"/>
                <w:highlight w:val="none"/>
                <w:lang w:val="en-US" w:eastAsia="zh-CN"/>
              </w:rPr>
              <w:t xml:space="preserve">       的业务费用</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十四、彩票公益金收入</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599"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十五、其他政府性基金收入</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kern w:val="0"/>
                <w:sz w:val="20"/>
                <w:szCs w:val="20"/>
                <w:highlight w:val="none"/>
              </w:rPr>
            </w:pPr>
          </w:p>
        </w:tc>
      </w:tr>
      <w:tr>
        <w:tblPrEx>
          <w:tblCellMar>
            <w:top w:w="0" w:type="dxa"/>
            <w:left w:w="108" w:type="dxa"/>
            <w:bottom w:w="0" w:type="dxa"/>
            <w:right w:w="108" w:type="dxa"/>
          </w:tblCellMar>
        </w:tblPrEx>
        <w:trPr>
          <w:trHeight w:val="647" w:hRule="atLeast"/>
          <w:jc w:val="center"/>
        </w:trPr>
        <w:tc>
          <w:tcPr>
            <w:tcW w:w="4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十六、专项债券对应项目专项收入</w:t>
            </w:r>
          </w:p>
        </w:tc>
        <w:tc>
          <w:tcPr>
            <w:tcW w:w="137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23400</w:t>
            </w:r>
          </w:p>
        </w:tc>
        <w:tc>
          <w:tcPr>
            <w:tcW w:w="124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kern w:val="0"/>
                <w:sz w:val="20"/>
                <w:szCs w:val="20"/>
                <w:highlight w:val="yellow"/>
              </w:rPr>
            </w:pPr>
            <w:r>
              <w:rPr>
                <w:rFonts w:hint="eastAsia" w:ascii="仿宋" w:hAnsi="仿宋" w:eastAsia="仿宋" w:cs="仿宋"/>
                <w:kern w:val="0"/>
                <w:sz w:val="20"/>
                <w:szCs w:val="20"/>
                <w:highlight w:val="none"/>
                <w:lang w:val="en-US" w:eastAsia="zh-CN"/>
              </w:rPr>
              <w:t>23,400</w:t>
            </w:r>
          </w:p>
        </w:tc>
        <w:tc>
          <w:tcPr>
            <w:tcW w:w="1232"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-53.12%</w:t>
            </w:r>
          </w:p>
        </w:tc>
      </w:tr>
    </w:tbl>
    <w:p>
      <w:pPr>
        <w:rPr>
          <w:rFonts w:hint="eastAsia" w:asciiTheme="majorEastAsia" w:hAnsiTheme="majorEastAsia" w:eastAsiaTheme="majorEastAsia" w:cstheme="majorEastAsia"/>
          <w:highlight w:val="yellow"/>
        </w:rPr>
      </w:pPr>
    </w:p>
    <w:p>
      <w:pPr>
        <w:pStyle w:val="2"/>
        <w:bidi w:val="0"/>
        <w:spacing w:before="0" w:after="0" w:line="240" w:lineRule="auto"/>
        <w:jc w:val="both"/>
        <w:rPr>
          <w:rFonts w:hint="eastAsia" w:ascii="宋体" w:hAnsi="宋体" w:eastAsia="宋体" w:cs="宋体"/>
          <w:highlight w:val="none"/>
        </w:rPr>
      </w:pPr>
    </w:p>
    <w:p>
      <w:pPr>
        <w:pStyle w:val="2"/>
        <w:bidi w:val="0"/>
        <w:spacing w:before="0" w:after="0" w:line="240" w:lineRule="auto"/>
        <w:jc w:val="center"/>
        <w:rPr>
          <w:rFonts w:hint="eastAsia" w:ascii="宋体" w:hAnsi="宋体" w:eastAsia="宋体" w:cs="宋体"/>
          <w:highlight w:val="none"/>
        </w:rPr>
      </w:pPr>
      <w:r>
        <w:rPr>
          <w:rFonts w:hint="eastAsia" w:ascii="宋体" w:hAnsi="宋体" w:eastAsia="宋体" w:cs="宋体"/>
          <w:highlight w:val="none"/>
        </w:rPr>
        <w:t>关于</w:t>
      </w:r>
      <w:r>
        <w:rPr>
          <w:rFonts w:hint="eastAsia" w:ascii="宋体" w:hAnsi="宋体" w:eastAsia="宋体" w:cs="宋体"/>
          <w:highlight w:val="none"/>
          <w:lang w:eastAsia="zh-CN"/>
        </w:rPr>
        <w:t>202</w:t>
      </w:r>
      <w:r>
        <w:rPr>
          <w:rFonts w:hint="eastAsia" w:ascii="宋体" w:hAnsi="宋体" w:eastAsia="宋体" w:cs="宋体"/>
          <w:highlight w:val="none"/>
          <w:lang w:val="en-US" w:eastAsia="zh-CN"/>
        </w:rPr>
        <w:t>5</w:t>
      </w:r>
      <w:r>
        <w:rPr>
          <w:rFonts w:hint="eastAsia" w:ascii="宋体" w:hAnsi="宋体" w:eastAsia="宋体" w:cs="宋体"/>
          <w:highlight w:val="none"/>
          <w:lang w:eastAsia="zh-CN"/>
        </w:rPr>
        <w:t>年</w:t>
      </w:r>
      <w:r>
        <w:rPr>
          <w:rFonts w:hint="eastAsia" w:ascii="宋体" w:hAnsi="宋体" w:eastAsia="宋体" w:cs="宋体"/>
          <w:highlight w:val="none"/>
        </w:rPr>
        <w:t>区本级政府性基金</w:t>
      </w:r>
    </w:p>
    <w:p>
      <w:pPr>
        <w:pStyle w:val="2"/>
        <w:bidi w:val="0"/>
        <w:spacing w:before="0" w:after="0" w:line="240" w:lineRule="auto"/>
        <w:jc w:val="center"/>
        <w:rPr>
          <w:rFonts w:hint="eastAsia" w:asciiTheme="majorEastAsia" w:hAnsiTheme="majorEastAsia" w:eastAsiaTheme="majorEastAsia" w:cstheme="majorEastAsia"/>
          <w:highlight w:val="none"/>
        </w:rPr>
      </w:pPr>
      <w:r>
        <w:rPr>
          <w:rFonts w:hint="eastAsia" w:ascii="宋体" w:hAnsi="宋体" w:eastAsia="宋体" w:cs="宋体"/>
          <w:highlight w:val="none"/>
        </w:rPr>
        <w:t>收入预算执行情况表的说明</w:t>
      </w:r>
    </w:p>
    <w:p>
      <w:pPr>
        <w:spacing w:line="700" w:lineRule="exact"/>
        <w:jc w:val="both"/>
        <w:rPr>
          <w:rFonts w:hint="eastAsia" w:ascii="宋体" w:hAnsi="宋体" w:eastAsia="宋体" w:cs="宋体"/>
          <w:sz w:val="44"/>
          <w:szCs w:val="44"/>
          <w:highlight w:val="yellow"/>
        </w:rPr>
      </w:pPr>
    </w:p>
    <w:p>
      <w:pPr>
        <w:numPr>
          <w:ilvl w:val="0"/>
          <w:numId w:val="0"/>
        </w:numPr>
        <w:spacing w:line="240" w:lineRule="auto"/>
        <w:ind w:firstLine="640" w:firstLineChars="200"/>
        <w:jc w:val="both"/>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highlight w:val="none"/>
          <w:lang w:val="en-US" w:eastAsia="zh-CN"/>
        </w:rPr>
        <w:t>2025年政府性基金本级收入34,484万元，其中：城市基础设施配套费收入11,084万元；专项债券对应项目专项收入23,400万元。</w:t>
      </w: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240" w:lineRule="auto"/>
        <w:ind w:firstLine="0" w:firstLineChars="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ind w:firstLine="723" w:firstLineChars="200"/>
        <w:jc w:val="both"/>
        <w:rPr>
          <w:rFonts w:hint="eastAsia" w:ascii="仿宋" w:hAnsi="仿宋" w:eastAsia="仿宋" w:cs="仿宋"/>
          <w:b/>
          <w:bCs/>
          <w:color w:val="auto"/>
          <w:kern w:val="0"/>
          <w:sz w:val="36"/>
          <w:szCs w:val="36"/>
          <w:highlight w:val="yellow"/>
        </w:rPr>
      </w:pPr>
    </w:p>
    <w:p>
      <w:pPr>
        <w:numPr>
          <w:ilvl w:val="0"/>
          <w:numId w:val="0"/>
        </w:numPr>
        <w:spacing w:line="600" w:lineRule="auto"/>
        <w:jc w:val="both"/>
        <w:rPr>
          <w:rFonts w:hint="eastAsia" w:ascii="仿宋" w:hAnsi="仿宋" w:eastAsia="仿宋" w:cs="仿宋"/>
          <w:b/>
          <w:bCs/>
          <w:color w:val="auto"/>
          <w:kern w:val="0"/>
          <w:sz w:val="36"/>
          <w:szCs w:val="36"/>
          <w:highlight w:val="yellow"/>
        </w:rPr>
      </w:pPr>
    </w:p>
    <w:tbl>
      <w:tblPr>
        <w:tblStyle w:val="10"/>
        <w:tblW w:w="8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1"/>
        <w:gridCol w:w="11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8113" w:type="dxa"/>
            <w:gridSpan w:val="3"/>
            <w:tcBorders>
              <w:top w:val="nil"/>
              <w:left w:val="nil"/>
              <w:bottom w:val="nil"/>
              <w:right w:val="nil"/>
              <w:tl2br w:val="nil"/>
              <w:tr2bl w:val="nil"/>
            </w:tcBorders>
            <w:shd w:val="clear" w:color="auto" w:fill="auto"/>
            <w:vAlign w:val="center"/>
          </w:tcPr>
          <w:p>
            <w:pPr>
              <w:numPr>
                <w:ilvl w:val="0"/>
                <w:numId w:val="0"/>
              </w:numPr>
              <w:spacing w:line="240" w:lineRule="auto"/>
              <w:ind w:firstLine="0" w:firstLineChars="0"/>
              <w:jc w:val="center"/>
              <w:rPr>
                <w:rFonts w:hint="eastAsia" w:ascii="仿宋" w:hAnsi="仿宋" w:eastAsia="仿宋" w:cs="仿宋"/>
                <w:b/>
                <w:i w:val="0"/>
                <w:color w:val="000000"/>
                <w:sz w:val="24"/>
                <w:szCs w:val="24"/>
                <w:highlight w:val="none"/>
                <w:u w:val="none"/>
                <w:lang w:val="en-US" w:eastAsia="zh-CN"/>
              </w:rPr>
            </w:pPr>
            <w:r>
              <w:rPr>
                <w:rFonts w:hint="eastAsia" w:ascii="仿宋" w:hAnsi="仿宋" w:eastAsia="仿宋" w:cs="仿宋"/>
                <w:b/>
                <w:bCs/>
                <w:color w:val="auto"/>
                <w:kern w:val="0"/>
                <w:sz w:val="36"/>
                <w:szCs w:val="36"/>
                <w:highlight w:val="none"/>
                <w:lang w:eastAsia="zh-CN"/>
              </w:rPr>
              <w:t>202</w:t>
            </w:r>
            <w:r>
              <w:rPr>
                <w:rFonts w:hint="eastAsia" w:ascii="仿宋" w:hAnsi="仿宋" w:eastAsia="仿宋" w:cs="仿宋"/>
                <w:b/>
                <w:bCs/>
                <w:color w:val="auto"/>
                <w:kern w:val="0"/>
                <w:sz w:val="36"/>
                <w:szCs w:val="36"/>
                <w:highlight w:val="none"/>
                <w:lang w:val="en-US" w:eastAsia="zh-CN"/>
              </w:rPr>
              <w:t>5</w:t>
            </w:r>
            <w:r>
              <w:rPr>
                <w:rFonts w:hint="eastAsia" w:ascii="仿宋" w:hAnsi="仿宋" w:eastAsia="仿宋" w:cs="仿宋"/>
                <w:b/>
                <w:bCs/>
                <w:color w:val="auto"/>
                <w:kern w:val="0"/>
                <w:sz w:val="36"/>
                <w:szCs w:val="36"/>
                <w:highlight w:val="none"/>
                <w:lang w:eastAsia="zh-CN"/>
              </w:rPr>
              <w:t>年</w:t>
            </w:r>
            <w:r>
              <w:rPr>
                <w:rFonts w:hint="eastAsia" w:ascii="仿宋" w:hAnsi="仿宋" w:eastAsia="仿宋" w:cs="仿宋"/>
                <w:b/>
                <w:bCs/>
                <w:color w:val="auto"/>
                <w:kern w:val="0"/>
                <w:sz w:val="36"/>
                <w:szCs w:val="36"/>
                <w:highlight w:val="none"/>
              </w:rPr>
              <w:t>区本级政府性基金支出</w:t>
            </w:r>
            <w:r>
              <w:rPr>
                <w:rFonts w:hint="eastAsia" w:ascii="仿宋" w:hAnsi="仿宋" w:eastAsia="仿宋" w:cs="仿宋"/>
                <w:b/>
                <w:bCs/>
                <w:color w:val="auto"/>
                <w:kern w:val="0"/>
                <w:sz w:val="36"/>
                <w:szCs w:val="36"/>
                <w:highlight w:val="none"/>
                <w:lang w:val="en-US" w:eastAsia="zh-CN"/>
              </w:rPr>
              <w:t>决算</w:t>
            </w:r>
            <w:r>
              <w:rPr>
                <w:rFonts w:hint="eastAsia" w:ascii="仿宋" w:hAnsi="仿宋" w:eastAsia="仿宋" w:cs="仿宋"/>
                <w:b/>
                <w:bCs/>
                <w:color w:val="auto"/>
                <w:kern w:val="0"/>
                <w:sz w:val="36"/>
                <w:szCs w:val="36"/>
                <w:highlight w:val="none"/>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113" w:type="dxa"/>
            <w:gridSpan w:val="3"/>
            <w:tcBorders>
              <w:top w:val="nil"/>
              <w:left w:val="nil"/>
              <w:bottom w:val="single" w:color="auto" w:sz="4" w:space="0"/>
              <w:right w:val="nil"/>
              <w:tl2br w:val="nil"/>
              <w:tr2bl w:val="nil"/>
            </w:tcBorders>
            <w:shd w:val="clear" w:color="auto" w:fill="auto"/>
            <w:vAlign w:val="center"/>
          </w:tcPr>
          <w:p>
            <w:pPr>
              <w:numPr>
                <w:ilvl w:val="0"/>
                <w:numId w:val="0"/>
              </w:numPr>
              <w:spacing w:line="240" w:lineRule="auto"/>
              <w:ind w:firstLine="0" w:firstLineChars="0"/>
              <w:jc w:val="right"/>
              <w:rPr>
                <w:rFonts w:hint="eastAsia" w:ascii="仿宋" w:hAnsi="仿宋" w:eastAsia="仿宋" w:cs="仿宋"/>
                <w:b/>
                <w:i w:val="0"/>
                <w:color w:val="000000"/>
                <w:sz w:val="24"/>
                <w:szCs w:val="24"/>
                <w:highlight w:val="none"/>
                <w:u w:val="none"/>
                <w:lang w:val="en-US" w:eastAsia="zh-CN"/>
              </w:rPr>
            </w:pPr>
            <w:r>
              <w:rPr>
                <w:rFonts w:hint="eastAsia" w:ascii="仿宋" w:hAnsi="仿宋" w:eastAsia="仿宋" w:cs="仿宋"/>
                <w:kern w:val="0"/>
                <w:sz w:val="20"/>
                <w:szCs w:val="20"/>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5681" w:type="dxa"/>
            <w:tcBorders>
              <w:top w:val="single" w:color="auto" w:sz="4" w:space="0"/>
              <w:tl2br w:val="nil"/>
              <w:tr2bl w:val="nil"/>
            </w:tcBorders>
            <w:shd w:val="clear" w:color="auto" w:fill="auto"/>
            <w:vAlign w:val="center"/>
          </w:tcPr>
          <w:p>
            <w:pPr>
              <w:widowControl/>
              <w:jc w:val="center"/>
              <w:rPr>
                <w:rFonts w:hint="eastAsia" w:ascii="仿宋" w:hAnsi="仿宋" w:eastAsia="仿宋" w:cs="仿宋"/>
                <w:b/>
                <w:bCs/>
                <w:kern w:val="0"/>
                <w:sz w:val="20"/>
                <w:szCs w:val="20"/>
                <w:highlight w:val="none"/>
              </w:rPr>
            </w:pPr>
            <w:r>
              <w:rPr>
                <w:rFonts w:hint="eastAsia" w:ascii="仿宋" w:hAnsi="仿宋" w:eastAsia="仿宋" w:cs="仿宋"/>
                <w:b/>
                <w:bCs/>
                <w:kern w:val="0"/>
                <w:sz w:val="20"/>
                <w:szCs w:val="20"/>
                <w:highlight w:val="none"/>
              </w:rPr>
              <w:t>项          目</w:t>
            </w:r>
          </w:p>
        </w:tc>
        <w:tc>
          <w:tcPr>
            <w:tcW w:w="1112" w:type="dxa"/>
            <w:tcBorders>
              <w:top w:val="single" w:color="auto" w:sz="4" w:space="0"/>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b/>
                <w:i w:val="0"/>
                <w:color w:val="000000"/>
                <w:kern w:val="0"/>
                <w:sz w:val="22"/>
                <w:szCs w:val="22"/>
                <w:highlight w:val="none"/>
                <w:u w:val="none"/>
                <w:lang w:val="en-US" w:eastAsia="zh-CN" w:bidi="ar"/>
              </w:rPr>
            </w:pPr>
            <w:r>
              <w:rPr>
                <w:rFonts w:hint="eastAsia" w:ascii="仿宋" w:hAnsi="仿宋" w:eastAsia="仿宋" w:cs="仿宋"/>
                <w:b/>
                <w:i w:val="0"/>
                <w:color w:val="000000"/>
                <w:kern w:val="0"/>
                <w:sz w:val="22"/>
                <w:szCs w:val="22"/>
                <w:highlight w:val="none"/>
                <w:u w:val="none"/>
                <w:lang w:val="en-US" w:eastAsia="zh-CN" w:bidi="ar"/>
              </w:rPr>
              <w:t>2025年</w:t>
            </w:r>
          </w:p>
          <w:p>
            <w:pPr>
              <w:keepNext w:val="0"/>
              <w:keepLines w:val="0"/>
              <w:widowControl/>
              <w:suppressLineNumbers w:val="0"/>
              <w:jc w:val="center"/>
              <w:textAlignment w:val="center"/>
              <w:rPr>
                <w:rFonts w:hint="eastAsia" w:ascii="仿宋" w:hAnsi="仿宋" w:eastAsia="仿宋" w:cs="仿宋"/>
                <w:b/>
                <w:bCs/>
                <w:kern w:val="0"/>
                <w:sz w:val="20"/>
                <w:szCs w:val="20"/>
                <w:highlight w:val="none"/>
              </w:rPr>
            </w:pPr>
            <w:r>
              <w:rPr>
                <w:rFonts w:hint="eastAsia" w:ascii="仿宋" w:hAnsi="仿宋" w:eastAsia="仿宋" w:cs="仿宋"/>
                <w:b/>
                <w:i w:val="0"/>
                <w:color w:val="000000"/>
                <w:kern w:val="0"/>
                <w:sz w:val="22"/>
                <w:szCs w:val="22"/>
                <w:highlight w:val="none"/>
                <w:u w:val="none"/>
                <w:lang w:val="en-US" w:eastAsia="zh-CN" w:bidi="ar"/>
              </w:rPr>
              <w:t>决算数</w:t>
            </w:r>
          </w:p>
        </w:tc>
        <w:tc>
          <w:tcPr>
            <w:tcW w:w="1320" w:type="dxa"/>
            <w:tcBorders>
              <w:top w:val="single" w:color="auto" w:sz="4" w:space="0"/>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highlight w:val="none"/>
                <w:u w:val="none"/>
                <w:lang w:val="en-US" w:eastAsia="zh-CN"/>
              </w:rPr>
            </w:pPr>
            <w:r>
              <w:rPr>
                <w:rFonts w:hint="eastAsia" w:ascii="仿宋" w:hAnsi="仿宋" w:eastAsia="仿宋" w:cs="仿宋"/>
                <w:b/>
                <w:i w:val="0"/>
                <w:color w:val="000000"/>
                <w:sz w:val="24"/>
                <w:szCs w:val="24"/>
                <w:highlight w:val="none"/>
                <w:u w:val="none"/>
                <w:lang w:val="en-US" w:eastAsia="zh-CN"/>
              </w:rPr>
              <w:t>同比上年</w:t>
            </w:r>
          </w:p>
          <w:p>
            <w:pPr>
              <w:widowControl/>
              <w:jc w:val="center"/>
              <w:rPr>
                <w:rFonts w:hint="eastAsia" w:ascii="仿宋" w:hAnsi="仿宋" w:eastAsia="仿宋" w:cs="仿宋"/>
                <w:b/>
                <w:bCs/>
                <w:kern w:val="0"/>
                <w:sz w:val="20"/>
                <w:szCs w:val="20"/>
                <w:highlight w:val="none"/>
              </w:rPr>
            </w:pPr>
            <w:r>
              <w:rPr>
                <w:rFonts w:hint="eastAsia" w:ascii="仿宋" w:hAnsi="仿宋" w:eastAsia="仿宋" w:cs="仿宋"/>
                <w:b/>
                <w:i w:val="0"/>
                <w:color w:val="000000"/>
                <w:sz w:val="24"/>
                <w:szCs w:val="24"/>
                <w:highlight w:val="none"/>
                <w:u w:val="none"/>
                <w:lang w:val="en-US" w:eastAsia="zh-CN"/>
              </w:rPr>
              <w:t>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center"/>
              <w:rPr>
                <w:rFonts w:hint="eastAsia" w:ascii="仿宋" w:hAnsi="仿宋" w:eastAsia="仿宋" w:cs="仿宋"/>
                <w:b/>
                <w:bCs/>
                <w:kern w:val="0"/>
                <w:sz w:val="20"/>
                <w:szCs w:val="20"/>
                <w:highlight w:val="none"/>
              </w:rPr>
            </w:pPr>
            <w:r>
              <w:rPr>
                <w:rFonts w:hint="eastAsia" w:ascii="仿宋" w:hAnsi="仿宋" w:eastAsia="仿宋" w:cs="仿宋"/>
                <w:b/>
                <w:bCs/>
                <w:kern w:val="0"/>
                <w:sz w:val="20"/>
                <w:szCs w:val="20"/>
                <w:highlight w:val="none"/>
              </w:rPr>
              <w:t>支出合计</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r>
              <w:rPr>
                <w:rFonts w:hint="eastAsia" w:ascii="仿宋" w:hAnsi="仿宋" w:eastAsia="仿宋" w:cs="仿宋"/>
                <w:kern w:val="0"/>
                <w:szCs w:val="21"/>
                <w:highlight w:val="none"/>
                <w:lang w:val="en-US" w:eastAsia="zh-CN"/>
              </w:rPr>
              <w:t>167,704</w:t>
            </w:r>
          </w:p>
        </w:tc>
        <w:tc>
          <w:tcPr>
            <w:tcW w:w="1320" w:type="dxa"/>
            <w:tcBorders>
              <w:tl2br w:val="nil"/>
              <w:tr2bl w:val="nil"/>
            </w:tcBorders>
            <w:shd w:val="clear" w:color="auto" w:fill="auto"/>
            <w:vAlign w:val="center"/>
          </w:tcPr>
          <w:p>
            <w:pPr>
              <w:widowControl/>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37.05%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default" w:ascii="仿宋" w:hAnsi="仿宋" w:eastAsia="仿宋" w:cs="仿宋"/>
                <w:kern w:val="0"/>
                <w:sz w:val="20"/>
                <w:szCs w:val="20"/>
                <w:highlight w:val="none"/>
                <w:lang w:val="en-US" w:eastAsia="zh-CN"/>
              </w:rPr>
              <w:t>一、大中型水库移民后期扶持基金支出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val="en-US" w:eastAsia="zh-CN"/>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二、小型水库移民扶助基金安排的支出</w:t>
            </w:r>
          </w:p>
        </w:tc>
        <w:tc>
          <w:tcPr>
            <w:tcW w:w="1112" w:type="dxa"/>
            <w:tcBorders>
              <w:tl2br w:val="nil"/>
              <w:tr2bl w:val="nil"/>
            </w:tcBorders>
            <w:shd w:val="clear" w:color="auto" w:fill="auto"/>
            <w:vAlign w:val="center"/>
          </w:tcPr>
          <w:p>
            <w:pPr>
              <w:jc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三、国有土地使用权出让收入安排的支出</w:t>
            </w:r>
          </w:p>
        </w:tc>
        <w:tc>
          <w:tcPr>
            <w:tcW w:w="1112" w:type="dxa"/>
            <w:tcBorders>
              <w:tl2br w:val="nil"/>
              <w:tr2bl w:val="nil"/>
            </w:tcBorders>
            <w:shd w:val="clear" w:color="auto" w:fill="auto"/>
            <w:vAlign w:val="center"/>
          </w:tcPr>
          <w:p>
            <w:pPr>
              <w:jc w:val="center"/>
              <w:rPr>
                <w:rFonts w:hint="eastAsia" w:ascii="仿宋" w:hAnsi="仿宋" w:eastAsia="仿宋" w:cs="仿宋"/>
                <w:kern w:val="0"/>
                <w:sz w:val="20"/>
                <w:szCs w:val="20"/>
                <w:highlight w:val="none"/>
              </w:rPr>
            </w:pPr>
            <w:r>
              <w:rPr>
                <w:rFonts w:hint="eastAsia" w:ascii="仿宋" w:hAnsi="仿宋" w:eastAsia="仿宋" w:cs="仿宋"/>
                <w:kern w:val="0"/>
                <w:szCs w:val="21"/>
                <w:highlight w:val="none"/>
                <w:lang w:val="en-US" w:eastAsia="zh-CN"/>
              </w:rPr>
              <w:t>44,422</w:t>
            </w:r>
          </w:p>
        </w:tc>
        <w:tc>
          <w:tcPr>
            <w:tcW w:w="1320" w:type="dxa"/>
            <w:tcBorders>
              <w:tl2br w:val="nil"/>
              <w:tr2bl w:val="nil"/>
            </w:tcBorders>
            <w:shd w:val="clear" w:color="auto" w:fill="auto"/>
            <w:vAlign w:val="center"/>
          </w:tcPr>
          <w:p>
            <w:pPr>
              <w:widowControl/>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3116.65%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四、国有土地收益基金安排的支出</w:t>
            </w:r>
          </w:p>
        </w:tc>
        <w:tc>
          <w:tcPr>
            <w:tcW w:w="1112" w:type="dxa"/>
            <w:tcBorders>
              <w:tl2br w:val="nil"/>
              <w:tr2bl w:val="nil"/>
            </w:tcBorders>
            <w:shd w:val="clear" w:color="auto" w:fill="auto"/>
            <w:vAlign w:val="center"/>
          </w:tcPr>
          <w:p>
            <w:pPr>
              <w:jc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五、农业土地开发资金安排的支出</w:t>
            </w:r>
          </w:p>
        </w:tc>
        <w:tc>
          <w:tcPr>
            <w:tcW w:w="1112" w:type="dxa"/>
            <w:tcBorders>
              <w:tl2br w:val="nil"/>
              <w:tr2bl w:val="nil"/>
            </w:tcBorders>
            <w:shd w:val="clear" w:color="auto" w:fill="auto"/>
            <w:noWrap/>
            <w:vAlign w:val="center"/>
          </w:tcPr>
          <w:p>
            <w:pPr>
              <w:jc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noWrap/>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六、城市基础设施配套费安排的支出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lang w:eastAsia="zh-CN"/>
              </w:rPr>
            </w:pPr>
            <w:r>
              <w:rPr>
                <w:rFonts w:hint="eastAsia" w:ascii="仿宋" w:hAnsi="仿宋" w:eastAsia="仿宋" w:cs="仿宋"/>
                <w:kern w:val="0"/>
                <w:szCs w:val="21"/>
                <w:highlight w:val="none"/>
                <w:lang w:val="en-US" w:eastAsia="zh-CN"/>
              </w:rPr>
              <w:t>4,733</w:t>
            </w:r>
          </w:p>
        </w:tc>
        <w:tc>
          <w:tcPr>
            <w:tcW w:w="1320" w:type="dxa"/>
            <w:tcBorders>
              <w:tl2br w:val="nil"/>
              <w:tr2bl w:val="nil"/>
            </w:tcBorders>
            <w:shd w:val="clear" w:color="auto" w:fill="auto"/>
            <w:vAlign w:val="center"/>
          </w:tcPr>
          <w:p>
            <w:pPr>
              <w:widowControl/>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-59.94%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七、污水处理费安排的支出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r>
              <w:rPr>
                <w:rFonts w:hint="eastAsia" w:ascii="仿宋" w:hAnsi="仿宋" w:eastAsia="仿宋" w:cs="仿宋"/>
                <w:kern w:val="0"/>
                <w:szCs w:val="21"/>
                <w:highlight w:val="none"/>
                <w:lang w:val="en-US" w:eastAsia="zh-CN"/>
              </w:rPr>
              <w:t>172</w:t>
            </w:r>
          </w:p>
        </w:tc>
        <w:tc>
          <w:tcPr>
            <w:tcW w:w="1320" w:type="dxa"/>
            <w:tcBorders>
              <w:tl2br w:val="nil"/>
              <w:tr2bl w:val="nil"/>
            </w:tcBorders>
            <w:shd w:val="clear" w:color="auto" w:fill="auto"/>
            <w:vAlign w:val="center"/>
          </w:tcPr>
          <w:p>
            <w:pPr>
              <w:widowControl/>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八、土地储备专项债券收入安排的支出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九、棚户区改造专项债券收入安排的支出</w:t>
            </w:r>
          </w:p>
        </w:tc>
        <w:tc>
          <w:tcPr>
            <w:tcW w:w="1112" w:type="dxa"/>
            <w:tcBorders>
              <w:tl2br w:val="nil"/>
              <w:tr2bl w:val="nil"/>
            </w:tcBorders>
            <w:shd w:val="clear" w:color="auto" w:fill="auto"/>
            <w:vAlign w:val="center"/>
          </w:tcPr>
          <w:p>
            <w:pPr>
              <w:jc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681" w:type="dxa"/>
            <w:tcBorders>
              <w:tl2br w:val="nil"/>
              <w:tr2bl w:val="nil"/>
            </w:tcBorders>
            <w:shd w:val="clear" w:color="auto" w:fill="auto"/>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十、国有土地使用权出让收入对应专项债务收入安排的支出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十一、大中型水库库区基金安排的支出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十二、车辆通行费安排的支出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十三、政府收费公路专项债券收入安排的支出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十四、国家重大水利工程建设基金安排的支出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十五、国家电影事业发展专项资金安排的支出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十六、旅游发展基金支出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十七、彩票公益金安排的支出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r>
              <w:rPr>
                <w:rFonts w:hint="eastAsia" w:ascii="仿宋" w:hAnsi="仿宋" w:eastAsia="仿宋" w:cs="仿宋"/>
                <w:kern w:val="0"/>
                <w:szCs w:val="21"/>
                <w:highlight w:val="none"/>
                <w:lang w:val="en-US" w:eastAsia="zh-CN"/>
              </w:rPr>
              <w:t>48</w:t>
            </w:r>
          </w:p>
        </w:tc>
        <w:tc>
          <w:tcPr>
            <w:tcW w:w="1320" w:type="dxa"/>
            <w:tcBorders>
              <w:tl2br w:val="nil"/>
              <w:tr2bl w:val="nil"/>
            </w:tcBorders>
            <w:shd w:val="clear" w:color="auto" w:fill="auto"/>
            <w:vAlign w:val="center"/>
          </w:tcPr>
          <w:p>
            <w:pPr>
              <w:widowControl/>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433.33%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十八、彩票机构业务费安排的支出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十九、其他政府性基金及对应专项债务收入安排的支出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r>
              <w:rPr>
                <w:rFonts w:hint="eastAsia" w:ascii="仿宋" w:hAnsi="仿宋" w:eastAsia="仿宋" w:cs="仿宋"/>
                <w:kern w:val="0"/>
                <w:szCs w:val="21"/>
                <w:highlight w:val="none"/>
                <w:lang w:val="en-US" w:eastAsia="zh-CN"/>
              </w:rPr>
              <w:t>114,947</w:t>
            </w:r>
          </w:p>
        </w:tc>
        <w:tc>
          <w:tcPr>
            <w:tcW w:w="1320" w:type="dxa"/>
            <w:tcBorders>
              <w:tl2br w:val="nil"/>
              <w:tr2bl w:val="nil"/>
            </w:tcBorders>
            <w:shd w:val="clear" w:color="auto" w:fill="auto"/>
            <w:vAlign w:val="center"/>
          </w:tcPr>
          <w:p>
            <w:pPr>
              <w:widowControl/>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二十、自然资源海洋气象等支出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二十一、抗疫特别国债安排的支出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p>
        </w:tc>
        <w:tc>
          <w:tcPr>
            <w:tcW w:w="1320" w:type="dxa"/>
            <w:tcBorders>
              <w:tl2br w:val="nil"/>
              <w:tr2bl w:val="nil"/>
            </w:tcBorders>
            <w:shd w:val="clear" w:color="auto" w:fill="auto"/>
            <w:vAlign w:val="center"/>
          </w:tcPr>
          <w:p>
            <w:pPr>
              <w:widowControl/>
              <w:jc w:val="center"/>
              <w:rPr>
                <w:rFonts w:hint="eastAsia" w:ascii="仿宋" w:hAnsi="仿宋" w:eastAsia="仿宋" w:cs="仿宋"/>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681" w:type="dxa"/>
            <w:tcBorders>
              <w:tl2br w:val="nil"/>
              <w:tr2bl w:val="nil"/>
            </w:tcBorders>
            <w:shd w:val="clear" w:color="auto" w:fill="auto"/>
            <w:noWrap/>
            <w:vAlign w:val="center"/>
          </w:tcPr>
          <w:p>
            <w:pPr>
              <w:widowControl/>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二十二、超长期特别国债安排的支出</w:t>
            </w:r>
          </w:p>
        </w:tc>
        <w:tc>
          <w:tcPr>
            <w:tcW w:w="111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kern w:val="0"/>
                <w:sz w:val="20"/>
                <w:szCs w:val="20"/>
                <w:highlight w:val="none"/>
              </w:rPr>
            </w:pPr>
            <w:r>
              <w:rPr>
                <w:rFonts w:hint="eastAsia" w:ascii="仿宋" w:hAnsi="仿宋" w:eastAsia="仿宋" w:cs="仿宋"/>
                <w:kern w:val="0"/>
                <w:szCs w:val="21"/>
                <w:highlight w:val="none"/>
                <w:lang w:val="en-US" w:eastAsia="zh-CN"/>
              </w:rPr>
              <w:t>3,382</w:t>
            </w:r>
          </w:p>
        </w:tc>
        <w:tc>
          <w:tcPr>
            <w:tcW w:w="1320" w:type="dxa"/>
            <w:tcBorders>
              <w:tl2br w:val="nil"/>
              <w:tr2bl w:val="nil"/>
            </w:tcBorders>
            <w:shd w:val="clear" w:color="auto" w:fill="auto"/>
            <w:vAlign w:val="center"/>
          </w:tcPr>
          <w:p>
            <w:pPr>
              <w:widowControl/>
              <w:jc w:val="center"/>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100%</w:t>
            </w:r>
          </w:p>
        </w:tc>
      </w:tr>
    </w:tbl>
    <w:p>
      <w:pPr>
        <w:pStyle w:val="2"/>
        <w:keepNext/>
        <w:keepLines/>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b w:val="0"/>
          <w:bCs/>
          <w:highlight w:val="none"/>
          <w:lang w:val="en-US" w:eastAsia="zh-CN"/>
        </w:rPr>
      </w:pPr>
      <w:bookmarkStart w:id="0" w:name="_GoBack"/>
      <w:bookmarkEnd w:id="0"/>
    </w:p>
    <w:p>
      <w:pPr>
        <w:pStyle w:val="2"/>
        <w:bidi w:val="0"/>
        <w:spacing w:before="0" w:after="0" w:line="240" w:lineRule="auto"/>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关于2025年区本级政府性基金</w:t>
      </w:r>
    </w:p>
    <w:p>
      <w:pPr>
        <w:pStyle w:val="2"/>
        <w:bidi w:val="0"/>
        <w:spacing w:before="0" w:after="0" w:line="240" w:lineRule="auto"/>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支出决算的说明</w:t>
      </w:r>
    </w:p>
    <w:p>
      <w:pPr>
        <w:rPr>
          <w:rFonts w:hint="eastAsia" w:ascii="宋体" w:hAnsi="宋体" w:eastAsia="宋体" w:cs="宋体"/>
          <w:sz w:val="44"/>
          <w:szCs w:val="44"/>
          <w:highlight w:val="yellow"/>
        </w:rPr>
      </w:pPr>
    </w:p>
    <w:p>
      <w:pPr>
        <w:spacing w:line="360" w:lineRule="auto"/>
        <w:ind w:firstLine="640" w:firstLineChars="200"/>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年</w:t>
      </w:r>
      <w:r>
        <w:rPr>
          <w:rFonts w:hint="eastAsia" w:ascii="仿宋" w:hAnsi="仿宋" w:eastAsia="仿宋" w:cs="仿宋"/>
          <w:color w:val="auto"/>
          <w:sz w:val="32"/>
          <w:szCs w:val="32"/>
          <w:highlight w:val="none"/>
        </w:rPr>
        <w:t>区本级政府性基金支出</w:t>
      </w:r>
      <w:r>
        <w:rPr>
          <w:rFonts w:hint="eastAsia" w:ascii="仿宋" w:hAnsi="仿宋" w:eastAsia="仿宋" w:cs="仿宋"/>
          <w:color w:val="auto"/>
          <w:sz w:val="32"/>
          <w:szCs w:val="32"/>
          <w:highlight w:val="none"/>
          <w:lang w:val="en-US" w:eastAsia="zh-CN"/>
        </w:rPr>
        <w:t>167,704</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其中：国有土地使用权出让收入安排的支出</w:t>
      </w:r>
      <w:r>
        <w:rPr>
          <w:rFonts w:hint="eastAsia" w:ascii="仿宋" w:hAnsi="仿宋" w:eastAsia="仿宋" w:cs="仿宋"/>
          <w:color w:val="auto"/>
          <w:sz w:val="32"/>
          <w:szCs w:val="32"/>
          <w:highlight w:val="none"/>
          <w:lang w:val="en-US" w:eastAsia="zh-CN"/>
        </w:rPr>
        <w:t>44,422万元；城市基础设施配套费安排的支出4,733万元;污水处理费安排的支出172万元；彩票公益金安排的支出48万元；</w:t>
      </w:r>
      <w:r>
        <w:rPr>
          <w:rFonts w:hint="eastAsia" w:ascii="仿宋" w:hAnsi="仿宋" w:eastAsia="仿宋" w:cs="仿宋"/>
          <w:color w:val="auto"/>
          <w:kern w:val="0"/>
          <w:sz w:val="32"/>
          <w:szCs w:val="32"/>
          <w:highlight w:val="none"/>
        </w:rPr>
        <w:t>其他政府性基金及对应专项债务收入安排的支出</w:t>
      </w:r>
      <w:r>
        <w:rPr>
          <w:rFonts w:hint="eastAsia" w:ascii="仿宋" w:hAnsi="仿宋" w:eastAsia="仿宋" w:cs="仿宋"/>
          <w:color w:val="auto"/>
          <w:kern w:val="0"/>
          <w:sz w:val="32"/>
          <w:szCs w:val="32"/>
          <w:highlight w:val="none"/>
          <w:lang w:val="en-US" w:eastAsia="zh-CN"/>
        </w:rPr>
        <w:t>114,947万元；超长期特别国债安排的支出3,382万元。</w:t>
      </w: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p>
      <w:pPr>
        <w:spacing w:line="360" w:lineRule="auto"/>
        <w:rPr>
          <w:rFonts w:hint="eastAsia" w:ascii="仿宋" w:hAnsi="仿宋" w:eastAsia="仿宋" w:cs="仿宋"/>
          <w:color w:val="auto"/>
          <w:kern w:val="0"/>
          <w:sz w:val="32"/>
          <w:szCs w:val="32"/>
          <w:highlight w:val="none"/>
          <w:lang w:val="en-US" w:eastAsia="zh-CN"/>
        </w:rPr>
      </w:pPr>
    </w:p>
    <w:tbl>
      <w:tblPr>
        <w:tblW w:w="81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083"/>
        <w:gridCol w:w="5672"/>
        <w:gridCol w:w="14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8160" w:type="dxa"/>
            <w:gridSpan w:val="3"/>
            <w:tcBorders>
              <w:top w:val="nil"/>
              <w:left w:val="nil"/>
              <w:bottom w:val="nil"/>
              <w:right w:val="nil"/>
            </w:tcBorders>
            <w:shd w:val="clear" w:color="auto" w:fill="auto"/>
            <w:noWrap/>
            <w:vAlign w:val="center"/>
          </w:tcPr>
          <w:p>
            <w:pPr>
              <w:numPr>
                <w:ilvl w:val="0"/>
                <w:numId w:val="0"/>
              </w:numPr>
              <w:spacing w:line="240" w:lineRule="auto"/>
              <w:ind w:firstLine="0" w:firstLineChars="0"/>
              <w:jc w:val="center"/>
              <w:rPr>
                <w:rFonts w:hint="eastAsia" w:ascii="仿宋" w:hAnsi="仿宋" w:eastAsia="仿宋" w:cs="仿宋"/>
                <w:b/>
                <w:bCs/>
                <w:i w:val="0"/>
                <w:iCs w:val="0"/>
                <w:color w:val="000000"/>
                <w:kern w:val="0"/>
                <w:sz w:val="20"/>
                <w:szCs w:val="20"/>
                <w:u w:val="none"/>
                <w:bdr w:val="none" w:color="auto" w:sz="0" w:space="0"/>
                <w:lang w:val="en-US" w:eastAsia="zh-CN" w:bidi="ar"/>
              </w:rPr>
            </w:pPr>
            <w:r>
              <w:rPr>
                <w:rFonts w:hint="eastAsia" w:ascii="仿宋" w:hAnsi="仿宋" w:eastAsia="仿宋" w:cs="仿宋"/>
                <w:b/>
                <w:bCs/>
                <w:color w:val="auto"/>
                <w:kern w:val="0"/>
                <w:sz w:val="36"/>
                <w:szCs w:val="36"/>
                <w:highlight w:val="none"/>
                <w:lang w:eastAsia="zh-CN"/>
              </w:rPr>
              <w:t>202</w:t>
            </w:r>
            <w:r>
              <w:rPr>
                <w:rFonts w:hint="eastAsia" w:ascii="仿宋" w:hAnsi="仿宋" w:eastAsia="仿宋" w:cs="仿宋"/>
                <w:b/>
                <w:bCs/>
                <w:color w:val="auto"/>
                <w:kern w:val="0"/>
                <w:sz w:val="36"/>
                <w:szCs w:val="36"/>
                <w:highlight w:val="none"/>
                <w:lang w:val="en-US" w:eastAsia="zh-CN"/>
              </w:rPr>
              <w:t>5</w:t>
            </w:r>
            <w:r>
              <w:rPr>
                <w:rFonts w:hint="eastAsia" w:ascii="仿宋" w:hAnsi="仿宋" w:eastAsia="仿宋" w:cs="仿宋"/>
                <w:b/>
                <w:bCs/>
                <w:color w:val="auto"/>
                <w:kern w:val="0"/>
                <w:sz w:val="36"/>
                <w:szCs w:val="36"/>
                <w:highlight w:val="none"/>
                <w:lang w:eastAsia="zh-CN"/>
              </w:rPr>
              <w:t>年</w:t>
            </w:r>
            <w:r>
              <w:rPr>
                <w:rFonts w:hint="eastAsia" w:ascii="仿宋" w:hAnsi="仿宋" w:eastAsia="仿宋" w:cs="仿宋"/>
                <w:b/>
                <w:bCs/>
                <w:color w:val="auto"/>
                <w:kern w:val="0"/>
                <w:sz w:val="36"/>
                <w:szCs w:val="36"/>
                <w:highlight w:val="none"/>
              </w:rPr>
              <w:t>区本级政府性基金支出</w:t>
            </w:r>
            <w:r>
              <w:rPr>
                <w:rFonts w:hint="eastAsia" w:ascii="仿宋" w:hAnsi="仿宋" w:eastAsia="仿宋" w:cs="仿宋"/>
                <w:b/>
                <w:bCs/>
                <w:color w:val="auto"/>
                <w:kern w:val="0"/>
                <w:sz w:val="36"/>
                <w:szCs w:val="36"/>
                <w:highlight w:val="none"/>
                <w:lang w:val="en-US" w:eastAsia="zh-CN"/>
              </w:rPr>
              <w:t>决算</w:t>
            </w:r>
            <w:r>
              <w:rPr>
                <w:rFonts w:hint="eastAsia" w:ascii="仿宋" w:hAnsi="仿宋" w:eastAsia="仿宋" w:cs="仿宋"/>
                <w:b/>
                <w:bCs/>
                <w:color w:val="auto"/>
                <w:kern w:val="0"/>
                <w:sz w:val="36"/>
                <w:szCs w:val="36"/>
                <w:highlight w:val="none"/>
              </w:rPr>
              <w:t>表</w:t>
            </w:r>
            <w:r>
              <w:rPr>
                <w:rFonts w:hint="eastAsia" w:ascii="宋体" w:hAnsi="宋体" w:eastAsia="宋体" w:cs="宋体"/>
                <w:b/>
                <w:bCs/>
                <w:i w:val="0"/>
                <w:iCs w:val="0"/>
                <w:color w:val="000000"/>
                <w:kern w:val="0"/>
                <w:sz w:val="32"/>
                <w:szCs w:val="32"/>
                <w:u w:val="none"/>
                <w:lang w:val="en-US" w:eastAsia="zh-CN" w:bidi="ar"/>
              </w:rPr>
              <w:t>（类款项）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8160" w:type="dxa"/>
            <w:gridSpan w:val="3"/>
            <w:tcBorders>
              <w:top w:val="nil"/>
              <w:left w:val="nil"/>
              <w:bottom w:val="single" w:color="auto" w:sz="4" w:space="0"/>
              <w:right w:val="nil"/>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b/>
                <w:bCs/>
                <w:i w:val="0"/>
                <w:iCs w:val="0"/>
                <w:color w:val="000000"/>
                <w:kern w:val="0"/>
                <w:sz w:val="20"/>
                <w:szCs w:val="20"/>
                <w:u w:val="none"/>
                <w:bdr w:val="none" w:color="auto" w:sz="0" w:space="0"/>
                <w:lang w:val="en-US" w:eastAsia="zh-CN" w:bidi="ar"/>
              </w:rPr>
            </w:pPr>
            <w:r>
              <w:rPr>
                <w:rFonts w:hint="eastAsia" w:ascii="仿宋" w:hAnsi="仿宋" w:eastAsia="仿宋" w:cs="仿宋"/>
                <w:kern w:val="0"/>
                <w:sz w:val="20"/>
                <w:szCs w:val="20"/>
                <w:highlight w:val="none"/>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科目编码</w:t>
            </w:r>
          </w:p>
        </w:tc>
        <w:tc>
          <w:tcPr>
            <w:tcW w:w="567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科目名称</w:t>
            </w:r>
          </w:p>
        </w:tc>
        <w:tc>
          <w:tcPr>
            <w:tcW w:w="140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08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 w:hAnsi="仿宋" w:eastAsia="仿宋" w:cs="仿宋"/>
                <w:b/>
                <w:bCs/>
                <w:i w:val="0"/>
                <w:iCs w:val="0"/>
                <w:color w:val="000000"/>
                <w:sz w:val="20"/>
                <w:szCs w:val="20"/>
                <w:u w:val="none"/>
              </w:rPr>
            </w:pPr>
          </w:p>
        </w:tc>
        <w:tc>
          <w:tcPr>
            <w:tcW w:w="567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政府性基金预算支出</w:t>
            </w:r>
          </w:p>
        </w:tc>
        <w:tc>
          <w:tcPr>
            <w:tcW w:w="140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167,704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206</w:t>
            </w:r>
          </w:p>
        </w:tc>
        <w:tc>
          <w:tcPr>
            <w:tcW w:w="567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科学技术支出</w:t>
            </w:r>
          </w:p>
        </w:tc>
        <w:tc>
          <w:tcPr>
            <w:tcW w:w="1405"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20698</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超长期特别国债安排的支出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2069802</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应用研究</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城乡社区支出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48,551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6"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21208</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国有土地使用权出让收入安排的支出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43,646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2120801</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征地和拆迁补偿支出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43,265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2120804</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农村基础设施建设支出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2120816</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农业农村生态环境支出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21213</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城市基础设施配套费安排的支出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4,733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2121301</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城市公共设施</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4,733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21214</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污水处理费安排的支出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2121401</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污水处理设施建设和运营</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其他支出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61,442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6"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22904</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其他政府性基金及对应专项债务收入安排的支出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59,544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9"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2290402</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其他地方自行试点项目收益专项债券收入安排的支出  </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2290403</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其他政府性基金债务收入安排的支出  </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29,544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22960</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彩票公益金安排的支出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2296002</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用于社会福利的彩票公益金支出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3"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2296006</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用于残疾人事业的彩票公益金支出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22998</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超长期特别国债安排的其他支出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2299899</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其他支出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232</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债务付息支出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56,125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23204</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地方政府专项债务付息支出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56,125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2320431</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土地储备专项债券付息支出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2320498</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其他地方自行试点项目收益专项债券付息支出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52,963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2320499</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其他政府性基金债务付息支出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233</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债务发行费用支出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8"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23304</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bdr w:val="none" w:color="auto" w:sz="0" w:space="0"/>
                <w:lang w:val="en-US" w:eastAsia="zh-CN" w:bidi="ar"/>
              </w:rPr>
              <w:t xml:space="preserve">  地方政府专项债务发行费用支出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2330498</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其他地方自行试点项目收益专项债券发行费用支出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2330499</w:t>
            </w:r>
          </w:p>
        </w:tc>
        <w:tc>
          <w:tcPr>
            <w:tcW w:w="5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 xml:space="preserve">    其他政府性基金债务发行费用支出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26</w:t>
            </w:r>
          </w:p>
        </w:tc>
      </w:tr>
    </w:tbl>
    <w:p>
      <w:pPr>
        <w:spacing w:line="360" w:lineRule="auto"/>
        <w:rPr>
          <w:rFonts w:hint="eastAsia" w:ascii="仿宋" w:hAnsi="仿宋" w:eastAsia="仿宋" w:cs="仿宋"/>
          <w:color w:val="auto"/>
          <w:kern w:val="0"/>
          <w:sz w:val="32"/>
          <w:szCs w:val="32"/>
          <w:highlight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7EB49B97-B774-4C6F-A905-752369B6496B}"/>
  </w:font>
  <w:font w:name="方正小标宋_GBK">
    <w:panose1 w:val="03000509000000000000"/>
    <w:charset w:val="86"/>
    <w:family w:val="auto"/>
    <w:pitch w:val="default"/>
    <w:sig w:usb0="00000001" w:usb1="080E0000" w:usb2="00000000" w:usb3="00000000" w:csb0="00040000" w:csb1="00000000"/>
    <w:embedRegular r:id="rId2" w:fontKey="{D3BBED04-A9F0-4DA3-951C-384166D010E6}"/>
  </w:font>
  <w:font w:name="楷体_GB2312">
    <w:panose1 w:val="02010609030101010101"/>
    <w:charset w:val="86"/>
    <w:family w:val="auto"/>
    <w:pitch w:val="default"/>
    <w:sig w:usb0="00000001" w:usb1="080E0000" w:usb2="00000000" w:usb3="00000000" w:csb0="00040000" w:csb1="00000000"/>
    <w:embedRegular r:id="rId3" w:fontKey="{AAE1A887-92CB-4CDE-846C-B9B44BE6B6CF}"/>
  </w:font>
  <w:font w:name="微软雅黑">
    <w:panose1 w:val="020B0503020204020204"/>
    <w:charset w:val="86"/>
    <w:family w:val="auto"/>
    <w:pitch w:val="default"/>
    <w:sig w:usb0="80000287" w:usb1="2ACF3C50" w:usb2="00000016" w:usb3="00000000" w:csb0="0004001F" w:csb1="00000000"/>
    <w:embedRegular r:id="rId4" w:fontKey="{78A12588-FE40-413A-940F-898CCEF30A7B}"/>
  </w:font>
  <w:font w:name="Tempus Sans ITC">
    <w:panose1 w:val="04020404030D07020202"/>
    <w:charset w:val="00"/>
    <w:family w:val="auto"/>
    <w:pitch w:val="default"/>
    <w:sig w:usb0="00000003" w:usb1="00000000" w:usb2="00000000" w:usb3="00000000" w:csb0="20000001" w:csb1="00000000"/>
  </w:font>
  <w:font w:name="Sitka Small">
    <w:panose1 w:val="02000505000000020004"/>
    <w:charset w:val="00"/>
    <w:family w:val="auto"/>
    <w:pitch w:val="default"/>
    <w:sig w:usb0="A00002EF" w:usb1="4000204B" w:usb2="00000000" w:usb3="00000000" w:csb0="2000019F" w:csb1="00000000"/>
  </w:font>
  <w:font w:name="Univers Extended">
    <w:panose1 w:val="020B0605030502020204"/>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8C1401"/>
    <w:multiLevelType w:val="singleLevel"/>
    <w:tmpl w:val="A98C1401"/>
    <w:lvl w:ilvl="0" w:tentative="0">
      <w:start w:val="1"/>
      <w:numFmt w:val="chineseCounting"/>
      <w:suff w:val="nothing"/>
      <w:lvlText w:val="%1、"/>
      <w:lvlJc w:val="left"/>
      <w:rPr>
        <w:rFonts w:hint="eastAsia"/>
      </w:rPr>
    </w:lvl>
  </w:abstractNum>
  <w:abstractNum w:abstractNumId="1">
    <w:nsid w:val="D487D6F9"/>
    <w:multiLevelType w:val="singleLevel"/>
    <w:tmpl w:val="D487D6F9"/>
    <w:lvl w:ilvl="0" w:tentative="0">
      <w:start w:val="1"/>
      <w:numFmt w:val="decimal"/>
      <w:lvlText w:val="%1."/>
      <w:lvlJc w:val="left"/>
      <w:pPr>
        <w:tabs>
          <w:tab w:val="left" w:pos="312"/>
        </w:tabs>
      </w:pPr>
      <w:rPr>
        <w:rFonts w:hint="default"/>
        <w:color w:val="000000" w:themeColor="text1"/>
        <w14:textFill>
          <w14:solidFill>
            <w14:schemeClr w14:val="tx1"/>
          </w14:solidFill>
        </w14:textFill>
      </w:rPr>
    </w:lvl>
  </w:abstractNum>
  <w:abstractNum w:abstractNumId="2">
    <w:nsid w:val="7086C7FC"/>
    <w:multiLevelType w:val="singleLevel"/>
    <w:tmpl w:val="7086C7FC"/>
    <w:lvl w:ilvl="0" w:tentative="0">
      <w:start w:val="1"/>
      <w:numFmt w:val="decimal"/>
      <w:suff w:val="nothing"/>
      <w:lvlText w:val="%1、"/>
      <w:lvlJc w:val="left"/>
      <w:pPr>
        <w:ind w:left="200"/>
      </w:pPr>
      <w:rPr>
        <w:rFonts w:hint="default"/>
        <w:color w:val="000000" w:themeColor="text1"/>
        <w14:textFill>
          <w14:solidFill>
            <w14:schemeClr w14:val="tx1"/>
          </w14:solidFill>
        </w14:textFill>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hOGYyMGNjOTg2YjRkMTJjOTYwMmY4NTMyODEzOTcifQ=="/>
  </w:docVars>
  <w:rsids>
    <w:rsidRoot w:val="00000000"/>
    <w:rsid w:val="003E45EE"/>
    <w:rsid w:val="00701FB6"/>
    <w:rsid w:val="00717DF1"/>
    <w:rsid w:val="00AE73AC"/>
    <w:rsid w:val="00BC3A1F"/>
    <w:rsid w:val="014940A9"/>
    <w:rsid w:val="01630EE0"/>
    <w:rsid w:val="0233386D"/>
    <w:rsid w:val="028D5673"/>
    <w:rsid w:val="02C31095"/>
    <w:rsid w:val="02CA00B3"/>
    <w:rsid w:val="03303212"/>
    <w:rsid w:val="03616208"/>
    <w:rsid w:val="036D5963"/>
    <w:rsid w:val="03800D34"/>
    <w:rsid w:val="049727D9"/>
    <w:rsid w:val="04D8694E"/>
    <w:rsid w:val="05071EDD"/>
    <w:rsid w:val="053728DA"/>
    <w:rsid w:val="055661F0"/>
    <w:rsid w:val="058A7C48"/>
    <w:rsid w:val="05C03FCA"/>
    <w:rsid w:val="060F2B65"/>
    <w:rsid w:val="061D0B88"/>
    <w:rsid w:val="062E0F1B"/>
    <w:rsid w:val="06456265"/>
    <w:rsid w:val="06701B73"/>
    <w:rsid w:val="0869623A"/>
    <w:rsid w:val="08C2690A"/>
    <w:rsid w:val="08FE4D03"/>
    <w:rsid w:val="090305DD"/>
    <w:rsid w:val="096C4286"/>
    <w:rsid w:val="099E1F14"/>
    <w:rsid w:val="0A051F93"/>
    <w:rsid w:val="0A0C1573"/>
    <w:rsid w:val="0A157D3B"/>
    <w:rsid w:val="0A250FCC"/>
    <w:rsid w:val="0A942601"/>
    <w:rsid w:val="0AA22147"/>
    <w:rsid w:val="0AAE27FB"/>
    <w:rsid w:val="0B3D5355"/>
    <w:rsid w:val="0B903ADE"/>
    <w:rsid w:val="0BE52181"/>
    <w:rsid w:val="0C31173D"/>
    <w:rsid w:val="0CBB1F33"/>
    <w:rsid w:val="0D584745"/>
    <w:rsid w:val="0D72198D"/>
    <w:rsid w:val="0EA87391"/>
    <w:rsid w:val="0EC018D6"/>
    <w:rsid w:val="0F685857"/>
    <w:rsid w:val="0F711B2C"/>
    <w:rsid w:val="0FCB674F"/>
    <w:rsid w:val="100B5D8C"/>
    <w:rsid w:val="10333DF2"/>
    <w:rsid w:val="10797237"/>
    <w:rsid w:val="11670431"/>
    <w:rsid w:val="118D50A1"/>
    <w:rsid w:val="11A5261F"/>
    <w:rsid w:val="11A87F41"/>
    <w:rsid w:val="11E76422"/>
    <w:rsid w:val="127759F8"/>
    <w:rsid w:val="12EF3993"/>
    <w:rsid w:val="12EF558E"/>
    <w:rsid w:val="12EF791A"/>
    <w:rsid w:val="1308099D"/>
    <w:rsid w:val="133E2072"/>
    <w:rsid w:val="13960100"/>
    <w:rsid w:val="13A46379"/>
    <w:rsid w:val="13A75E69"/>
    <w:rsid w:val="13B3194D"/>
    <w:rsid w:val="13EB3FA7"/>
    <w:rsid w:val="1448764C"/>
    <w:rsid w:val="14BC3B96"/>
    <w:rsid w:val="159D6C30"/>
    <w:rsid w:val="15DD358D"/>
    <w:rsid w:val="16BB762A"/>
    <w:rsid w:val="16C01BF5"/>
    <w:rsid w:val="16DB155B"/>
    <w:rsid w:val="173E0892"/>
    <w:rsid w:val="1833336E"/>
    <w:rsid w:val="186B56B7"/>
    <w:rsid w:val="18F31C61"/>
    <w:rsid w:val="196F75C7"/>
    <w:rsid w:val="19902325"/>
    <w:rsid w:val="1A18361C"/>
    <w:rsid w:val="1A4C1518"/>
    <w:rsid w:val="1AB5530F"/>
    <w:rsid w:val="1ABF021F"/>
    <w:rsid w:val="1B157FC2"/>
    <w:rsid w:val="1B724FAE"/>
    <w:rsid w:val="1B8F5B60"/>
    <w:rsid w:val="1BA0780E"/>
    <w:rsid w:val="1BCD48DA"/>
    <w:rsid w:val="1C1059AD"/>
    <w:rsid w:val="1C1E5B08"/>
    <w:rsid w:val="1C4B6A21"/>
    <w:rsid w:val="1C83593F"/>
    <w:rsid w:val="1CFC21FD"/>
    <w:rsid w:val="1D5A410A"/>
    <w:rsid w:val="1DDC7057"/>
    <w:rsid w:val="1DE43C6F"/>
    <w:rsid w:val="1E4B73EA"/>
    <w:rsid w:val="1E862601"/>
    <w:rsid w:val="1EC975DB"/>
    <w:rsid w:val="20461336"/>
    <w:rsid w:val="208A49B1"/>
    <w:rsid w:val="212D0978"/>
    <w:rsid w:val="215727DE"/>
    <w:rsid w:val="218E68BA"/>
    <w:rsid w:val="220F32C6"/>
    <w:rsid w:val="22322840"/>
    <w:rsid w:val="226643D9"/>
    <w:rsid w:val="22910410"/>
    <w:rsid w:val="22F36458"/>
    <w:rsid w:val="23E17175"/>
    <w:rsid w:val="242222EE"/>
    <w:rsid w:val="248304CA"/>
    <w:rsid w:val="254479BB"/>
    <w:rsid w:val="25A07673"/>
    <w:rsid w:val="25F521DF"/>
    <w:rsid w:val="26597496"/>
    <w:rsid w:val="26DF14A1"/>
    <w:rsid w:val="2714160F"/>
    <w:rsid w:val="274C6FFB"/>
    <w:rsid w:val="27542AC7"/>
    <w:rsid w:val="28081174"/>
    <w:rsid w:val="282C6FC2"/>
    <w:rsid w:val="285B737A"/>
    <w:rsid w:val="28657D12"/>
    <w:rsid w:val="28AD1D1C"/>
    <w:rsid w:val="28AD5878"/>
    <w:rsid w:val="28B819B8"/>
    <w:rsid w:val="28ED036A"/>
    <w:rsid w:val="28F23810"/>
    <w:rsid w:val="29F64FFC"/>
    <w:rsid w:val="2A36189D"/>
    <w:rsid w:val="2AB033FD"/>
    <w:rsid w:val="2ABD3CE2"/>
    <w:rsid w:val="2ADA7BF2"/>
    <w:rsid w:val="2B160A5C"/>
    <w:rsid w:val="2B5C3B7F"/>
    <w:rsid w:val="2B6C1A1A"/>
    <w:rsid w:val="2BAB03A4"/>
    <w:rsid w:val="2C131E96"/>
    <w:rsid w:val="2C733D35"/>
    <w:rsid w:val="2C78619D"/>
    <w:rsid w:val="2C9B3BB6"/>
    <w:rsid w:val="2CA13FAE"/>
    <w:rsid w:val="2D12039F"/>
    <w:rsid w:val="2D2500D2"/>
    <w:rsid w:val="2D2B3ABD"/>
    <w:rsid w:val="2DA736F5"/>
    <w:rsid w:val="2EC456C9"/>
    <w:rsid w:val="2F2A29A9"/>
    <w:rsid w:val="303E72E6"/>
    <w:rsid w:val="30E65DCB"/>
    <w:rsid w:val="30E87D10"/>
    <w:rsid w:val="30FE1015"/>
    <w:rsid w:val="31570A76"/>
    <w:rsid w:val="315B76BA"/>
    <w:rsid w:val="32C35E5D"/>
    <w:rsid w:val="33136C1F"/>
    <w:rsid w:val="333F7A14"/>
    <w:rsid w:val="3442156A"/>
    <w:rsid w:val="34D92551"/>
    <w:rsid w:val="35477E2F"/>
    <w:rsid w:val="35A3335E"/>
    <w:rsid w:val="35AB5F21"/>
    <w:rsid w:val="35DE1766"/>
    <w:rsid w:val="35ED29B3"/>
    <w:rsid w:val="35FE2C4A"/>
    <w:rsid w:val="362D2095"/>
    <w:rsid w:val="364E18B7"/>
    <w:rsid w:val="366614F3"/>
    <w:rsid w:val="37260D07"/>
    <w:rsid w:val="374B6987"/>
    <w:rsid w:val="37616F13"/>
    <w:rsid w:val="377301AD"/>
    <w:rsid w:val="37EC5DE0"/>
    <w:rsid w:val="38B13162"/>
    <w:rsid w:val="38C06F01"/>
    <w:rsid w:val="38D10A1F"/>
    <w:rsid w:val="38EB69D2"/>
    <w:rsid w:val="390217F9"/>
    <w:rsid w:val="394A0A27"/>
    <w:rsid w:val="394F5970"/>
    <w:rsid w:val="3A2A31CC"/>
    <w:rsid w:val="3A6302A8"/>
    <w:rsid w:val="3A6C6650"/>
    <w:rsid w:val="3B903503"/>
    <w:rsid w:val="3C067321"/>
    <w:rsid w:val="3C3A5FA1"/>
    <w:rsid w:val="3C575DCE"/>
    <w:rsid w:val="3C656528"/>
    <w:rsid w:val="3C6E3B03"/>
    <w:rsid w:val="3C8E5B9D"/>
    <w:rsid w:val="3CA60B04"/>
    <w:rsid w:val="3D2949E8"/>
    <w:rsid w:val="3DDA6AD1"/>
    <w:rsid w:val="3E52684D"/>
    <w:rsid w:val="3FDD7D8A"/>
    <w:rsid w:val="40356C6D"/>
    <w:rsid w:val="40B60D80"/>
    <w:rsid w:val="40CA3013"/>
    <w:rsid w:val="41497455"/>
    <w:rsid w:val="417C306E"/>
    <w:rsid w:val="41C857A8"/>
    <w:rsid w:val="422B5D33"/>
    <w:rsid w:val="423E5B89"/>
    <w:rsid w:val="424A21AF"/>
    <w:rsid w:val="43C71A8C"/>
    <w:rsid w:val="43CC2BFE"/>
    <w:rsid w:val="44AF16A2"/>
    <w:rsid w:val="44D20C74"/>
    <w:rsid w:val="45AA51C1"/>
    <w:rsid w:val="46607FE5"/>
    <w:rsid w:val="47457C62"/>
    <w:rsid w:val="4778672B"/>
    <w:rsid w:val="478B021B"/>
    <w:rsid w:val="47953C4F"/>
    <w:rsid w:val="47984232"/>
    <w:rsid w:val="479F062A"/>
    <w:rsid w:val="47D32A4A"/>
    <w:rsid w:val="48391EBB"/>
    <w:rsid w:val="488D206B"/>
    <w:rsid w:val="48BD16AF"/>
    <w:rsid w:val="48BE6A26"/>
    <w:rsid w:val="48E924A4"/>
    <w:rsid w:val="49470F79"/>
    <w:rsid w:val="494D2A33"/>
    <w:rsid w:val="49851C32"/>
    <w:rsid w:val="49BC54C3"/>
    <w:rsid w:val="4AC7350A"/>
    <w:rsid w:val="4ACE7822"/>
    <w:rsid w:val="4B0962AA"/>
    <w:rsid w:val="4B7D5405"/>
    <w:rsid w:val="4C0B2731"/>
    <w:rsid w:val="4C1C1F05"/>
    <w:rsid w:val="4C2E5854"/>
    <w:rsid w:val="4C4273F4"/>
    <w:rsid w:val="4C87000A"/>
    <w:rsid w:val="4CB1782C"/>
    <w:rsid w:val="4CFB377C"/>
    <w:rsid w:val="4D511FDF"/>
    <w:rsid w:val="4DA150FB"/>
    <w:rsid w:val="4ECF1266"/>
    <w:rsid w:val="4F491BDC"/>
    <w:rsid w:val="4F6071CC"/>
    <w:rsid w:val="4F6C234F"/>
    <w:rsid w:val="4FAA5F43"/>
    <w:rsid w:val="4FD71438"/>
    <w:rsid w:val="50086D46"/>
    <w:rsid w:val="50143CDC"/>
    <w:rsid w:val="520420FD"/>
    <w:rsid w:val="52A339B6"/>
    <w:rsid w:val="52C429D1"/>
    <w:rsid w:val="52E73CE8"/>
    <w:rsid w:val="53770F40"/>
    <w:rsid w:val="54345897"/>
    <w:rsid w:val="54574A01"/>
    <w:rsid w:val="54813591"/>
    <w:rsid w:val="5495703C"/>
    <w:rsid w:val="54F64071"/>
    <w:rsid w:val="55166B3B"/>
    <w:rsid w:val="55454732"/>
    <w:rsid w:val="555667CB"/>
    <w:rsid w:val="55E1788A"/>
    <w:rsid w:val="568F4B7E"/>
    <w:rsid w:val="56B608EB"/>
    <w:rsid w:val="56CC3E88"/>
    <w:rsid w:val="56D976B4"/>
    <w:rsid w:val="572506F8"/>
    <w:rsid w:val="57C37302"/>
    <w:rsid w:val="583874B5"/>
    <w:rsid w:val="589F0F60"/>
    <w:rsid w:val="59B85422"/>
    <w:rsid w:val="59CD42B5"/>
    <w:rsid w:val="5A2E5D1D"/>
    <w:rsid w:val="5AB16580"/>
    <w:rsid w:val="5AE8436A"/>
    <w:rsid w:val="5B653C0C"/>
    <w:rsid w:val="5B81656C"/>
    <w:rsid w:val="5C016273"/>
    <w:rsid w:val="5C57793B"/>
    <w:rsid w:val="5D957083"/>
    <w:rsid w:val="5E1744E1"/>
    <w:rsid w:val="5E6803F9"/>
    <w:rsid w:val="5E6910A6"/>
    <w:rsid w:val="5E711928"/>
    <w:rsid w:val="5FCA4435"/>
    <w:rsid w:val="60172FFB"/>
    <w:rsid w:val="60332261"/>
    <w:rsid w:val="60386F42"/>
    <w:rsid w:val="60DF594D"/>
    <w:rsid w:val="61A662CE"/>
    <w:rsid w:val="61FB1CD5"/>
    <w:rsid w:val="621C270D"/>
    <w:rsid w:val="624A76B8"/>
    <w:rsid w:val="626A5692"/>
    <w:rsid w:val="632A1297"/>
    <w:rsid w:val="636C7B02"/>
    <w:rsid w:val="642735EE"/>
    <w:rsid w:val="643956A9"/>
    <w:rsid w:val="646D68CF"/>
    <w:rsid w:val="64BF17B2"/>
    <w:rsid w:val="64DE67DD"/>
    <w:rsid w:val="65244275"/>
    <w:rsid w:val="663B5715"/>
    <w:rsid w:val="665F56FC"/>
    <w:rsid w:val="67A7391E"/>
    <w:rsid w:val="67BE48AD"/>
    <w:rsid w:val="67EB5499"/>
    <w:rsid w:val="684D0DA1"/>
    <w:rsid w:val="69020CEC"/>
    <w:rsid w:val="6953779A"/>
    <w:rsid w:val="695B0891"/>
    <w:rsid w:val="6A2A7E3C"/>
    <w:rsid w:val="6AD55F8D"/>
    <w:rsid w:val="6ADE3093"/>
    <w:rsid w:val="6B390B14"/>
    <w:rsid w:val="6C2076DB"/>
    <w:rsid w:val="6C7228DF"/>
    <w:rsid w:val="6CC13712"/>
    <w:rsid w:val="6D4230AA"/>
    <w:rsid w:val="6D4C4C2C"/>
    <w:rsid w:val="6E676F43"/>
    <w:rsid w:val="6E726E9A"/>
    <w:rsid w:val="6EB04D47"/>
    <w:rsid w:val="6F7246F2"/>
    <w:rsid w:val="6FCE2CC3"/>
    <w:rsid w:val="70096E04"/>
    <w:rsid w:val="703B4AE4"/>
    <w:rsid w:val="706874CF"/>
    <w:rsid w:val="707F7644"/>
    <w:rsid w:val="70B825D8"/>
    <w:rsid w:val="71394FA1"/>
    <w:rsid w:val="713F0604"/>
    <w:rsid w:val="719B2FE6"/>
    <w:rsid w:val="71E847F7"/>
    <w:rsid w:val="72DC25AE"/>
    <w:rsid w:val="72E50822"/>
    <w:rsid w:val="7320557B"/>
    <w:rsid w:val="73DE7D1B"/>
    <w:rsid w:val="73FD0D90"/>
    <w:rsid w:val="74831CD8"/>
    <w:rsid w:val="74E21BA3"/>
    <w:rsid w:val="755D16C5"/>
    <w:rsid w:val="755D7B55"/>
    <w:rsid w:val="75F419BD"/>
    <w:rsid w:val="76A67459"/>
    <w:rsid w:val="76FC091F"/>
    <w:rsid w:val="77A318EC"/>
    <w:rsid w:val="77C826C4"/>
    <w:rsid w:val="77DE2925"/>
    <w:rsid w:val="78E93047"/>
    <w:rsid w:val="79233FFB"/>
    <w:rsid w:val="792E7984"/>
    <w:rsid w:val="797F0682"/>
    <w:rsid w:val="79DA711C"/>
    <w:rsid w:val="79F02EB6"/>
    <w:rsid w:val="7A3D58C0"/>
    <w:rsid w:val="7A6A4943"/>
    <w:rsid w:val="7A967D4B"/>
    <w:rsid w:val="7B2E3BC3"/>
    <w:rsid w:val="7B42141C"/>
    <w:rsid w:val="7BAD1DA5"/>
    <w:rsid w:val="7C02295A"/>
    <w:rsid w:val="7C56381E"/>
    <w:rsid w:val="7CA53A11"/>
    <w:rsid w:val="7D0D4754"/>
    <w:rsid w:val="7D4F4257"/>
    <w:rsid w:val="7D5D078F"/>
    <w:rsid w:val="7DE021D6"/>
    <w:rsid w:val="7DE62533"/>
    <w:rsid w:val="7E3D7F89"/>
    <w:rsid w:val="7E525DB4"/>
    <w:rsid w:val="7EBC1009"/>
    <w:rsid w:val="7F196938"/>
    <w:rsid w:val="7F2946B0"/>
    <w:rsid w:val="7F441243"/>
    <w:rsid w:val="7F5C05D3"/>
    <w:rsid w:val="7F831D78"/>
    <w:rsid w:val="7F9D30C5"/>
    <w:rsid w:val="7FCD4743"/>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eastAsia="仿宋"/>
      <w:sz w:val="32"/>
    </w:rPr>
  </w:style>
  <w:style w:type="paragraph" w:styleId="4">
    <w:name w:val="toc 2"/>
    <w:basedOn w:val="1"/>
    <w:next w:val="1"/>
    <w:qFormat/>
    <w:uiPriority w:val="0"/>
    <w:pPr>
      <w:ind w:left="420" w:leftChars="200"/>
    </w:pPr>
  </w:style>
  <w:style w:type="paragraph" w:styleId="5">
    <w:name w:val="Body Text Indent"/>
    <w:basedOn w:val="1"/>
    <w:semiHidden/>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jc w:val="left"/>
    </w:pPr>
    <w:rPr>
      <w:rFonts w:ascii="Calibri" w:hAnsi="Calibri" w:eastAsia="宋体"/>
      <w:kern w:val="0"/>
      <w:sz w:val="24"/>
      <w:szCs w:val="24"/>
    </w:rPr>
  </w:style>
  <w:style w:type="paragraph" w:styleId="9">
    <w:name w:val="Body Text First Indent 2"/>
    <w:basedOn w:val="5"/>
    <w:next w:val="1"/>
    <w:unhideWhenUsed/>
    <w:qFormat/>
    <w:uiPriority w:val="99"/>
    <w:pPr>
      <w:ind w:firstLine="420" w:firstLineChars="200"/>
    </w:pPr>
  </w:style>
  <w:style w:type="character" w:customStyle="1" w:styleId="12">
    <w:name w:val="font01"/>
    <w:basedOn w:val="11"/>
    <w:qFormat/>
    <w:uiPriority w:val="0"/>
    <w:rPr>
      <w:rFonts w:hint="eastAsia" w:ascii="宋体" w:hAnsi="宋体" w:eastAsia="宋体" w:cs="宋体"/>
      <w:color w:val="000000"/>
      <w:sz w:val="24"/>
      <w:szCs w:val="24"/>
      <w:u w:val="none"/>
    </w:rPr>
  </w:style>
  <w:style w:type="character" w:customStyle="1" w:styleId="13">
    <w:name w:val="font21"/>
    <w:basedOn w:val="11"/>
    <w:qFormat/>
    <w:uiPriority w:val="0"/>
    <w:rPr>
      <w:rFonts w:hint="eastAsia" w:ascii="宋体" w:hAnsi="宋体" w:eastAsia="宋体" w:cs="宋体"/>
      <w:color w:val="000000"/>
      <w:sz w:val="24"/>
      <w:szCs w:val="24"/>
      <w:u w:val="none"/>
    </w:rPr>
  </w:style>
  <w:style w:type="character" w:customStyle="1" w:styleId="14">
    <w:name w:val="font31"/>
    <w:basedOn w:val="11"/>
    <w:qFormat/>
    <w:uiPriority w:val="0"/>
    <w:rPr>
      <w:rFonts w:hint="eastAsia" w:ascii="宋体" w:hAnsi="宋体" w:eastAsia="宋体" w:cs="宋体"/>
      <w:b/>
      <w:color w:val="000000"/>
      <w:sz w:val="24"/>
      <w:szCs w:val="24"/>
      <w:u w:val="none"/>
    </w:rPr>
  </w:style>
  <w:style w:type="character" w:customStyle="1" w:styleId="15">
    <w:name w:val="font41"/>
    <w:basedOn w:val="11"/>
    <w:qFormat/>
    <w:uiPriority w:val="0"/>
    <w:rPr>
      <w:rFonts w:hint="eastAsia" w:ascii="宋体" w:hAnsi="宋体" w:eastAsia="宋体" w:cs="宋体"/>
      <w:color w:val="000000"/>
      <w:sz w:val="18"/>
      <w:szCs w:val="18"/>
      <w:u w:val="none"/>
    </w:rPr>
  </w:style>
  <w:style w:type="character" w:customStyle="1" w:styleId="16">
    <w:name w:val="font1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4277</Words>
  <Characters>5748</Characters>
  <Lines>0</Lines>
  <Paragraphs>0</Paragraphs>
  <TotalTime>39</TotalTime>
  <ScaleCrop>false</ScaleCrop>
  <LinksUpToDate>false</LinksUpToDate>
  <CharactersWithSpaces>6328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40976</dc:creator>
  <cp:lastModifiedBy>DELL</cp:lastModifiedBy>
  <cp:lastPrinted>2025-07-25T03:16:00Z</cp:lastPrinted>
  <dcterms:modified xsi:type="dcterms:W3CDTF">2026-08-25T06:25:41Z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1BA2707C6C06402BBC775E0FBB0A1293_13</vt:lpwstr>
  </property>
  <property fmtid="{D5CDD505-2E9C-101B-9397-08002B2CF9AE}" pid="4" name="KSOTemplateDocerSaveRecord">
    <vt:lpwstr>eyJoZGlkIjoiNDM3MDA2MjNmNzBkMmM3NThhOGQ4NTg5NTc2NjA5ODgiLCJ1c2VySWQiOiI3NDIwMDIxNzcifQ==</vt:lpwstr>
  </property>
</Properties>
</file>