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ascii="微软雅黑" w:hAnsi="微软雅黑" w:eastAsia="微软雅黑" w:cs="微软雅黑"/>
          <w:color w:val="3E3A39"/>
          <w:sz w:val="32"/>
          <w:szCs w:val="32"/>
        </w:rPr>
        <w:t>中华人民共和国国务院令</w:t>
      </w:r>
      <w:r>
        <w:rPr>
          <w:rStyle w:val="7"/>
          <w:rFonts w:hint="eastAsia" w:ascii="微软雅黑" w:hAnsi="微软雅黑" w:eastAsia="微软雅黑" w:cs="微软雅黑"/>
          <w:color w:val="3E3A39"/>
          <w:sz w:val="24"/>
          <w:szCs w:val="24"/>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 xml:space="preserve">第737号 </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《防范和处置非法集资条例》已经2020年12月21日国务院第119次常务会议通过，现予公布，自2021年5月1日起施行。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pPr>
      <w:r>
        <w:rPr>
          <w:rFonts w:hint="eastAsia" w:ascii="微软雅黑" w:hAnsi="微软雅黑" w:eastAsia="微软雅黑" w:cs="微软雅黑"/>
          <w:color w:val="3E3A39"/>
          <w:sz w:val="24"/>
          <w:szCs w:val="24"/>
        </w:rPr>
        <w:t>　　总　理　　李克强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pPr>
      <w:r>
        <w:rPr>
          <w:rFonts w:hint="eastAsia" w:ascii="微软雅黑" w:hAnsi="微软雅黑" w:eastAsia="微软雅黑" w:cs="微软雅黑"/>
          <w:color w:val="3E3A39"/>
          <w:sz w:val="24"/>
          <w:szCs w:val="24"/>
        </w:rPr>
        <w:t>　　2021年1月26日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微软雅黑" w:hAnsi="微软雅黑" w:eastAsia="微软雅黑" w:cs="微软雅黑"/>
          <w:color w:val="3E3A39"/>
          <w:sz w:val="24"/>
          <w:szCs w:val="24"/>
        </w:rPr>
        <w:t>　</w:t>
      </w:r>
      <w:r>
        <w:rPr>
          <w:rStyle w:val="7"/>
          <w:rFonts w:hint="eastAsia" w:ascii="微软雅黑" w:hAnsi="微软雅黑" w:eastAsia="微软雅黑" w:cs="微软雅黑"/>
          <w:color w:val="3E3A39"/>
          <w:sz w:val="32"/>
          <w:szCs w:val="32"/>
        </w:rPr>
        <w:t>　防范和处置非法集资条例</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第一章　总　　则</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第一条　为了防范和处置非法集资，保护社会公众合法权益，防范化解金融风险，维护经济秩序和社会稳定，制定本条例。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第二条　本条例所称非法集资，是指未经国务院金融管理部门依法许可或者违反国家金融管理规定，以许诺还本付息或者给予其他投资回报等方式，向不特定对象吸收资金的行为。</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非法集资的防范以及行政机关对非法集资的处置，适用本条例。法律、行政法规对非法从事银行、证券、保险、外汇等金融业务活动另有规定的，适用其规定。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本条例所称国务院金融管理部门，是指中国人民银行、国务院金融监督管理机构和国务院外汇管理部门。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第三条　本条例所称非法集资人，是指发起、主导或者组织实施非法集资的单位和个人；所称非法集资协助人，是指明知是非法集资而为其提供帮助并获取经济利益的单位和个人。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第四条　国家禁止任何形式的非法集资，对非法集资坚持防范为主、打早打小、综合治理、稳妥处置的原则。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第五条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行业主管部门、监管部门应当按照职责分工，负责本行业、领域非法集资的防范和配合处置工作。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第六条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第七条　各级人民政府应当合理保障防范和处置非法集资工作相关经费，并列入本级预算。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 xml:space="preserve">第二章　防　　范 </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第八条　地方各级人民政府应当建立非法集资监测预警机制，纳入社会治安综合治理体系，发挥网格化管理和基层群众自治组织的作用，运用大数据等现代信息技术手段，加强对非法集资的监测预警。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行业主管部门、监管部门应当强化日常监督管理，负责本行业、领域非法集资的风险排查和监测预警。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联席会议应当建立健全全国非法集资监测预警体系，推动建设国家监测预警平台，促进地方、部门信息共享，加强非法集资风险研判，及时预警提示。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第九条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第十条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互联网信息服务提供者应当加强对用户发布信息的管理，不得制作、复制、发布、传播涉嫌非法集资的信息。发现涉嫌非法集资的信息，应当保存有关记录，并向处置非法集资牵头部门报告。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第十一条　除国家另有规定外，任何单位和个人不得发布包含集资内容的广告或者以其他方式向社会公众进行集资宣传。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市场监督管理部门会同处置非法集资牵头部门加强对涉嫌非法集资广告的监测。经处置非法集资牵头部门组织认定为非法集资的，市场监督管理部门应当及时依法查处相关非法集资广告。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广告经营者、广告发布者应当依照法律、行政法规查验相关证明文件，核对广告内容。对没有相关证明文件且包含集资内容的广告，广告经营者不得提供设计、制作、代理服务，广告发布者不得发布。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第十二条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第十三条　金融机构、非银行支付机构应当履行下列防范非法集资的义务：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（一）建立健全内部管理制度，禁止分支机构和员工参与非法集资，防止他人利用其经营场所、销售渠道从事非法集资；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（二）加强对社会公众防范非法集资的宣传教育，在经营场所醒目位置设置警示标识；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（三）依法严格执行大额交易和可疑交易报告制度，对涉嫌非法集资资金异常流动的相关账户进行分析识别，并将有关情况及时报告所在地国务院金融管理部门分支机构、派出机构和处置非法集资牵头部门。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第十四条　行业协会、商会应当加强行业自律管理、自我约束，督促、引导成员积极防范非法集资，不组织、不协助、不参与非法集资。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第十五条　联席会议应当建立中央和地方上下联动的防范非法集资宣传教育工作机制，推动全国范围内防范非法集资宣传教育工作。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行业主管部门、监管部门以及行业协会、商会应当根据本行业、领域非法集资风险特点，有针对性地开展防范非法集资宣传教育活动。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新闻媒体应当开展防范非法集资公益宣传，并依法对非法集资进行舆论监督。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第十六条　对涉嫌非法集资行为，任何单位和个人有权向处置非法集资牵头部门或者其他有关部门举报。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国家鼓励对涉嫌非法集资行为进行举报。处置非法集资牵头部门以及其他有关部门应当公开举报电话和邮箱等举报方式、在政府网站设置举报专栏，接受举报，及时依法处理，并为举报人保密。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第十七条　居民委员会、村民委员会发现所在区域有涉嫌非法集资行为的，应当向当地人民政府、处置非法集资牵头部门或者其他有关部门报告。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第十八条　处置非法集资牵头部门和行业主管部门、监管部门发现本行政区域或者本行业、领域可能存在非法集资风险的，有权对相关单位和个人进行警示约谈，责令整改。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 xml:space="preserve">第三章　处　　置 </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第十九条　对本行政区域内的下列行为，涉嫌非法集资的，处置非法集资牵头部门应当及时组织有关行业主管部门、监管部门以及国务院金融管理部门分支机构、派出机构进行调查认定：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（一）设立互联网企业、投资及投资咨询类企业、各类交易场所或者平台、农民专业合作社、资金互助组织以及其他组织吸收资金；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（二）以发行或者转让股权、债权，募集基金，销售保险产品，或者以从事各类资产管理、虚拟货币、融资租赁业务等名义吸收资金；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（三）在销售商品、提供服务、投资项目等商业活动中，以承诺给付货币、股权、实物等回报的形式吸收资金；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（四）违反法律、行政法规或者国家有关规定，通过大众传播媒介、即时通信工具或者其他方式公开传播吸收资金信息；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（五）其他涉嫌非法集资的行为。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第二十条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处置非法集资牵头部门对组织调查认定职责存在争议的，由其共同的上级处置非法集资牵头部门确定；对跨省、自治区、直辖市组织调查认定职责存在争议的，由联席会议确定。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第二十一条　处置非法集资牵头部门组织调查涉嫌非法集资行为，可以采取下列措施：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（一）进入涉嫌非法集资的场所进行调查取证；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（二）询问与被调查事件有关的单位和个人，要求其对有关事项作出说明；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（三）查阅、复制与被调查事件有关的文件、资料、电子数据等，对可能被转移、隐匿或者毁损的文件、资料、电子设备等予以封存；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（四）经处置非法集资牵头部门主要负责人批准，依法查询涉嫌非法集资的有关账户。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调查人员不得少于2人，并应当出示执法证件。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与被调查事件有关的单位和个人应当配合调查，不得拒绝、阻碍。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第二十二条　处置非法集资牵头部门对涉嫌非法集资行为组织调查，有权要求暂停集资行为，通知市场监督管理部门或者其他有关部门暂停为涉嫌非法集资的有关单位办理设立、变更或者注销登记。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第二十三条　经调查认定属于非法集资的，处置非法集资牵头部门应当责令非法集资人、非法集资协助人立即停止有关非法活动；发现涉嫌犯罪的，应当按照规定及时将案件移送公安机关，并配合做好相关工作。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行政机关对非法集资行为的调查认定，不是依法追究刑事责任的必经程序。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第二十四条　根据处置非法集资的需要，处置非法集资牵头部门可以采取下列措施：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（一）查封有关经营场所，查封、扣押有关资产；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（二）责令非法集资人、非法集资协助人追回、变价出售有关资产用于清退集资资金；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采取前款第一项、第二项规定的措施，应当经处置非法集资牵头部门主要负责人批准。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第二十五条　非法集资人、非法集资协助人应当向集资参与人清退集资资金。清退过程应当接受处置非法集资牵头部门监督。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任何单位和个人不得从非法集资中获取经济利益。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因参与非法集资受到的损失，由集资参与人自行承担。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第二十六条　清退集资资金来源包括：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（一）非法集资资金余额；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（二）非法集资资金的收益或者转换的其他资产及其收益；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（三）非法集资人及其股东、实际控制人、董事、监事、高级管理人员和其他相关人员从非法集资中获得的经济利益；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（四）非法集资人隐匿、转移的非法集资资金或者相关资产；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（五）在非法集资中获得的广告费、代言费、代理费、好处费、返点费、佣金、提成等经济利益；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（六）可以作为清退集资资金的其他资产。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第二十七条　为非法集资设立的企业、个体工商户和农民专业合作社，由市场监督管理部门吊销营业执照。为非法集资设立的网站、开发的移动应用程序等互联网应用，由电信主管部门依法予以关闭。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第二十八条　国务院金融管理部门及其分支机构、派出机构，地方人民政府有关部门以及其他有关单位和个人，对处置非法集资工作应当给予支持、配合。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任何单位和个人不得阻挠、妨碍处置非法集资工作。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第二十九条　处置非法集资过程中，有关地方人民政府应当采取有效措施维护社会稳定。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 xml:space="preserve">第四章　法律责任 </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第三十条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第三十一条　对非法集资协助人，由处置非法集资牵头部门给予警告，处违法所得1倍以上3倍以下的罚款；构成犯罪的，依法追究刑事责任。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第三十二条　非法集资人、非法集资协助人不能同时履行所承担的清退集资资金和缴纳罚款义务时，先清退集资资金。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第三十三条　对依照本条例受到行政处罚的非法集资人、非法集资协助人，由有关部门建立信用记录，按照规定将其信用记录纳入全国信用信息共享平台。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第三十四条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广告经营者、广告发布者未按照规定查验相关证明文件、核对广告内容的，由市场监督管理部门责令改正，并依照《中华人民共和国广告法》的规定予以处罚。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第三十五条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第三十六条　与被调查事件有关的单位和个人不配合调查，拒绝提供相关文件、资料、电子数据等或者提供虚假文件、资料、电子数据等的，由处置非法集资牵头部门责令改正，给予警告，处5万元以上50万元以下的罚款。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阻碍调查人员依法执行职务，构成违反治安管理行为的，由公安机关依法给予治安管理处罚；构成犯罪的，依法追究刑事责任。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第三十七条　国家机关工作人员有下列行为之一的，依法给予处分：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（一）明知所主管、监管的单位有涉嫌非法集资行为，未依法及时处理；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（二）未按照规定及时履行对非法集资的防范职责，或者不配合非法集资处置，造成严重后果；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（三）在防范和处置非法集资过程中滥用职权、玩忽职守、徇私舞弊；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（四）通过职务行为或者利用职务影响，支持、包庇、纵容非法集资。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前款规定的行为构成犯罪的，依法追究刑事责任。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7"/>
          <w:rFonts w:hint="eastAsia" w:ascii="微软雅黑" w:hAnsi="微软雅黑" w:eastAsia="微软雅黑" w:cs="微软雅黑"/>
          <w:color w:val="3E3A39"/>
          <w:sz w:val="24"/>
          <w:szCs w:val="24"/>
        </w:rPr>
        <w:t>第五章　附　　则</w:t>
      </w:r>
      <w:r>
        <w:rPr>
          <w:rFonts w:hint="eastAsia" w:ascii="微软雅黑" w:hAnsi="微软雅黑" w:eastAsia="微软雅黑" w:cs="微软雅黑"/>
          <w:color w:val="3E3A39"/>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第三十八条　各省、自治区、直辖市可以根据本条例制定防范和处置非法集资工作实施细则。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第三十九条　未经依法许可或者违反国家金融管理规定，擅自从事发放贷款、支付结算、票据贴现等金融业务活动的，由国务院金融管理部门或者地方金融管理部门按照监督管理职责分工进行处置。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法律、行政法规对其他非法金融业务活动的防范和处置没有明确规定的，参照本条例的有关规定执行。其他非法金融业务活动的具体类型由国务院金融管理部门确定。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第四十条　本条例自2021年5月1日起施行。1998年7月13日国务院发布的《非法金融机构和非法金融业务活动取缔办法》同时废止。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微软雅黑" w:hAnsi="微软雅黑" w:eastAsia="微软雅黑" w:cs="微软雅黑"/>
          <w:color w:val="3E3A39"/>
          <w:sz w:val="24"/>
          <w:szCs w:val="24"/>
        </w:rPr>
        <w:t> </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E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yperlink"/>
    <w:basedOn w:val="6"/>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2021-11-01T06:43:28Z</dcterms:created>
  <dc:creator>Administrator</dc:creator>
  <cp:lastModifiedBy>市金融办张琢</cp:lastModifiedBy>
  <dcterms:modified xsi:type="dcterms:W3CDTF">2021-11-01T06:45:08Z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602C25B07D234995AEC0CD8D99DB3216</vt:lpwstr>
  </property>
</Properties>
</file>