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60" w:lineRule="auto"/>
        <w:rPr>
          <w:rFonts w:ascii="仿宋" w:hAnsi="仿宋" w:eastAsia="仿宋" w:cstheme="minorBidi"/>
          <w:kern w:val="2"/>
          <w:sz w:val="32"/>
          <w:szCs w:val="32"/>
        </w:rPr>
      </w:pPr>
    </w:p>
    <w:p>
      <w:pPr>
        <w:pStyle w:val="4"/>
        <w:shd w:val="clear" w:color="auto" w:fill="FFFFFF"/>
        <w:spacing w:before="0" w:beforeAutospacing="0" w:after="0" w:afterAutospacing="0" w:line="360" w:lineRule="auto"/>
        <w:rPr>
          <w:rFonts w:ascii="仿宋" w:hAnsi="仿宋" w:eastAsia="仿宋" w:cstheme="minorBidi"/>
          <w:kern w:val="2"/>
          <w:sz w:val="32"/>
          <w:szCs w:val="32"/>
        </w:rPr>
      </w:pPr>
    </w:p>
    <w:p>
      <w:pPr>
        <w:pStyle w:val="4"/>
        <w:shd w:val="clear" w:color="auto" w:fill="FFFFFF"/>
        <w:spacing w:before="0" w:beforeAutospacing="0" w:after="0" w:afterAutospacing="0" w:line="360" w:lineRule="auto"/>
        <w:jc w:val="center"/>
        <w:rPr>
          <w:rFonts w:ascii="方正小标宋_GBK" w:eastAsia="方正小标宋_GBK" w:hAnsiTheme="minorEastAsia"/>
          <w:color w:val="auto"/>
          <w:sz w:val="36"/>
          <w:szCs w:val="36"/>
        </w:rPr>
      </w:pPr>
      <w:r>
        <w:rPr>
          <w:rFonts w:hint="eastAsia" w:ascii="方正小标宋_GBK" w:eastAsia="方正小标宋_GBK" w:hAnsiTheme="minorEastAsia"/>
          <w:color w:val="auto"/>
          <w:sz w:val="36"/>
          <w:szCs w:val="36"/>
        </w:rPr>
        <w:t>广交会长春市交易团一般性展位管理办法（试行）</w:t>
      </w:r>
    </w:p>
    <w:p>
      <w:pPr>
        <w:pStyle w:val="4"/>
        <w:spacing w:before="0" w:beforeAutospacing="0" w:after="0" w:afterAutospacing="0" w:line="360" w:lineRule="auto"/>
        <w:ind w:firstLine="640" w:firstLineChars="200"/>
        <w:rPr>
          <w:rFonts w:ascii="仿宋" w:hAnsi="仿宋" w:eastAsia="仿宋"/>
          <w:color w:val="auto"/>
          <w:sz w:val="32"/>
          <w:szCs w:val="32"/>
        </w:rPr>
      </w:pPr>
    </w:p>
    <w:p>
      <w:pPr>
        <w:pStyle w:val="4"/>
        <w:spacing w:before="0" w:beforeAutospacing="0" w:after="0" w:afterAutospacing="0" w:line="360" w:lineRule="auto"/>
        <w:ind w:firstLine="640" w:firstLineChars="200"/>
        <w:rPr>
          <w:rFonts w:ascii="仿宋" w:hAnsi="仿宋" w:eastAsia="仿宋"/>
          <w:color w:val="auto"/>
          <w:sz w:val="32"/>
          <w:szCs w:val="32"/>
        </w:rPr>
      </w:pPr>
    </w:p>
    <w:p>
      <w:pPr>
        <w:pStyle w:val="4"/>
        <w:spacing w:before="0" w:beforeAutospacing="0" w:after="0" w:afterAutospacing="0" w:line="360" w:lineRule="auto"/>
        <w:jc w:val="center"/>
        <w:rPr>
          <w:rFonts w:ascii="黑体" w:hAnsi="黑体" w:eastAsia="黑体"/>
          <w:color w:val="auto"/>
          <w:sz w:val="32"/>
          <w:szCs w:val="32"/>
        </w:rPr>
      </w:pPr>
      <w:r>
        <w:rPr>
          <w:rFonts w:hint="eastAsia" w:ascii="黑体" w:hAnsi="黑体" w:eastAsia="黑体"/>
          <w:color w:val="auto"/>
          <w:sz w:val="32"/>
          <w:szCs w:val="32"/>
        </w:rPr>
        <w:t>第一章 总则</w:t>
      </w:r>
    </w:p>
    <w:p>
      <w:pPr>
        <w:pStyle w:val="4"/>
        <w:spacing w:before="0" w:beforeAutospacing="0" w:after="0" w:afterAutospacing="0" w:line="360" w:lineRule="auto"/>
        <w:ind w:firstLine="640"/>
        <w:jc w:val="both"/>
        <w:rPr>
          <w:rFonts w:ascii="仿宋" w:hAnsi="仿宋" w:eastAsia="仿宋"/>
          <w:color w:val="auto"/>
          <w:sz w:val="32"/>
          <w:szCs w:val="32"/>
        </w:rPr>
      </w:pPr>
      <w:r>
        <w:rPr>
          <w:rFonts w:hint="eastAsia" w:ascii="楷体" w:hAnsi="楷体" w:eastAsia="楷体"/>
          <w:color w:val="auto"/>
          <w:sz w:val="32"/>
          <w:szCs w:val="32"/>
        </w:rPr>
        <w:t>第一条</w:t>
      </w:r>
      <w:r>
        <w:rPr>
          <w:rFonts w:hint="eastAsia" w:ascii="仿宋" w:hAnsi="仿宋" w:eastAsia="仿宋"/>
          <w:color w:val="auto"/>
          <w:sz w:val="32"/>
          <w:szCs w:val="32"/>
        </w:rPr>
        <w:t xml:space="preserve"> 为优化参展企业结构，完善展位分配机制，</w:t>
      </w:r>
      <w:r>
        <w:rPr>
          <w:rFonts w:ascii="仿宋" w:hAnsi="仿宋" w:eastAsia="仿宋" w:cs="Times New Roman"/>
          <w:color w:val="auto"/>
          <w:sz w:val="32"/>
          <w:szCs w:val="32"/>
        </w:rPr>
        <w:t>提高广交会展位使用效率，加快</w:t>
      </w:r>
      <w:r>
        <w:rPr>
          <w:rFonts w:hint="eastAsia" w:ascii="仿宋" w:hAnsi="仿宋" w:eastAsia="仿宋"/>
          <w:color w:val="auto"/>
          <w:sz w:val="32"/>
          <w:szCs w:val="32"/>
        </w:rPr>
        <w:t>培育长春市外贸新动能，按照商务部《中国进出口商品交易会出口展一般性展位数量安排办法》（商办贸函〔2023〕437号）有关规定，结合我市外贸发展实际，制定本办法。</w:t>
      </w:r>
    </w:p>
    <w:p>
      <w:pPr>
        <w:pStyle w:val="4"/>
        <w:shd w:val="clear" w:color="auto" w:fill="FFFFFF"/>
        <w:spacing w:before="0" w:beforeAutospacing="0" w:after="0" w:afterAutospacing="0" w:line="555" w:lineRule="atLeast"/>
        <w:ind w:firstLine="645"/>
        <w:jc w:val="both"/>
        <w:rPr>
          <w:rFonts w:ascii="仿宋" w:hAnsi="仿宋" w:eastAsia="仿宋" w:cs="Times New Roman"/>
          <w:color w:val="auto"/>
          <w:sz w:val="32"/>
          <w:szCs w:val="32"/>
        </w:rPr>
      </w:pPr>
      <w:r>
        <w:rPr>
          <w:rFonts w:hint="eastAsia" w:ascii="楷体" w:hAnsi="楷体" w:eastAsia="楷体"/>
          <w:color w:val="auto"/>
          <w:sz w:val="32"/>
          <w:szCs w:val="32"/>
        </w:rPr>
        <w:t>第二条</w:t>
      </w:r>
      <w:r>
        <w:rPr>
          <w:rFonts w:hint="eastAsia" w:ascii="仿宋" w:hAnsi="仿宋" w:eastAsia="仿宋"/>
          <w:color w:val="auto"/>
          <w:sz w:val="32"/>
          <w:szCs w:val="32"/>
        </w:rPr>
        <w:t xml:space="preserve"> </w:t>
      </w:r>
      <w:r>
        <w:rPr>
          <w:rFonts w:ascii="仿宋" w:hAnsi="仿宋" w:eastAsia="仿宋" w:cs="Times New Roman"/>
          <w:color w:val="auto"/>
          <w:sz w:val="32"/>
          <w:szCs w:val="32"/>
        </w:rPr>
        <w:t>长春市商务局牵头组建广交会长春市交易团（以下简称“长春交易团”），长春交易团负责对商务部下达的广交会出口展一般性展位进行组织申报、展位安排和监督管理。</w:t>
      </w:r>
    </w:p>
    <w:p>
      <w:pPr>
        <w:pStyle w:val="4"/>
        <w:shd w:val="clear" w:color="auto" w:fill="FFFFFF"/>
        <w:spacing w:before="0" w:beforeAutospacing="0" w:after="0" w:afterAutospacing="0" w:line="555" w:lineRule="atLeast"/>
        <w:jc w:val="center"/>
        <w:rPr>
          <w:rFonts w:ascii="黑体" w:hAnsi="黑体" w:eastAsia="黑体"/>
          <w:color w:val="auto"/>
          <w:sz w:val="32"/>
          <w:szCs w:val="32"/>
        </w:rPr>
      </w:pPr>
    </w:p>
    <w:p>
      <w:pPr>
        <w:pStyle w:val="4"/>
        <w:shd w:val="clear" w:color="auto" w:fill="FFFFFF"/>
        <w:spacing w:before="0" w:beforeAutospacing="0" w:after="0" w:afterAutospacing="0" w:line="555" w:lineRule="atLeast"/>
        <w:jc w:val="center"/>
        <w:rPr>
          <w:rFonts w:ascii="黑体" w:hAnsi="黑体" w:eastAsia="黑体"/>
          <w:color w:val="auto"/>
          <w:sz w:val="32"/>
          <w:szCs w:val="32"/>
        </w:rPr>
      </w:pPr>
      <w:r>
        <w:rPr>
          <w:rFonts w:ascii="黑体" w:hAnsi="黑体" w:eastAsia="黑体"/>
          <w:color w:val="auto"/>
          <w:sz w:val="32"/>
          <w:szCs w:val="32"/>
        </w:rPr>
        <w:t>第二章</w:t>
      </w:r>
      <w:r>
        <w:rPr>
          <w:rFonts w:hint="eastAsia" w:ascii="黑体" w:hAnsi="黑体" w:eastAsia="黑体"/>
          <w:color w:val="auto"/>
          <w:sz w:val="32"/>
          <w:szCs w:val="32"/>
        </w:rPr>
        <w:t xml:space="preserve"> </w:t>
      </w:r>
      <w:r>
        <w:rPr>
          <w:rFonts w:ascii="黑体" w:hAnsi="黑体" w:eastAsia="黑体" w:cs="Times New Roman"/>
          <w:color w:val="auto"/>
          <w:sz w:val="32"/>
          <w:szCs w:val="32"/>
        </w:rPr>
        <w:t>一般性展位使用条件</w:t>
      </w:r>
    </w:p>
    <w:p>
      <w:pPr>
        <w:pStyle w:val="4"/>
        <w:shd w:val="clear" w:color="auto" w:fill="FFFFFF"/>
        <w:spacing w:before="0" w:beforeAutospacing="0" w:after="0" w:afterAutospacing="0" w:line="555" w:lineRule="atLeast"/>
        <w:ind w:firstLine="645"/>
        <w:jc w:val="both"/>
        <w:rPr>
          <w:rFonts w:ascii="仿宋" w:hAnsi="仿宋" w:eastAsia="仿宋"/>
          <w:color w:val="auto"/>
          <w:sz w:val="32"/>
          <w:szCs w:val="32"/>
        </w:rPr>
      </w:pPr>
      <w:r>
        <w:rPr>
          <w:rFonts w:hint="eastAsia" w:ascii="楷体" w:hAnsi="楷体" w:eastAsia="楷体"/>
          <w:color w:val="auto"/>
          <w:sz w:val="32"/>
          <w:szCs w:val="32"/>
        </w:rPr>
        <w:t>第三条</w:t>
      </w:r>
      <w:r>
        <w:rPr>
          <w:rFonts w:hint="eastAsia" w:ascii="仿宋" w:hAnsi="仿宋" w:eastAsia="仿宋"/>
          <w:color w:val="auto"/>
          <w:sz w:val="32"/>
          <w:szCs w:val="32"/>
        </w:rPr>
        <w:t xml:space="preserve"> 参展企业应具备以下条件：</w:t>
      </w:r>
    </w:p>
    <w:p>
      <w:pPr>
        <w:pStyle w:val="4"/>
        <w:shd w:val="clear" w:color="auto" w:fill="FFFFFF"/>
        <w:spacing w:before="0" w:beforeAutospacing="0" w:after="0" w:afterAutospacing="0" w:line="555" w:lineRule="atLeast"/>
        <w:ind w:firstLine="645"/>
        <w:jc w:val="both"/>
        <w:rPr>
          <w:rFonts w:ascii="仿宋" w:hAnsi="仿宋" w:eastAsia="仿宋"/>
          <w:color w:val="auto"/>
          <w:sz w:val="21"/>
          <w:szCs w:val="21"/>
        </w:rPr>
      </w:pPr>
      <w:r>
        <w:rPr>
          <w:rFonts w:hint="eastAsia" w:ascii="仿宋" w:hAnsi="仿宋" w:eastAsia="仿宋"/>
          <w:color w:val="auto"/>
          <w:sz w:val="32"/>
          <w:szCs w:val="32"/>
        </w:rPr>
        <w:t>（一）依法在长春市注册登记，具有独立法人资格，并获得海关备案编码。</w:t>
      </w:r>
    </w:p>
    <w:p>
      <w:pPr>
        <w:pStyle w:val="4"/>
        <w:shd w:val="clear" w:color="auto" w:fill="FFFFFF"/>
        <w:spacing w:before="0" w:beforeAutospacing="0" w:after="0" w:afterAutospacing="0" w:line="555" w:lineRule="atLeast"/>
        <w:ind w:firstLine="645"/>
        <w:jc w:val="both"/>
        <w:rPr>
          <w:rFonts w:ascii="仿宋" w:hAnsi="仿宋" w:eastAsia="仿宋"/>
          <w:color w:val="auto"/>
          <w:sz w:val="32"/>
          <w:szCs w:val="32"/>
        </w:rPr>
      </w:pPr>
      <w:r>
        <w:rPr>
          <w:rFonts w:hint="eastAsia" w:ascii="仿宋" w:hAnsi="仿宋" w:eastAsia="仿宋"/>
          <w:color w:val="auto"/>
          <w:sz w:val="32"/>
          <w:szCs w:val="32"/>
        </w:rPr>
        <w:t>（二）上一年度海关统计出口金额，流通型企业出口额不低于75万美元，非流通型企业出口额不低于40万美元。</w:t>
      </w:r>
    </w:p>
    <w:p>
      <w:pPr>
        <w:pStyle w:val="4"/>
        <w:shd w:val="clear" w:color="auto" w:fill="FFFFFF"/>
        <w:spacing w:before="0" w:beforeAutospacing="0" w:after="0" w:afterAutospacing="0" w:line="555" w:lineRule="atLeast"/>
        <w:ind w:firstLine="645"/>
        <w:jc w:val="both"/>
        <w:rPr>
          <w:rFonts w:ascii="仿宋" w:hAnsi="仿宋" w:eastAsia="仿宋"/>
          <w:color w:val="auto"/>
          <w:sz w:val="32"/>
          <w:szCs w:val="32"/>
        </w:rPr>
      </w:pPr>
      <w:r>
        <w:rPr>
          <w:rFonts w:hint="eastAsia" w:ascii="仿宋" w:hAnsi="仿宋" w:eastAsia="仿宋"/>
          <w:color w:val="auto"/>
          <w:sz w:val="32"/>
          <w:szCs w:val="32"/>
        </w:rPr>
        <w:t>（三）为扶持有发展潜力的新企业或中小企业发展，可安排一定比例符合本条（一）规定、但未达到本条（二）规定的最低出口额要求的企业参展（最多不超过参展企业总数的</w:t>
      </w:r>
      <w:r>
        <w:rPr>
          <w:rFonts w:ascii="仿宋" w:hAnsi="仿宋" w:eastAsia="仿宋"/>
          <w:color w:val="auto"/>
          <w:sz w:val="32"/>
          <w:szCs w:val="32"/>
        </w:rPr>
        <w:t>40</w:t>
      </w:r>
      <w:r>
        <w:rPr>
          <w:rFonts w:hint="eastAsia" w:ascii="仿宋" w:hAnsi="仿宋" w:eastAsia="仿宋"/>
          <w:color w:val="auto"/>
          <w:sz w:val="32"/>
          <w:szCs w:val="32"/>
        </w:rPr>
        <w:t>%）。</w:t>
      </w:r>
    </w:p>
    <w:p>
      <w:pPr>
        <w:pStyle w:val="4"/>
        <w:shd w:val="clear" w:color="auto" w:fill="FFFFFF"/>
        <w:spacing w:before="0" w:beforeAutospacing="0" w:after="0" w:afterAutospacing="0" w:line="555" w:lineRule="atLeast"/>
        <w:ind w:firstLine="645"/>
        <w:jc w:val="both"/>
        <w:rPr>
          <w:rFonts w:ascii="微软雅黑" w:hAnsi="微软雅黑" w:eastAsia="微软雅黑"/>
          <w:color w:val="auto"/>
          <w:sz w:val="21"/>
          <w:szCs w:val="21"/>
        </w:rPr>
      </w:pPr>
      <w:r>
        <w:rPr>
          <w:rFonts w:ascii="楷体" w:hAnsi="楷体" w:eastAsia="楷体"/>
          <w:color w:val="auto"/>
          <w:sz w:val="32"/>
          <w:szCs w:val="32"/>
        </w:rPr>
        <w:t>第四条</w:t>
      </w:r>
      <w:r>
        <w:rPr>
          <w:rFonts w:hint="eastAsia" w:ascii="仿宋" w:hAnsi="仿宋" w:eastAsia="仿宋"/>
          <w:color w:val="auto"/>
          <w:sz w:val="32"/>
          <w:szCs w:val="32"/>
        </w:rPr>
        <w:t xml:space="preserve"> 属下列情况之一的企业禁止参展：</w:t>
      </w:r>
    </w:p>
    <w:p>
      <w:pPr>
        <w:pStyle w:val="4"/>
        <w:shd w:val="clear" w:color="auto" w:fill="FFFFFF"/>
        <w:spacing w:before="0" w:beforeAutospacing="0" w:after="0" w:afterAutospacing="0" w:line="555" w:lineRule="atLeast"/>
        <w:ind w:firstLine="645"/>
        <w:jc w:val="both"/>
        <w:rPr>
          <w:rFonts w:ascii="仿宋" w:hAnsi="仿宋" w:eastAsia="仿宋"/>
          <w:color w:val="auto"/>
          <w:sz w:val="21"/>
          <w:szCs w:val="21"/>
        </w:rPr>
      </w:pPr>
      <w:r>
        <w:rPr>
          <w:rFonts w:hint="eastAsia" w:ascii="仿宋" w:hAnsi="仿宋" w:eastAsia="仿宋"/>
          <w:color w:val="auto"/>
          <w:sz w:val="32"/>
          <w:szCs w:val="32"/>
        </w:rPr>
        <w:t>（一）商务部向社会公告的违规违法企业，在公告期内禁止参展。</w:t>
      </w:r>
    </w:p>
    <w:p>
      <w:pPr>
        <w:pStyle w:val="4"/>
        <w:shd w:val="clear" w:color="auto" w:fill="FFFFFF"/>
        <w:spacing w:before="0" w:beforeAutospacing="0" w:after="0" w:afterAutospacing="0" w:line="555" w:lineRule="atLeast"/>
        <w:ind w:firstLine="645"/>
        <w:jc w:val="both"/>
        <w:rPr>
          <w:rFonts w:ascii="仿宋" w:hAnsi="仿宋" w:eastAsia="仿宋"/>
          <w:color w:val="auto"/>
          <w:sz w:val="21"/>
          <w:szCs w:val="21"/>
        </w:rPr>
      </w:pPr>
      <w:r>
        <w:rPr>
          <w:rFonts w:hint="eastAsia" w:ascii="仿宋" w:hAnsi="仿宋" w:eastAsia="仿宋"/>
          <w:color w:val="auto"/>
          <w:sz w:val="32"/>
          <w:szCs w:val="32"/>
        </w:rPr>
        <w:t>（二）国家环保、海关、税务、市监、外汇、药监等部门通报的违规违法企业,在处罚期限内禁止参展。</w:t>
      </w:r>
    </w:p>
    <w:p>
      <w:pPr>
        <w:pStyle w:val="4"/>
        <w:shd w:val="clear" w:color="auto" w:fill="FFFFFF"/>
        <w:spacing w:before="0" w:beforeAutospacing="0" w:after="0" w:afterAutospacing="0" w:line="555" w:lineRule="atLeast"/>
        <w:ind w:firstLine="645"/>
        <w:jc w:val="both"/>
        <w:rPr>
          <w:rFonts w:ascii="仿宋" w:hAnsi="仿宋" w:eastAsia="仿宋"/>
          <w:color w:val="auto"/>
          <w:sz w:val="21"/>
          <w:szCs w:val="21"/>
        </w:rPr>
      </w:pPr>
      <w:r>
        <w:rPr>
          <w:rFonts w:hint="eastAsia" w:ascii="仿宋" w:hAnsi="仿宋" w:eastAsia="仿宋"/>
          <w:color w:val="auto"/>
          <w:sz w:val="32"/>
          <w:szCs w:val="32"/>
        </w:rPr>
        <w:t>（三）被司法机关、仲裁机关或知识产权行政管理机关认定侵权的企业。</w:t>
      </w:r>
    </w:p>
    <w:p>
      <w:pPr>
        <w:pStyle w:val="4"/>
        <w:shd w:val="clear" w:color="auto" w:fill="FFFFFF"/>
        <w:spacing w:before="0" w:beforeAutospacing="0" w:after="0" w:afterAutospacing="0" w:line="555" w:lineRule="atLeast"/>
        <w:ind w:firstLine="645"/>
        <w:jc w:val="both"/>
        <w:rPr>
          <w:rFonts w:ascii="仿宋" w:hAnsi="仿宋" w:eastAsia="仿宋"/>
          <w:color w:val="auto"/>
          <w:sz w:val="21"/>
          <w:szCs w:val="21"/>
        </w:rPr>
      </w:pPr>
      <w:r>
        <w:rPr>
          <w:rFonts w:hint="eastAsia" w:ascii="仿宋" w:hAnsi="仿宋" w:eastAsia="仿宋"/>
          <w:color w:val="auto"/>
          <w:sz w:val="32"/>
          <w:szCs w:val="32"/>
        </w:rPr>
        <w:t>（四）违规转让或转租（卖）广交会展位且在处罚期限内的企业。</w:t>
      </w:r>
    </w:p>
    <w:p>
      <w:pPr>
        <w:pStyle w:val="4"/>
        <w:shd w:val="clear" w:color="auto" w:fill="FFFFFF"/>
        <w:spacing w:before="0" w:beforeAutospacing="0" w:after="0" w:afterAutospacing="0" w:line="555" w:lineRule="atLeast"/>
        <w:ind w:firstLine="645"/>
        <w:jc w:val="both"/>
        <w:rPr>
          <w:rFonts w:ascii="仿宋" w:hAnsi="仿宋" w:eastAsia="仿宋"/>
          <w:color w:val="auto"/>
          <w:sz w:val="32"/>
          <w:szCs w:val="32"/>
        </w:rPr>
      </w:pPr>
      <w:r>
        <w:rPr>
          <w:rFonts w:ascii="楷体" w:hAnsi="楷体" w:eastAsia="楷体"/>
          <w:color w:val="auto"/>
          <w:sz w:val="32"/>
          <w:szCs w:val="32"/>
        </w:rPr>
        <w:t>第五条</w:t>
      </w:r>
      <w:r>
        <w:rPr>
          <w:rFonts w:hint="eastAsia" w:ascii="仿宋" w:hAnsi="仿宋" w:eastAsia="仿宋"/>
          <w:color w:val="auto"/>
          <w:sz w:val="32"/>
          <w:szCs w:val="32"/>
        </w:rPr>
        <w:t xml:space="preserve"> 属下列情况之一的展品禁止参展：</w:t>
      </w:r>
    </w:p>
    <w:p>
      <w:pPr>
        <w:pStyle w:val="4"/>
        <w:shd w:val="clear" w:color="auto" w:fill="FFFFFF"/>
        <w:spacing w:before="0" w:beforeAutospacing="0" w:after="0" w:afterAutospacing="0" w:line="555" w:lineRule="atLeast"/>
        <w:ind w:firstLine="645"/>
        <w:jc w:val="both"/>
        <w:rPr>
          <w:rFonts w:ascii="仿宋" w:hAnsi="仿宋" w:eastAsia="仿宋"/>
          <w:color w:val="auto"/>
          <w:sz w:val="21"/>
          <w:szCs w:val="21"/>
        </w:rPr>
      </w:pPr>
      <w:r>
        <w:rPr>
          <w:rFonts w:hint="eastAsia" w:ascii="仿宋" w:hAnsi="仿宋" w:eastAsia="仿宋"/>
          <w:color w:val="auto"/>
          <w:sz w:val="32"/>
          <w:szCs w:val="32"/>
        </w:rPr>
        <w:t>（一）《中国进出口商品交易会参展展品范围（出口展）》规定之外的展品。</w:t>
      </w:r>
    </w:p>
    <w:p>
      <w:pPr>
        <w:pStyle w:val="4"/>
        <w:shd w:val="clear" w:color="auto" w:fill="FFFFFF"/>
        <w:spacing w:before="0" w:beforeAutospacing="0" w:after="0" w:afterAutospacing="0" w:line="555" w:lineRule="atLeast"/>
        <w:ind w:firstLine="645"/>
        <w:jc w:val="both"/>
        <w:rPr>
          <w:rFonts w:ascii="仿宋" w:hAnsi="仿宋" w:eastAsia="仿宋"/>
          <w:color w:val="auto"/>
          <w:sz w:val="21"/>
          <w:szCs w:val="21"/>
        </w:rPr>
      </w:pPr>
      <w:r>
        <w:rPr>
          <w:rFonts w:hint="eastAsia" w:ascii="仿宋" w:hAnsi="仿宋" w:eastAsia="仿宋"/>
          <w:color w:val="auto"/>
          <w:sz w:val="32"/>
          <w:szCs w:val="32"/>
        </w:rPr>
        <w:t>（二）不符合《中华人民共和国产品质量法》《中华人民共和国进出口商品检验法》及其他有关出口产品质量法律法规规定的展品。</w:t>
      </w:r>
    </w:p>
    <w:p>
      <w:pPr>
        <w:pStyle w:val="4"/>
        <w:shd w:val="clear" w:color="auto" w:fill="FFFFFF"/>
        <w:spacing w:before="0" w:beforeAutospacing="0" w:after="0" w:afterAutospacing="0" w:line="555" w:lineRule="atLeast"/>
        <w:ind w:firstLine="645"/>
        <w:jc w:val="both"/>
        <w:rPr>
          <w:rFonts w:ascii="仿宋" w:hAnsi="仿宋" w:eastAsia="仿宋"/>
          <w:color w:val="auto"/>
          <w:sz w:val="21"/>
          <w:szCs w:val="21"/>
        </w:rPr>
      </w:pPr>
      <w:r>
        <w:rPr>
          <w:rFonts w:hint="eastAsia" w:ascii="仿宋" w:hAnsi="仿宋" w:eastAsia="仿宋"/>
          <w:color w:val="auto"/>
          <w:sz w:val="32"/>
          <w:szCs w:val="32"/>
        </w:rPr>
        <w:t>（三）涉及商标、专利、版权，但未取得合法权利证书或使用许可合同的展品。</w:t>
      </w:r>
    </w:p>
    <w:p>
      <w:pPr>
        <w:pStyle w:val="4"/>
        <w:shd w:val="clear" w:color="auto" w:fill="FFFFFF"/>
        <w:spacing w:before="0" w:beforeAutospacing="0" w:after="0" w:afterAutospacing="0" w:line="555" w:lineRule="atLeast"/>
        <w:ind w:firstLine="645"/>
        <w:jc w:val="both"/>
        <w:rPr>
          <w:rFonts w:ascii="仿宋" w:hAnsi="仿宋" w:eastAsia="仿宋"/>
          <w:color w:val="auto"/>
          <w:sz w:val="32"/>
          <w:szCs w:val="32"/>
        </w:rPr>
      </w:pPr>
      <w:r>
        <w:rPr>
          <w:rFonts w:hint="eastAsia" w:ascii="仿宋" w:hAnsi="仿宋" w:eastAsia="仿宋"/>
          <w:color w:val="auto"/>
          <w:sz w:val="32"/>
          <w:szCs w:val="32"/>
        </w:rPr>
        <w:t>（四）在商务、出入境检验检疫机构、药品等质量监督管理部门有不良记录且未经复检合格的展品。</w:t>
      </w:r>
    </w:p>
    <w:p>
      <w:pPr>
        <w:pStyle w:val="4"/>
        <w:shd w:val="clear" w:color="auto" w:fill="FFFFFF"/>
        <w:spacing w:before="0" w:beforeAutospacing="0" w:after="0" w:afterAutospacing="0" w:line="555" w:lineRule="atLeast"/>
        <w:jc w:val="center"/>
        <w:rPr>
          <w:rFonts w:ascii="黑体" w:hAnsi="黑体" w:eastAsia="黑体"/>
          <w:color w:val="auto"/>
          <w:sz w:val="32"/>
          <w:szCs w:val="32"/>
        </w:rPr>
      </w:pPr>
    </w:p>
    <w:p>
      <w:pPr>
        <w:pStyle w:val="4"/>
        <w:shd w:val="clear" w:color="auto" w:fill="FFFFFF"/>
        <w:spacing w:before="0" w:beforeAutospacing="0" w:after="0" w:afterAutospacing="0" w:line="555" w:lineRule="atLeast"/>
        <w:jc w:val="center"/>
        <w:rPr>
          <w:rFonts w:ascii="黑体" w:hAnsi="黑体" w:eastAsia="黑体"/>
          <w:color w:val="auto"/>
          <w:sz w:val="32"/>
          <w:szCs w:val="32"/>
        </w:rPr>
      </w:pPr>
      <w:r>
        <w:rPr>
          <w:rFonts w:ascii="黑体" w:hAnsi="黑体" w:eastAsia="黑体"/>
          <w:color w:val="auto"/>
          <w:sz w:val="32"/>
          <w:szCs w:val="32"/>
        </w:rPr>
        <w:t>第三章</w:t>
      </w:r>
      <w:r>
        <w:rPr>
          <w:rFonts w:hint="eastAsia" w:ascii="黑体" w:hAnsi="黑体" w:eastAsia="黑体"/>
          <w:color w:val="auto"/>
          <w:sz w:val="32"/>
          <w:szCs w:val="32"/>
        </w:rPr>
        <w:t xml:space="preserve"> 一般性展位申请流程</w:t>
      </w:r>
    </w:p>
    <w:p>
      <w:pPr>
        <w:pStyle w:val="4"/>
        <w:shd w:val="clear" w:color="auto" w:fill="FFFFFF"/>
        <w:spacing w:before="0" w:beforeAutospacing="0" w:after="0" w:afterAutospacing="0" w:line="480" w:lineRule="atLeast"/>
        <w:ind w:firstLine="640" w:firstLineChars="200"/>
        <w:jc w:val="both"/>
        <w:rPr>
          <w:rFonts w:ascii="仿宋" w:hAnsi="仿宋" w:eastAsia="仿宋"/>
          <w:color w:val="auto"/>
          <w:sz w:val="32"/>
          <w:szCs w:val="32"/>
        </w:rPr>
      </w:pPr>
      <w:r>
        <w:rPr>
          <w:rFonts w:ascii="楷体" w:hAnsi="楷体" w:eastAsia="楷体"/>
          <w:color w:val="auto"/>
          <w:sz w:val="32"/>
          <w:szCs w:val="32"/>
        </w:rPr>
        <w:t>第六条</w:t>
      </w:r>
      <w:r>
        <w:rPr>
          <w:rFonts w:hint="eastAsia" w:ascii="仿宋" w:hAnsi="仿宋" w:eastAsia="仿宋"/>
          <w:color w:val="auto"/>
          <w:sz w:val="32"/>
          <w:szCs w:val="32"/>
        </w:rPr>
        <w:t xml:space="preserve"> 展位申请流程：</w:t>
      </w:r>
    </w:p>
    <w:p>
      <w:pPr>
        <w:pStyle w:val="4"/>
        <w:shd w:val="clear" w:color="auto" w:fill="FFFFFF"/>
        <w:spacing w:before="0" w:beforeAutospacing="0" w:after="0" w:afterAutospacing="0" w:line="480" w:lineRule="atLeast"/>
        <w:ind w:firstLine="640"/>
        <w:jc w:val="both"/>
        <w:rPr>
          <w:rFonts w:ascii="仿宋" w:hAnsi="仿宋" w:eastAsia="仿宋"/>
          <w:color w:val="auto"/>
          <w:sz w:val="32"/>
          <w:szCs w:val="32"/>
        </w:rPr>
      </w:pPr>
      <w:r>
        <w:rPr>
          <w:rFonts w:hint="eastAsia" w:ascii="仿宋" w:hAnsi="仿宋" w:eastAsia="仿宋"/>
          <w:color w:val="auto"/>
          <w:sz w:val="32"/>
          <w:szCs w:val="32"/>
        </w:rPr>
        <w:t>（一）企业根据广交会出口展参展事宜有关通告，在规定时限内通过广交会网络管理服务系统（</w:t>
      </w:r>
      <w:r>
        <w:rPr>
          <w:rFonts w:ascii="仿宋" w:hAnsi="仿宋" w:eastAsia="仿宋" w:cs="Times New Roman"/>
          <w:color w:val="auto"/>
          <w:sz w:val="32"/>
          <w:szCs w:val="32"/>
        </w:rPr>
        <w:t>参展易捷通）在线提交一般性展位申请，并</w:t>
      </w:r>
      <w:r>
        <w:rPr>
          <w:rFonts w:ascii="仿宋" w:hAnsi="仿宋" w:eastAsia="仿宋"/>
          <w:color w:val="auto"/>
          <w:sz w:val="32"/>
          <w:szCs w:val="32"/>
        </w:rPr>
        <w:t>将在线打印的参展申请表及相关证明材料报</w:t>
      </w:r>
      <w:r>
        <w:rPr>
          <w:rFonts w:hint="eastAsia" w:ascii="仿宋" w:hAnsi="仿宋" w:eastAsia="仿宋"/>
          <w:color w:val="auto"/>
          <w:sz w:val="32"/>
          <w:szCs w:val="32"/>
        </w:rPr>
        <w:t>所在县（市）、区、开发区商务主管部门进行初审。</w:t>
      </w:r>
    </w:p>
    <w:p>
      <w:pPr>
        <w:pStyle w:val="4"/>
        <w:shd w:val="clear" w:color="auto" w:fill="FFFFFF"/>
        <w:spacing w:before="0" w:beforeAutospacing="0" w:after="0" w:afterAutospacing="0" w:line="480" w:lineRule="atLeast"/>
        <w:ind w:firstLine="640"/>
        <w:jc w:val="both"/>
        <w:rPr>
          <w:rFonts w:ascii="仿宋" w:hAnsi="仿宋" w:eastAsia="仿宋"/>
          <w:color w:val="auto"/>
          <w:sz w:val="32"/>
          <w:szCs w:val="32"/>
        </w:rPr>
      </w:pPr>
      <w:r>
        <w:rPr>
          <w:rFonts w:ascii="仿宋" w:hAnsi="仿宋" w:eastAsia="仿宋"/>
          <w:color w:val="auto"/>
          <w:sz w:val="32"/>
          <w:szCs w:val="32"/>
        </w:rPr>
        <w:t>（二）各</w:t>
      </w:r>
      <w:r>
        <w:rPr>
          <w:rFonts w:hint="eastAsia" w:ascii="仿宋" w:hAnsi="仿宋" w:eastAsia="仿宋"/>
          <w:color w:val="auto"/>
          <w:sz w:val="32"/>
          <w:szCs w:val="32"/>
        </w:rPr>
        <w:t>县（市）、区、开发区商务主管部门向市商务局提出初审及推荐意见。</w:t>
      </w:r>
    </w:p>
    <w:p>
      <w:pPr>
        <w:pStyle w:val="4"/>
        <w:shd w:val="clear" w:color="auto" w:fill="FFFFFF"/>
        <w:spacing w:before="0" w:beforeAutospacing="0" w:after="0" w:afterAutospacing="0" w:line="480" w:lineRule="atLeast"/>
        <w:jc w:val="center"/>
        <w:rPr>
          <w:rFonts w:ascii="黑体" w:hAnsi="黑体" w:eastAsia="黑体"/>
          <w:color w:val="auto"/>
          <w:sz w:val="32"/>
          <w:szCs w:val="32"/>
        </w:rPr>
      </w:pPr>
    </w:p>
    <w:p>
      <w:pPr>
        <w:pStyle w:val="4"/>
        <w:shd w:val="clear" w:color="auto" w:fill="FFFFFF"/>
        <w:spacing w:before="0" w:beforeAutospacing="0" w:after="0" w:afterAutospacing="0" w:line="480" w:lineRule="atLeast"/>
        <w:jc w:val="center"/>
        <w:rPr>
          <w:rFonts w:ascii="黑体" w:hAnsi="黑体" w:eastAsia="黑体"/>
          <w:color w:val="auto"/>
          <w:sz w:val="32"/>
          <w:szCs w:val="32"/>
        </w:rPr>
      </w:pPr>
      <w:r>
        <w:rPr>
          <w:rFonts w:ascii="黑体" w:hAnsi="黑体" w:eastAsia="黑体"/>
          <w:color w:val="auto"/>
          <w:sz w:val="32"/>
          <w:szCs w:val="32"/>
        </w:rPr>
        <w:t>第四章</w:t>
      </w:r>
      <w:r>
        <w:rPr>
          <w:rFonts w:hint="eastAsia" w:ascii="黑体" w:hAnsi="黑体" w:eastAsia="黑体"/>
          <w:color w:val="auto"/>
          <w:sz w:val="32"/>
          <w:szCs w:val="32"/>
        </w:rPr>
        <w:t xml:space="preserve"> 评审机制及展位分配</w:t>
      </w:r>
    </w:p>
    <w:p>
      <w:pPr>
        <w:pStyle w:val="4"/>
        <w:shd w:val="clear" w:color="auto" w:fill="FFFFFF"/>
        <w:spacing w:before="0" w:beforeAutospacing="0" w:after="0" w:afterAutospacing="0" w:line="480" w:lineRule="atLeast"/>
        <w:ind w:firstLine="640" w:firstLineChars="200"/>
        <w:jc w:val="both"/>
        <w:rPr>
          <w:rFonts w:ascii="仿宋" w:hAnsi="仿宋" w:eastAsia="仿宋"/>
          <w:color w:val="auto"/>
          <w:sz w:val="32"/>
          <w:szCs w:val="32"/>
        </w:rPr>
      </w:pPr>
      <w:r>
        <w:rPr>
          <w:rFonts w:ascii="楷体" w:hAnsi="楷体" w:eastAsia="楷体"/>
          <w:color w:val="auto"/>
          <w:sz w:val="32"/>
          <w:szCs w:val="32"/>
        </w:rPr>
        <w:t>第七条</w:t>
      </w:r>
      <w:r>
        <w:rPr>
          <w:rFonts w:hint="eastAsia" w:ascii="仿宋" w:hAnsi="仿宋" w:eastAsia="仿宋"/>
          <w:color w:val="auto"/>
          <w:sz w:val="32"/>
          <w:szCs w:val="32"/>
        </w:rPr>
        <w:t xml:space="preserve"> 评审机制：</w:t>
      </w:r>
    </w:p>
    <w:p>
      <w:pPr>
        <w:pStyle w:val="4"/>
        <w:shd w:val="clear" w:color="auto" w:fill="FFFFFF"/>
        <w:spacing w:before="0" w:beforeAutospacing="0" w:after="0" w:afterAutospacing="0" w:line="480" w:lineRule="atLeast"/>
        <w:ind w:firstLine="640"/>
        <w:jc w:val="both"/>
        <w:rPr>
          <w:rFonts w:ascii="仿宋" w:hAnsi="仿宋" w:eastAsia="仿宋" w:cs="Times New Roman"/>
          <w:color w:val="auto"/>
          <w:sz w:val="32"/>
          <w:szCs w:val="32"/>
        </w:rPr>
      </w:pPr>
      <w:r>
        <w:rPr>
          <w:rFonts w:hint="eastAsia" w:ascii="仿宋" w:hAnsi="仿宋" w:eastAsia="仿宋"/>
          <w:color w:val="auto"/>
          <w:sz w:val="32"/>
          <w:szCs w:val="32"/>
        </w:rPr>
        <w:t>（一）长春交易团组织制订《广交会长春市交易团</w:t>
      </w:r>
      <w:r>
        <w:rPr>
          <w:rFonts w:ascii="仿宋" w:hAnsi="仿宋" w:eastAsia="仿宋" w:cs="Times New Roman"/>
          <w:color w:val="auto"/>
          <w:sz w:val="32"/>
          <w:szCs w:val="32"/>
        </w:rPr>
        <w:t>一般性展位评分标准》，除《中国进出口商品交易会出口展一般性展位数量安排办法》中确定的出口额、行业自律、国际通行认证、高新技术企业、研发创新、境内外商标注册、品牌荣誉等7项指标计80分外，结合实际新增指标计20分，评分总计100分。</w:t>
      </w:r>
    </w:p>
    <w:p>
      <w:pPr>
        <w:pStyle w:val="4"/>
        <w:shd w:val="clear" w:color="auto" w:fill="FFFFFF"/>
        <w:spacing w:before="0" w:beforeAutospacing="0" w:after="0" w:afterAutospacing="0" w:line="480" w:lineRule="atLeast"/>
        <w:ind w:firstLine="640" w:firstLineChars="200"/>
        <w:jc w:val="both"/>
        <w:rPr>
          <w:rFonts w:ascii="仿宋" w:hAnsi="仿宋" w:eastAsia="仿宋"/>
          <w:color w:val="auto"/>
          <w:sz w:val="32"/>
          <w:szCs w:val="32"/>
        </w:rPr>
      </w:pPr>
      <w:r>
        <w:rPr>
          <w:rFonts w:hint="eastAsia" w:ascii="仿宋" w:hAnsi="仿宋" w:eastAsia="仿宋"/>
          <w:color w:val="auto"/>
          <w:sz w:val="32"/>
          <w:szCs w:val="32"/>
        </w:rPr>
        <w:t>（二）长春交易团组织评审小组对企业申报材料进行审核，对申请广交会一般性展位的企业，按照《广交会长春市交易团</w:t>
      </w:r>
      <w:r>
        <w:rPr>
          <w:rFonts w:ascii="仿宋" w:hAnsi="仿宋" w:eastAsia="仿宋" w:cs="Times New Roman"/>
          <w:color w:val="auto"/>
          <w:sz w:val="32"/>
          <w:szCs w:val="32"/>
        </w:rPr>
        <w:t>一般性展位评分标准》</w:t>
      </w:r>
      <w:r>
        <w:rPr>
          <w:rFonts w:hint="eastAsia" w:ascii="仿宋" w:hAnsi="仿宋" w:eastAsia="仿宋"/>
          <w:color w:val="auto"/>
          <w:sz w:val="32"/>
          <w:szCs w:val="32"/>
        </w:rPr>
        <w:t>进行评分，评分每年（二届）进行一次。</w:t>
      </w:r>
    </w:p>
    <w:p>
      <w:pPr>
        <w:pStyle w:val="4"/>
        <w:shd w:val="clear" w:color="auto" w:fill="FFFFFF"/>
        <w:spacing w:before="0" w:beforeAutospacing="0" w:after="0" w:afterAutospacing="0" w:line="480" w:lineRule="atLeast"/>
        <w:ind w:firstLine="640" w:firstLineChars="200"/>
        <w:jc w:val="both"/>
        <w:rPr>
          <w:rFonts w:ascii="仿宋" w:hAnsi="仿宋" w:eastAsia="仿宋"/>
          <w:color w:val="auto"/>
          <w:sz w:val="32"/>
          <w:szCs w:val="32"/>
        </w:rPr>
      </w:pPr>
      <w:r>
        <w:rPr>
          <w:rFonts w:hint="eastAsia" w:ascii="楷体" w:hAnsi="楷体" w:eastAsia="楷体"/>
          <w:color w:val="auto"/>
          <w:sz w:val="32"/>
          <w:szCs w:val="32"/>
        </w:rPr>
        <w:t>第八条</w:t>
      </w:r>
      <w:r>
        <w:rPr>
          <w:rFonts w:hint="eastAsia" w:ascii="仿宋" w:hAnsi="仿宋" w:eastAsia="仿宋"/>
          <w:color w:val="auto"/>
          <w:sz w:val="32"/>
          <w:szCs w:val="32"/>
        </w:rPr>
        <w:t xml:space="preserve"> 一般性展位分配原则：</w:t>
      </w:r>
    </w:p>
    <w:p>
      <w:pPr>
        <w:pStyle w:val="4"/>
        <w:shd w:val="clear" w:color="auto" w:fill="FFFFFF"/>
        <w:spacing w:before="0" w:beforeAutospacing="0" w:after="0" w:afterAutospacing="0" w:line="480" w:lineRule="atLeast"/>
        <w:ind w:firstLine="640" w:firstLineChars="200"/>
        <w:jc w:val="both"/>
        <w:rPr>
          <w:rFonts w:ascii="仿宋" w:hAnsi="仿宋" w:eastAsia="仿宋" w:cs="Times New Roman"/>
          <w:color w:val="auto"/>
          <w:sz w:val="32"/>
          <w:szCs w:val="32"/>
        </w:rPr>
      </w:pPr>
      <w:r>
        <w:rPr>
          <w:rFonts w:ascii="仿宋" w:hAnsi="仿宋" w:eastAsia="仿宋"/>
          <w:color w:val="auto"/>
          <w:sz w:val="32"/>
          <w:szCs w:val="32"/>
        </w:rPr>
        <w:t>（一）</w:t>
      </w:r>
      <w:r>
        <w:rPr>
          <w:rFonts w:ascii="仿宋" w:hAnsi="仿宋" w:eastAsia="仿宋" w:cs="Times New Roman"/>
          <w:color w:val="auto"/>
          <w:sz w:val="32"/>
          <w:szCs w:val="32"/>
        </w:rPr>
        <w:t>展位分配向规模以上工业企业、</w:t>
      </w:r>
      <w:r>
        <w:rPr>
          <w:rFonts w:hint="eastAsia" w:ascii="仿宋" w:hAnsi="仿宋" w:eastAsia="仿宋"/>
          <w:color w:val="auto"/>
          <w:sz w:val="32"/>
          <w:szCs w:val="32"/>
        </w:rPr>
        <w:t>高新技术企业</w:t>
      </w:r>
      <w:r>
        <w:rPr>
          <w:rFonts w:ascii="仿宋" w:hAnsi="仿宋" w:eastAsia="仿宋" w:cs="Times New Roman"/>
          <w:color w:val="auto"/>
          <w:sz w:val="32"/>
          <w:szCs w:val="32"/>
        </w:rPr>
        <w:t>以及专精特新等生产型企业倾斜。</w:t>
      </w:r>
    </w:p>
    <w:p>
      <w:pPr>
        <w:pStyle w:val="4"/>
        <w:shd w:val="clear" w:color="auto" w:fill="FFFFFF"/>
        <w:spacing w:before="0" w:beforeAutospacing="0" w:after="0" w:afterAutospacing="0" w:line="480" w:lineRule="atLeast"/>
        <w:ind w:firstLine="640" w:firstLineChars="200"/>
        <w:jc w:val="both"/>
        <w:rPr>
          <w:rFonts w:ascii="仿宋" w:hAnsi="仿宋" w:eastAsia="仿宋"/>
          <w:color w:val="auto"/>
          <w:sz w:val="32"/>
          <w:szCs w:val="32"/>
        </w:rPr>
      </w:pPr>
      <w:r>
        <w:rPr>
          <w:rFonts w:ascii="仿宋" w:hAnsi="仿宋" w:eastAsia="仿宋" w:cs="Times New Roman"/>
          <w:color w:val="auto"/>
          <w:sz w:val="32"/>
          <w:szCs w:val="32"/>
        </w:rPr>
        <w:t>（二）</w:t>
      </w:r>
      <w:r>
        <w:rPr>
          <w:rFonts w:hint="eastAsia" w:ascii="仿宋" w:hAnsi="仿宋" w:eastAsia="仿宋"/>
          <w:color w:val="auto"/>
          <w:sz w:val="32"/>
          <w:szCs w:val="32"/>
        </w:rPr>
        <w:t>原则上每家企业安排展位总数不超过6个。</w:t>
      </w:r>
    </w:p>
    <w:p>
      <w:pPr>
        <w:pStyle w:val="4"/>
        <w:shd w:val="clear" w:color="auto" w:fill="FFFFFF"/>
        <w:spacing w:before="0" w:beforeAutospacing="0" w:after="0" w:afterAutospacing="0" w:line="480" w:lineRule="atLeast"/>
        <w:ind w:firstLine="640" w:firstLineChars="200"/>
        <w:jc w:val="both"/>
        <w:rPr>
          <w:rFonts w:ascii="仿宋" w:hAnsi="仿宋" w:eastAsia="仿宋"/>
          <w:color w:val="auto"/>
          <w:sz w:val="32"/>
          <w:szCs w:val="32"/>
        </w:rPr>
      </w:pPr>
      <w:r>
        <w:rPr>
          <w:rFonts w:ascii="仿宋" w:hAnsi="仿宋" w:eastAsia="仿宋"/>
          <w:color w:val="auto"/>
          <w:sz w:val="32"/>
          <w:szCs w:val="32"/>
        </w:rPr>
        <w:t>（三）</w:t>
      </w:r>
      <w:r>
        <w:rPr>
          <w:rFonts w:ascii="仿宋" w:hAnsi="仿宋" w:eastAsia="仿宋" w:cs="Times New Roman"/>
          <w:color w:val="auto"/>
          <w:sz w:val="32"/>
          <w:szCs w:val="32"/>
        </w:rPr>
        <w:t>对</w:t>
      </w:r>
      <w:r>
        <w:rPr>
          <w:rFonts w:hint="eastAsia" w:ascii="仿宋" w:hAnsi="仿宋" w:eastAsia="仿宋"/>
          <w:color w:val="auto"/>
          <w:sz w:val="32"/>
          <w:szCs w:val="32"/>
        </w:rPr>
        <w:t>未达到第三条（二）规定的最低出口额要求的参展企业原则上安排展位数不超过</w:t>
      </w:r>
      <w:r>
        <w:rPr>
          <w:rFonts w:ascii="仿宋" w:hAnsi="仿宋" w:eastAsia="仿宋"/>
          <w:color w:val="auto"/>
          <w:sz w:val="32"/>
          <w:szCs w:val="32"/>
        </w:rPr>
        <w:t>2</w:t>
      </w:r>
      <w:r>
        <w:rPr>
          <w:rFonts w:hint="eastAsia" w:ascii="仿宋" w:hAnsi="仿宋" w:eastAsia="仿宋"/>
          <w:color w:val="auto"/>
          <w:sz w:val="32"/>
          <w:szCs w:val="32"/>
        </w:rPr>
        <w:t>个；对展区出口额未达到第三条（二）规定的最低出口额要求的参展企业，原则上在该展区安排展位数不超过</w:t>
      </w:r>
      <w:r>
        <w:rPr>
          <w:rFonts w:ascii="仿宋" w:hAnsi="仿宋" w:eastAsia="仿宋"/>
          <w:color w:val="auto"/>
          <w:sz w:val="32"/>
          <w:szCs w:val="32"/>
        </w:rPr>
        <w:t>2</w:t>
      </w:r>
      <w:r>
        <w:rPr>
          <w:rFonts w:hint="eastAsia" w:ascii="仿宋" w:hAnsi="仿宋" w:eastAsia="仿宋"/>
          <w:color w:val="auto"/>
          <w:sz w:val="32"/>
          <w:szCs w:val="32"/>
        </w:rPr>
        <w:t>个。</w:t>
      </w:r>
    </w:p>
    <w:p>
      <w:pPr>
        <w:pStyle w:val="4"/>
        <w:shd w:val="clear" w:color="auto" w:fill="FFFFFF"/>
        <w:spacing w:before="0" w:beforeAutospacing="0" w:after="0" w:afterAutospacing="0"/>
        <w:ind w:firstLine="640" w:firstLineChars="200"/>
        <w:jc w:val="both"/>
        <w:rPr>
          <w:rFonts w:ascii="仿宋" w:hAnsi="仿宋" w:eastAsia="仿宋" w:cs="Times New Roman"/>
          <w:color w:val="auto"/>
          <w:sz w:val="32"/>
          <w:szCs w:val="32"/>
        </w:rPr>
      </w:pPr>
      <w:r>
        <w:rPr>
          <w:rFonts w:ascii="仿宋" w:hAnsi="仿宋" w:eastAsia="仿宋"/>
          <w:color w:val="auto"/>
          <w:sz w:val="32"/>
          <w:szCs w:val="32"/>
        </w:rPr>
        <w:t>（四）</w:t>
      </w:r>
      <w:r>
        <w:rPr>
          <w:rFonts w:hint="eastAsia" w:ascii="仿宋" w:hAnsi="仿宋" w:eastAsia="仿宋"/>
          <w:color w:val="auto"/>
          <w:sz w:val="32"/>
          <w:szCs w:val="32"/>
        </w:rPr>
        <w:t>申报企业出现评分相同时，展区出口额较高的企业优先安排展位。</w:t>
      </w:r>
    </w:p>
    <w:p>
      <w:pPr>
        <w:pStyle w:val="4"/>
        <w:shd w:val="clear" w:color="auto" w:fill="FFFFFF"/>
        <w:spacing w:before="0" w:beforeAutospacing="0" w:after="0" w:afterAutospacing="0" w:line="480" w:lineRule="atLeast"/>
        <w:ind w:firstLine="720"/>
        <w:jc w:val="both"/>
        <w:rPr>
          <w:rFonts w:ascii="仿宋" w:hAnsi="仿宋" w:eastAsia="仿宋" w:cs="Times New Roman"/>
          <w:color w:val="auto"/>
          <w:sz w:val="32"/>
          <w:szCs w:val="32"/>
        </w:rPr>
      </w:pPr>
      <w:r>
        <w:rPr>
          <w:rFonts w:hint="eastAsia" w:ascii="楷体" w:hAnsi="楷体" w:eastAsia="楷体"/>
          <w:color w:val="auto"/>
          <w:sz w:val="32"/>
          <w:szCs w:val="32"/>
        </w:rPr>
        <w:t>第九条</w:t>
      </w:r>
      <w:r>
        <w:rPr>
          <w:rFonts w:hint="eastAsia" w:ascii="仿宋" w:hAnsi="仿宋" w:eastAsia="仿宋"/>
          <w:color w:val="auto"/>
          <w:sz w:val="32"/>
          <w:szCs w:val="32"/>
        </w:rPr>
        <w:t xml:space="preserve"> 长春交易团依据申请企业评分分数和一般性展位分配原则统筹进行展位安排</w:t>
      </w:r>
      <w:r>
        <w:rPr>
          <w:rFonts w:ascii="仿宋" w:hAnsi="仿宋" w:eastAsia="仿宋" w:cs="Times New Roman"/>
          <w:color w:val="auto"/>
          <w:sz w:val="32"/>
          <w:szCs w:val="32"/>
        </w:rPr>
        <w:t>，展位分配方案在市商务局网站公示。</w:t>
      </w:r>
    </w:p>
    <w:p>
      <w:pPr>
        <w:pStyle w:val="4"/>
        <w:shd w:val="clear" w:color="auto" w:fill="FFFFFF"/>
        <w:spacing w:before="0" w:beforeAutospacing="0" w:after="0" w:afterAutospacing="0" w:line="480" w:lineRule="atLeast"/>
        <w:jc w:val="center"/>
        <w:rPr>
          <w:rFonts w:ascii="黑体" w:hAnsi="黑体" w:eastAsia="黑体" w:cs="Times New Roman"/>
          <w:color w:val="auto"/>
          <w:sz w:val="32"/>
          <w:szCs w:val="32"/>
        </w:rPr>
      </w:pPr>
    </w:p>
    <w:p>
      <w:pPr>
        <w:pStyle w:val="4"/>
        <w:shd w:val="clear" w:color="auto" w:fill="FFFFFF"/>
        <w:spacing w:before="0" w:beforeAutospacing="0" w:after="0" w:afterAutospacing="0" w:line="480" w:lineRule="atLeast"/>
        <w:jc w:val="center"/>
        <w:rPr>
          <w:rFonts w:ascii="黑体" w:hAnsi="黑体" w:eastAsia="黑体" w:cs="Times New Roman"/>
          <w:color w:val="auto"/>
          <w:sz w:val="32"/>
          <w:szCs w:val="32"/>
        </w:rPr>
      </w:pPr>
      <w:r>
        <w:rPr>
          <w:rFonts w:ascii="黑体" w:hAnsi="黑体" w:eastAsia="黑体" w:cs="Times New Roman"/>
          <w:color w:val="auto"/>
          <w:sz w:val="32"/>
          <w:szCs w:val="32"/>
        </w:rPr>
        <w:t>第五章</w:t>
      </w:r>
      <w:r>
        <w:rPr>
          <w:rFonts w:hint="eastAsia" w:ascii="黑体" w:hAnsi="黑体" w:eastAsia="黑体" w:cs="Times New Roman"/>
          <w:color w:val="auto"/>
          <w:sz w:val="32"/>
          <w:szCs w:val="32"/>
        </w:rPr>
        <w:t xml:space="preserve"> </w:t>
      </w:r>
      <w:r>
        <w:rPr>
          <w:rFonts w:ascii="黑体" w:hAnsi="黑体" w:eastAsia="黑体" w:cs="Times New Roman"/>
          <w:color w:val="auto"/>
          <w:sz w:val="32"/>
          <w:szCs w:val="32"/>
        </w:rPr>
        <w:t>展位使用</w:t>
      </w:r>
    </w:p>
    <w:p>
      <w:pPr>
        <w:pStyle w:val="4"/>
        <w:shd w:val="clear" w:color="auto" w:fill="FFFFFF"/>
        <w:spacing w:before="0" w:beforeAutospacing="0" w:after="0" w:afterAutospacing="0" w:line="480" w:lineRule="atLeast"/>
        <w:ind w:firstLine="720"/>
        <w:jc w:val="both"/>
        <w:rPr>
          <w:rFonts w:ascii="仿宋" w:hAnsi="仿宋" w:eastAsia="仿宋" w:cs="Times New Roman"/>
          <w:color w:val="auto"/>
          <w:sz w:val="32"/>
          <w:szCs w:val="32"/>
        </w:rPr>
      </w:pPr>
      <w:r>
        <w:rPr>
          <w:rFonts w:ascii="楷体" w:hAnsi="楷体" w:eastAsia="楷体" w:cs="Times New Roman"/>
          <w:color w:val="auto"/>
          <w:sz w:val="32"/>
          <w:szCs w:val="32"/>
        </w:rPr>
        <w:t>第十条</w:t>
      </w:r>
      <w:r>
        <w:rPr>
          <w:rFonts w:hint="eastAsia" w:ascii="楷体" w:hAnsi="楷体" w:eastAsia="楷体" w:cs="Times New Roman"/>
          <w:color w:val="auto"/>
          <w:sz w:val="32"/>
          <w:szCs w:val="32"/>
        </w:rPr>
        <w:t xml:space="preserve"> </w:t>
      </w:r>
      <w:r>
        <w:rPr>
          <w:rFonts w:ascii="仿宋" w:hAnsi="仿宋" w:eastAsia="仿宋" w:cs="Times New Roman"/>
          <w:color w:val="auto"/>
          <w:sz w:val="32"/>
          <w:szCs w:val="32"/>
        </w:rPr>
        <w:t>广交会展位仅限参展企业使用，参展企业按照《广交会出口展展位使用管理规定》使用展位，并承担相应的责任，严禁违规转让或转租（卖）展位，以及展览期间空置展位。</w:t>
      </w:r>
    </w:p>
    <w:p>
      <w:pPr>
        <w:pStyle w:val="4"/>
        <w:shd w:val="clear" w:color="auto" w:fill="FFFFFF"/>
        <w:spacing w:before="0" w:beforeAutospacing="0" w:after="0" w:afterAutospacing="0" w:line="480" w:lineRule="atLeast"/>
        <w:ind w:firstLine="720"/>
        <w:jc w:val="both"/>
        <w:rPr>
          <w:rFonts w:ascii="仿宋" w:hAnsi="仿宋" w:eastAsia="仿宋" w:cs="Times New Roman"/>
          <w:color w:val="auto"/>
          <w:sz w:val="32"/>
          <w:szCs w:val="32"/>
        </w:rPr>
      </w:pPr>
      <w:r>
        <w:rPr>
          <w:rFonts w:ascii="楷体" w:hAnsi="楷体" w:eastAsia="楷体" w:cs="Times New Roman"/>
          <w:color w:val="auto"/>
          <w:sz w:val="32"/>
          <w:szCs w:val="32"/>
        </w:rPr>
        <w:t>第十一条</w:t>
      </w:r>
      <w:r>
        <w:rPr>
          <w:rFonts w:hint="eastAsia" w:ascii="仿宋" w:hAnsi="仿宋" w:eastAsia="仿宋" w:cs="Times New Roman"/>
          <w:color w:val="auto"/>
          <w:sz w:val="32"/>
          <w:szCs w:val="32"/>
        </w:rPr>
        <w:t xml:space="preserve"> </w:t>
      </w:r>
      <w:r>
        <w:rPr>
          <w:rFonts w:ascii="仿宋" w:hAnsi="仿宋" w:eastAsia="仿宋" w:cs="Times New Roman"/>
          <w:color w:val="auto"/>
          <w:sz w:val="32"/>
          <w:szCs w:val="32"/>
        </w:rPr>
        <w:t>参展企业须接受广交会有关部门、长春交易团对展位的检查和管理。涉嫌违规使用展位的企业须积极配合相关部门进行调查取证，落实有关处理措施。</w:t>
      </w:r>
    </w:p>
    <w:p>
      <w:pPr>
        <w:pStyle w:val="4"/>
        <w:shd w:val="clear" w:color="auto" w:fill="FFFFFF"/>
        <w:spacing w:before="0" w:beforeAutospacing="0" w:after="0" w:afterAutospacing="0" w:line="480" w:lineRule="atLeast"/>
        <w:jc w:val="center"/>
        <w:rPr>
          <w:rFonts w:ascii="黑体" w:hAnsi="黑体" w:eastAsia="黑体" w:cs="Times New Roman"/>
          <w:color w:val="auto"/>
          <w:sz w:val="32"/>
          <w:szCs w:val="32"/>
        </w:rPr>
      </w:pPr>
    </w:p>
    <w:p>
      <w:pPr>
        <w:pStyle w:val="4"/>
        <w:shd w:val="clear" w:color="auto" w:fill="FFFFFF"/>
        <w:spacing w:before="0" w:beforeAutospacing="0" w:after="0" w:afterAutospacing="0" w:line="480" w:lineRule="atLeast"/>
        <w:jc w:val="center"/>
        <w:rPr>
          <w:rFonts w:ascii="黑体" w:hAnsi="黑体" w:eastAsia="黑体" w:cs="Times New Roman"/>
          <w:color w:val="auto"/>
          <w:sz w:val="32"/>
          <w:szCs w:val="32"/>
        </w:rPr>
      </w:pPr>
      <w:r>
        <w:rPr>
          <w:rFonts w:ascii="黑体" w:hAnsi="黑体" w:eastAsia="黑体" w:cs="Times New Roman"/>
          <w:color w:val="auto"/>
          <w:sz w:val="32"/>
          <w:szCs w:val="32"/>
        </w:rPr>
        <w:t>第六章</w:t>
      </w:r>
      <w:r>
        <w:rPr>
          <w:rFonts w:hint="eastAsia" w:ascii="黑体" w:hAnsi="黑体" w:eastAsia="黑体" w:cs="Times New Roman"/>
          <w:color w:val="auto"/>
          <w:sz w:val="32"/>
          <w:szCs w:val="32"/>
        </w:rPr>
        <w:t xml:space="preserve"> 展位退出</w:t>
      </w:r>
    </w:p>
    <w:p>
      <w:pPr>
        <w:pStyle w:val="4"/>
        <w:shd w:val="clear" w:color="auto" w:fill="FFFFFF"/>
        <w:spacing w:before="0" w:beforeAutospacing="0" w:after="0" w:afterAutospacing="0" w:line="480" w:lineRule="atLeast"/>
        <w:ind w:firstLine="720"/>
        <w:jc w:val="both"/>
        <w:rPr>
          <w:rFonts w:ascii="仿宋" w:hAnsi="仿宋" w:eastAsia="仿宋" w:cs="Times New Roman"/>
          <w:color w:val="auto"/>
          <w:sz w:val="32"/>
          <w:szCs w:val="32"/>
        </w:rPr>
      </w:pPr>
      <w:r>
        <w:rPr>
          <w:rFonts w:ascii="楷体" w:hAnsi="楷体" w:eastAsia="楷体" w:cs="Times New Roman"/>
          <w:color w:val="auto"/>
          <w:sz w:val="32"/>
          <w:szCs w:val="32"/>
        </w:rPr>
        <w:t>第十二条</w:t>
      </w:r>
      <w:r>
        <w:rPr>
          <w:rFonts w:hint="eastAsia" w:ascii="仿宋" w:hAnsi="仿宋" w:eastAsia="仿宋" w:cs="Times New Roman"/>
          <w:color w:val="auto"/>
          <w:sz w:val="32"/>
          <w:szCs w:val="32"/>
        </w:rPr>
        <w:t xml:space="preserve"> </w:t>
      </w:r>
      <w:r>
        <w:rPr>
          <w:rFonts w:hint="eastAsia" w:ascii="仿宋" w:hAnsi="仿宋" w:eastAsia="仿宋"/>
          <w:color w:val="auto"/>
          <w:sz w:val="32"/>
          <w:szCs w:val="32"/>
        </w:rPr>
        <w:t>展位退出机制</w:t>
      </w:r>
    </w:p>
    <w:p>
      <w:pPr>
        <w:pStyle w:val="4"/>
        <w:shd w:val="clear" w:color="auto" w:fill="FFFFFF"/>
        <w:spacing w:before="0" w:beforeAutospacing="0" w:after="0" w:afterAutospacing="0" w:line="480" w:lineRule="atLeast"/>
        <w:ind w:firstLine="720"/>
        <w:jc w:val="both"/>
        <w:rPr>
          <w:rFonts w:ascii="仿宋" w:hAnsi="仿宋" w:eastAsia="仿宋"/>
          <w:color w:val="auto"/>
          <w:sz w:val="32"/>
          <w:szCs w:val="32"/>
        </w:rPr>
      </w:pPr>
      <w:r>
        <w:rPr>
          <w:rFonts w:hint="eastAsia" w:ascii="仿宋" w:hAnsi="仿宋" w:eastAsia="仿宋"/>
          <w:color w:val="auto"/>
          <w:sz w:val="32"/>
          <w:szCs w:val="32"/>
        </w:rPr>
        <w:t>（一）企业在展位使用过程中，如违反《广交会展位使用责任书》相关规定，即视为违规使用展位。</w:t>
      </w:r>
    </w:p>
    <w:p>
      <w:pPr>
        <w:pStyle w:val="4"/>
        <w:shd w:val="clear" w:color="auto" w:fill="FFFFFF"/>
        <w:spacing w:before="0" w:beforeAutospacing="0" w:after="0" w:afterAutospacing="0" w:line="480" w:lineRule="atLeast"/>
        <w:ind w:firstLine="640" w:firstLineChars="200"/>
        <w:jc w:val="both"/>
        <w:rPr>
          <w:rFonts w:ascii="仿宋" w:hAnsi="仿宋" w:eastAsia="仿宋"/>
          <w:color w:val="auto"/>
          <w:sz w:val="32"/>
          <w:szCs w:val="32"/>
        </w:rPr>
      </w:pPr>
      <w:r>
        <w:rPr>
          <w:rFonts w:ascii="仿宋" w:hAnsi="仿宋" w:eastAsia="仿宋"/>
          <w:color w:val="auto"/>
          <w:sz w:val="32"/>
          <w:szCs w:val="32"/>
        </w:rPr>
        <w:t>（二）</w:t>
      </w:r>
      <w:r>
        <w:rPr>
          <w:rFonts w:ascii="仿宋" w:hAnsi="仿宋" w:eastAsia="仿宋" w:cs="Times New Roman"/>
          <w:color w:val="auto"/>
          <w:sz w:val="32"/>
          <w:szCs w:val="32"/>
        </w:rPr>
        <w:t>企业因违规使用一般性展位被查处，取消该企业及其法定代表人名下所有企业连续五年申请广交会展位资格</w:t>
      </w:r>
      <w:r>
        <w:rPr>
          <w:rFonts w:hint="eastAsia" w:ascii="仿宋" w:hAnsi="仿宋" w:eastAsia="仿宋"/>
          <w:color w:val="auto"/>
          <w:sz w:val="32"/>
          <w:szCs w:val="32"/>
        </w:rPr>
        <w:t>。</w:t>
      </w:r>
    </w:p>
    <w:p>
      <w:pPr>
        <w:pStyle w:val="4"/>
        <w:shd w:val="clear" w:color="auto" w:fill="FFFFFF"/>
        <w:spacing w:before="0" w:beforeAutospacing="0" w:after="0" w:afterAutospacing="0" w:line="480" w:lineRule="atLeast"/>
        <w:ind w:firstLine="720"/>
        <w:jc w:val="both"/>
        <w:rPr>
          <w:rFonts w:ascii="仿宋" w:hAnsi="仿宋" w:eastAsia="仿宋"/>
          <w:color w:val="auto"/>
          <w:sz w:val="32"/>
          <w:szCs w:val="32"/>
        </w:rPr>
      </w:pPr>
      <w:r>
        <w:rPr>
          <w:rFonts w:hint="eastAsia" w:ascii="仿宋" w:hAnsi="仿宋" w:eastAsia="仿宋"/>
          <w:color w:val="auto"/>
          <w:sz w:val="32"/>
          <w:szCs w:val="32"/>
        </w:rPr>
        <w:t>（三）参展企业未在规定时间内缴纳应承担的广交会费用，取消当届展位，自下届起连续4届不再分配展位。</w:t>
      </w:r>
    </w:p>
    <w:p>
      <w:pPr>
        <w:pStyle w:val="4"/>
        <w:shd w:val="clear" w:color="auto" w:fill="FFFFFF"/>
        <w:spacing w:before="0" w:beforeAutospacing="0" w:after="0" w:afterAutospacing="0" w:line="480" w:lineRule="atLeast"/>
        <w:ind w:firstLine="720"/>
        <w:jc w:val="both"/>
        <w:rPr>
          <w:rFonts w:ascii="仿宋" w:hAnsi="仿宋" w:eastAsia="仿宋"/>
          <w:color w:val="auto"/>
          <w:sz w:val="32"/>
          <w:szCs w:val="32"/>
        </w:rPr>
      </w:pPr>
      <w:r>
        <w:rPr>
          <w:rFonts w:hint="eastAsia" w:ascii="仿宋" w:hAnsi="仿宋" w:eastAsia="仿宋"/>
          <w:color w:val="auto"/>
          <w:sz w:val="32"/>
          <w:szCs w:val="32"/>
        </w:rPr>
        <w:t>（四）如有企业退出展位，将根据最近一次评分结果依次安排给候补企业。</w:t>
      </w:r>
    </w:p>
    <w:p>
      <w:pPr>
        <w:pStyle w:val="4"/>
        <w:shd w:val="clear" w:color="auto" w:fill="FFFFFF"/>
        <w:spacing w:before="0" w:beforeAutospacing="0" w:after="0" w:afterAutospacing="0"/>
        <w:jc w:val="center"/>
        <w:rPr>
          <w:rFonts w:ascii="黑体" w:hAnsi="黑体" w:eastAsia="黑体" w:cs="Times New Roman"/>
          <w:color w:val="auto"/>
          <w:sz w:val="32"/>
          <w:szCs w:val="32"/>
        </w:rPr>
      </w:pPr>
    </w:p>
    <w:p>
      <w:pPr>
        <w:pStyle w:val="4"/>
        <w:shd w:val="clear" w:color="auto" w:fill="FFFFFF"/>
        <w:spacing w:before="0" w:beforeAutospacing="0" w:after="0" w:afterAutospacing="0"/>
        <w:jc w:val="center"/>
        <w:rPr>
          <w:rFonts w:ascii="黑体" w:hAnsi="黑体" w:eastAsia="黑体" w:cs="Segoe UI"/>
          <w:color w:val="auto"/>
          <w:sz w:val="32"/>
          <w:szCs w:val="32"/>
        </w:rPr>
      </w:pPr>
      <w:r>
        <w:rPr>
          <w:rFonts w:ascii="黑体" w:hAnsi="黑体" w:eastAsia="黑体" w:cs="Times New Roman"/>
          <w:color w:val="auto"/>
          <w:sz w:val="32"/>
          <w:szCs w:val="32"/>
        </w:rPr>
        <w:t>第七章 附则</w:t>
      </w:r>
    </w:p>
    <w:p>
      <w:pPr>
        <w:pStyle w:val="4"/>
        <w:shd w:val="clear" w:color="auto" w:fill="FFFFFF"/>
        <w:spacing w:before="0" w:beforeAutospacing="0" w:after="0" w:afterAutospacing="0"/>
        <w:ind w:firstLine="640" w:firstLineChars="200"/>
        <w:rPr>
          <w:rFonts w:ascii="仿宋" w:hAnsi="仿宋" w:eastAsia="仿宋" w:cs="Segoe UI"/>
          <w:color w:val="auto"/>
          <w:sz w:val="32"/>
          <w:szCs w:val="32"/>
        </w:rPr>
      </w:pPr>
      <w:r>
        <w:rPr>
          <w:rFonts w:ascii="楷体" w:hAnsi="楷体" w:eastAsia="楷体" w:cs="Times New Roman"/>
          <w:color w:val="auto"/>
          <w:sz w:val="32"/>
          <w:szCs w:val="32"/>
        </w:rPr>
        <w:t>第十三条</w:t>
      </w:r>
      <w:r>
        <w:rPr>
          <w:rFonts w:hint="eastAsia" w:ascii="仿宋" w:hAnsi="仿宋" w:eastAsia="仿宋" w:cs="Times New Roman"/>
          <w:color w:val="auto"/>
          <w:sz w:val="32"/>
          <w:szCs w:val="32"/>
        </w:rPr>
        <w:t xml:space="preserve"> </w:t>
      </w:r>
      <w:r>
        <w:rPr>
          <w:rFonts w:ascii="仿宋" w:hAnsi="仿宋" w:eastAsia="仿宋" w:cs="Times New Roman"/>
          <w:color w:val="auto"/>
          <w:sz w:val="32"/>
          <w:szCs w:val="32"/>
        </w:rPr>
        <w:t>本办法由长春市商务局负责解释</w:t>
      </w:r>
      <w:r>
        <w:rPr>
          <w:rFonts w:cs="Times New Roman" w:asciiTheme="minorEastAsia" w:hAnsiTheme="minorEastAsia" w:eastAsiaTheme="minorEastAsia"/>
          <w:color w:val="auto"/>
          <w:sz w:val="21"/>
          <w:szCs w:val="21"/>
        </w:rPr>
        <w:t>。</w:t>
      </w:r>
    </w:p>
    <w:p>
      <w:pPr>
        <w:pStyle w:val="4"/>
        <w:shd w:val="clear" w:color="auto" w:fill="FFFFFF"/>
        <w:spacing w:before="0" w:beforeAutospacing="0" w:after="0" w:afterAutospacing="0"/>
        <w:ind w:firstLine="640" w:firstLineChars="200"/>
        <w:rPr>
          <w:rFonts w:cs="Segoe UI" w:asciiTheme="minorEastAsia" w:hAnsiTheme="minorEastAsia" w:eastAsiaTheme="minorEastAsia"/>
          <w:color w:val="auto"/>
          <w:sz w:val="21"/>
          <w:szCs w:val="21"/>
        </w:rPr>
      </w:pPr>
      <w:r>
        <w:rPr>
          <w:rFonts w:ascii="楷体" w:hAnsi="楷体" w:eastAsia="楷体" w:cs="Times New Roman"/>
          <w:color w:val="auto"/>
          <w:sz w:val="32"/>
          <w:szCs w:val="32"/>
        </w:rPr>
        <w:t>第十四条</w:t>
      </w:r>
      <w:r>
        <w:rPr>
          <w:rFonts w:hint="eastAsia" w:ascii="仿宋" w:hAnsi="仿宋" w:eastAsia="仿宋" w:cs="Times New Roman"/>
          <w:color w:val="auto"/>
          <w:sz w:val="32"/>
          <w:szCs w:val="32"/>
        </w:rPr>
        <w:t xml:space="preserve"> </w:t>
      </w:r>
      <w:r>
        <w:rPr>
          <w:rFonts w:ascii="仿宋" w:hAnsi="仿宋" w:eastAsia="仿宋" w:cs="Times New Roman"/>
          <w:color w:val="auto"/>
          <w:sz w:val="32"/>
          <w:szCs w:val="32"/>
        </w:rPr>
        <w:t>本办法</w:t>
      </w:r>
      <w:r>
        <w:rPr>
          <w:rFonts w:hint="eastAsia" w:ascii="仿宋" w:hAnsi="仿宋" w:eastAsia="仿宋"/>
          <w:color w:val="auto"/>
          <w:sz w:val="32"/>
          <w:szCs w:val="32"/>
        </w:rPr>
        <w:t>自13</w:t>
      </w:r>
      <w:r>
        <w:rPr>
          <w:rFonts w:ascii="仿宋" w:hAnsi="仿宋" w:eastAsia="仿宋"/>
          <w:color w:val="auto"/>
          <w:sz w:val="32"/>
          <w:szCs w:val="32"/>
        </w:rPr>
        <w:t>5</w:t>
      </w:r>
      <w:r>
        <w:rPr>
          <w:rFonts w:hint="eastAsia" w:ascii="仿宋" w:hAnsi="仿宋" w:eastAsia="仿宋"/>
          <w:color w:val="auto"/>
          <w:sz w:val="32"/>
          <w:szCs w:val="32"/>
        </w:rPr>
        <w:t>届广交会</w:t>
      </w:r>
      <w:r>
        <w:rPr>
          <w:rFonts w:ascii="仿宋" w:hAnsi="仿宋" w:eastAsia="仿宋" w:cs="Times New Roman"/>
          <w:color w:val="auto"/>
          <w:sz w:val="32"/>
          <w:szCs w:val="32"/>
        </w:rPr>
        <w:t>起执行。</w:t>
      </w:r>
    </w:p>
    <w:p>
      <w:pPr>
        <w:pStyle w:val="4"/>
        <w:shd w:val="clear" w:color="auto" w:fill="FFFFFF"/>
        <w:spacing w:before="0" w:beforeAutospacing="0" w:after="0" w:afterAutospacing="0" w:line="480" w:lineRule="atLeast"/>
        <w:jc w:val="both"/>
        <w:rPr>
          <w:rFonts w:ascii="仿宋" w:hAnsi="仿宋" w:eastAsia="仿宋"/>
          <w:color w:val="auto"/>
          <w:sz w:val="32"/>
          <w:szCs w:val="32"/>
        </w:rPr>
      </w:pPr>
    </w:p>
    <w:p>
      <w:pPr>
        <w:pStyle w:val="4"/>
        <w:shd w:val="clear" w:color="auto" w:fill="FFFFFF"/>
        <w:spacing w:before="0" w:beforeAutospacing="0" w:after="0" w:afterAutospacing="0"/>
        <w:ind w:firstLine="640" w:firstLineChars="200"/>
        <w:jc w:val="both"/>
        <w:rPr>
          <w:rFonts w:ascii="仿宋" w:hAnsi="仿宋" w:eastAsia="仿宋"/>
          <w:color w:val="auto"/>
          <w:sz w:val="32"/>
          <w:szCs w:val="32"/>
        </w:rPr>
      </w:pPr>
      <w:r>
        <w:rPr>
          <w:rFonts w:hint="eastAsia" w:ascii="仿宋" w:hAnsi="仿宋" w:eastAsia="仿宋" w:cs="Times New Roman"/>
          <w:color w:val="auto"/>
          <w:sz w:val="32"/>
          <w:szCs w:val="32"/>
          <w:lang w:eastAsia="zh-CN"/>
        </w:rPr>
        <w:t>附：</w:t>
      </w:r>
      <w:r>
        <w:rPr>
          <w:rFonts w:hint="eastAsia" w:ascii="仿宋" w:hAnsi="仿宋" w:eastAsia="仿宋" w:cs="Times New Roman"/>
          <w:color w:val="auto"/>
          <w:sz w:val="32"/>
          <w:szCs w:val="32"/>
        </w:rPr>
        <w:t>广交会长春市交易团一般性展位评分标准</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lang w:val="en-US" w:eastAsia="zh-CN"/>
        </w:rPr>
        <w:t>2023年度</w:t>
      </w:r>
      <w:r>
        <w:rPr>
          <w:rFonts w:hint="eastAsia" w:ascii="仿宋" w:hAnsi="仿宋" w:eastAsia="仿宋" w:cs="Times New Roman"/>
          <w:color w:val="auto"/>
          <w:sz w:val="32"/>
          <w:szCs w:val="32"/>
          <w:lang w:eastAsia="zh-CN"/>
        </w:rPr>
        <w:t>）</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Segoe UI">
    <w:altName w:val="Noto Naskh Arabic"/>
    <w:panose1 w:val="020B0502040204020203"/>
    <w:charset w:val="00"/>
    <w:family w:val="swiss"/>
    <w:pitch w:val="default"/>
    <w:sig w:usb0="00000000" w:usb1="00000000" w:usb2="00000009" w:usb3="00000000" w:csb0="000001FF" w:csb1="00000000"/>
  </w:font>
  <w:font w:name="Noto Naskh Arabic">
    <w:panose1 w:val="020B0502040504020204"/>
    <w:charset w:val="00"/>
    <w:family w:val="auto"/>
    <w:pitch w:val="default"/>
    <w:sig w:usb0="00002000" w:usb1="80000000" w:usb2="00000008" w:usb3="00000000" w:csb0="00000041" w:csb1="0008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458899"/>
      <w:docPartObj>
        <w:docPartGallery w:val="autotext"/>
      </w:docPartObj>
    </w:sdtPr>
    <w:sdtEndPr>
      <w:rPr>
        <w:rFonts w:ascii="仿宋" w:hAnsi="仿宋" w:eastAsia="仿宋"/>
        <w:sz w:val="24"/>
        <w:szCs w:val="24"/>
      </w:rPr>
    </w:sdtEndPr>
    <w:sdtContent>
      <w:p>
        <w:pPr>
          <w:pStyle w:val="2"/>
          <w:jc w:val="center"/>
          <w:rPr>
            <w:rFonts w:ascii="仿宋" w:hAnsi="仿宋" w:eastAsia="仿宋"/>
            <w:sz w:val="24"/>
            <w:szCs w:val="24"/>
          </w:rPr>
        </w:pPr>
        <w:r>
          <w:rPr>
            <w:rFonts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5</w:t>
        </w:r>
        <w:r>
          <w:rPr>
            <w:rFonts w:ascii="仿宋" w:hAnsi="仿宋" w:eastAsia="仿宋"/>
            <w:sz w:val="24"/>
            <w:szCs w:val="24"/>
          </w:rPr>
          <w:fldChar w:fldCharType="end"/>
        </w:r>
        <w:r>
          <w:rPr>
            <w:rFonts w:ascii="仿宋" w:hAnsi="仿宋" w:eastAsia="仿宋"/>
            <w:sz w:val="24"/>
            <w:szCs w:val="24"/>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6D"/>
    <w:rsid w:val="00005FF8"/>
    <w:rsid w:val="000316FC"/>
    <w:rsid w:val="00037099"/>
    <w:rsid w:val="00047FCF"/>
    <w:rsid w:val="0009402D"/>
    <w:rsid w:val="000A7F6D"/>
    <w:rsid w:val="001473E0"/>
    <w:rsid w:val="00183368"/>
    <w:rsid w:val="00210578"/>
    <w:rsid w:val="002A5139"/>
    <w:rsid w:val="002E3B78"/>
    <w:rsid w:val="00333040"/>
    <w:rsid w:val="003806C7"/>
    <w:rsid w:val="00397614"/>
    <w:rsid w:val="003B471B"/>
    <w:rsid w:val="0042614D"/>
    <w:rsid w:val="00490D0C"/>
    <w:rsid w:val="00533259"/>
    <w:rsid w:val="00555DDC"/>
    <w:rsid w:val="005665E3"/>
    <w:rsid w:val="0059224A"/>
    <w:rsid w:val="00604496"/>
    <w:rsid w:val="006129D1"/>
    <w:rsid w:val="006167F6"/>
    <w:rsid w:val="00617DF8"/>
    <w:rsid w:val="00725402"/>
    <w:rsid w:val="007A60D8"/>
    <w:rsid w:val="007E3CB6"/>
    <w:rsid w:val="00805F96"/>
    <w:rsid w:val="00807699"/>
    <w:rsid w:val="00851866"/>
    <w:rsid w:val="00882E91"/>
    <w:rsid w:val="008D4EE9"/>
    <w:rsid w:val="00931BE7"/>
    <w:rsid w:val="00942F28"/>
    <w:rsid w:val="009930E4"/>
    <w:rsid w:val="00994F75"/>
    <w:rsid w:val="009D17D1"/>
    <w:rsid w:val="00A90A8A"/>
    <w:rsid w:val="00A94334"/>
    <w:rsid w:val="00AE3FA7"/>
    <w:rsid w:val="00B141BE"/>
    <w:rsid w:val="00C9103A"/>
    <w:rsid w:val="00CB21B3"/>
    <w:rsid w:val="00CD466E"/>
    <w:rsid w:val="00D500F3"/>
    <w:rsid w:val="00DC5AC6"/>
    <w:rsid w:val="00DC5B50"/>
    <w:rsid w:val="00E00B01"/>
    <w:rsid w:val="00E75FB8"/>
    <w:rsid w:val="00EF177C"/>
    <w:rsid w:val="00F2051B"/>
    <w:rsid w:val="00FA3A00"/>
    <w:rsid w:val="3DEAAE04"/>
    <w:rsid w:val="60B7ABD9"/>
    <w:rsid w:val="637F6914"/>
    <w:rsid w:val="71B02FDF"/>
    <w:rsid w:val="7EB3BBE1"/>
    <w:rsid w:val="8E7AB14C"/>
    <w:rsid w:val="BFEF9951"/>
    <w:rsid w:val="E5FBE81F"/>
    <w:rsid w:val="FA7B1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280</Words>
  <Characters>1598</Characters>
  <Lines>13</Lines>
  <Paragraphs>3</Paragraphs>
  <TotalTime>5</TotalTime>
  <ScaleCrop>false</ScaleCrop>
  <LinksUpToDate>false</LinksUpToDate>
  <CharactersWithSpaces>1875</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2023-11-24T00:27:00Z</dcterms:created>
  <dc:creator>Grace</dc:creator>
  <cp:lastModifiedBy>inspur</cp:lastModifiedBy>
  <cp:lastPrinted>2023-12-15T14:41:36Z</cp:lastPrinted>
  <dcterms:modified xsi:type="dcterms:W3CDTF">2023-12-15T14:42:20Z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9A35400AF223C5457DC67B65CC167E0A</vt:lpwstr>
  </property>
</Properties>
</file>