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2" w:rightChars="24" w:firstLine="0"/>
        <w:rPr>
          <w:rFonts w:hint="default" w:ascii="Times New Roman" w:hAnsi="Times New Roman" w:eastAsia="宋体" w:cs="Times New Roman"/>
          <w:b/>
          <w:color w:val="000000"/>
          <w:sz w:val="56"/>
          <w:szCs w:val="72"/>
        </w:rPr>
      </w:pPr>
      <w:bookmarkStart w:id="0" w:name="_Hlk40280362"/>
      <w:bookmarkStart w:id="1" w:name="_Toc20864"/>
    </w:p>
    <w:p>
      <w:pPr>
        <w:ind w:right="72" w:rightChars="24" w:firstLine="0"/>
        <w:jc w:val="center"/>
        <w:rPr>
          <w:rFonts w:hint="default" w:ascii="Times New Roman" w:hAnsi="Times New Roman" w:eastAsia="宋体" w:cs="Times New Roman"/>
          <w:b/>
          <w:color w:val="000000"/>
          <w:sz w:val="56"/>
          <w:szCs w:val="72"/>
        </w:rPr>
      </w:pPr>
    </w:p>
    <w:p>
      <w:pPr>
        <w:spacing w:line="700" w:lineRule="exact"/>
        <w:ind w:right="72" w:rightChars="24" w:firstLine="0"/>
        <w:jc w:val="center"/>
        <w:rPr>
          <w:rFonts w:hint="default" w:ascii="Times New Roman" w:hAnsi="Times New Roman" w:eastAsia="宋体" w:cs="Times New Roman"/>
          <w:b/>
          <w:color w:val="000000"/>
          <w:sz w:val="56"/>
          <w:szCs w:val="72"/>
        </w:rPr>
      </w:pPr>
      <w:r>
        <w:rPr>
          <w:rFonts w:hint="default" w:ascii="Times New Roman" w:hAnsi="Times New Roman" w:eastAsia="宋体" w:cs="Times New Roman"/>
          <w:b/>
          <w:color w:val="000000"/>
          <w:sz w:val="56"/>
          <w:szCs w:val="72"/>
        </w:rPr>
        <w:t>榆树市国民经济和社会发展</w:t>
      </w:r>
    </w:p>
    <w:p>
      <w:pPr>
        <w:spacing w:line="700" w:lineRule="exact"/>
        <w:ind w:right="72" w:rightChars="24" w:firstLine="0"/>
        <w:jc w:val="center"/>
        <w:rPr>
          <w:rFonts w:hint="default" w:ascii="Times New Roman" w:hAnsi="Times New Roman" w:eastAsia="宋体" w:cs="Times New Roman"/>
          <w:b/>
          <w:color w:val="000000"/>
          <w:sz w:val="56"/>
          <w:szCs w:val="72"/>
        </w:rPr>
      </w:pPr>
      <w:r>
        <w:rPr>
          <w:rFonts w:hint="default" w:ascii="Times New Roman" w:hAnsi="Times New Roman" w:eastAsia="宋体" w:cs="Times New Roman"/>
          <w:b/>
          <w:color w:val="000000"/>
          <w:sz w:val="56"/>
          <w:szCs w:val="72"/>
        </w:rPr>
        <w:t>第十四个五年规划和</w:t>
      </w:r>
    </w:p>
    <w:p>
      <w:pPr>
        <w:spacing w:line="700" w:lineRule="exact"/>
        <w:ind w:right="72" w:rightChars="24" w:firstLine="0"/>
        <w:jc w:val="center"/>
        <w:rPr>
          <w:rFonts w:hint="default" w:ascii="Times New Roman" w:hAnsi="Times New Roman" w:eastAsia="宋体" w:cs="Times New Roman"/>
          <w:b/>
          <w:color w:val="000000"/>
          <w:sz w:val="56"/>
          <w:szCs w:val="72"/>
        </w:rPr>
      </w:pPr>
      <w:r>
        <w:rPr>
          <w:rFonts w:hint="eastAsia" w:ascii="Times New Roman" w:hAnsi="Times New Roman" w:eastAsia="宋体" w:cs="Times New Roman"/>
          <w:b/>
          <w:color w:val="000000"/>
          <w:sz w:val="56"/>
          <w:szCs w:val="72"/>
          <w:lang w:val="en-US" w:eastAsia="zh-CN"/>
        </w:rPr>
        <w:t>2035</w:t>
      </w:r>
      <w:r>
        <w:rPr>
          <w:rFonts w:hint="default" w:ascii="Times New Roman" w:hAnsi="Times New Roman" w:eastAsia="宋体" w:cs="Times New Roman"/>
          <w:b/>
          <w:color w:val="000000"/>
          <w:sz w:val="56"/>
          <w:szCs w:val="72"/>
        </w:rPr>
        <w:t>年远景目标纲要</w:t>
      </w:r>
    </w:p>
    <w:p>
      <w:pPr>
        <w:ind w:right="72" w:rightChars="24" w:firstLine="0"/>
        <w:jc w:val="center"/>
        <w:rPr>
          <w:rFonts w:hint="default" w:ascii="Times New Roman" w:hAnsi="Times New Roman" w:eastAsia="宋体" w:cs="Times New Roman"/>
          <w:b/>
          <w:color w:val="000000"/>
          <w:sz w:val="44"/>
          <w:szCs w:val="44"/>
        </w:rPr>
      </w:pPr>
    </w:p>
    <w:p>
      <w:pPr>
        <w:ind w:right="72" w:rightChars="24" w:firstLine="0"/>
        <w:jc w:val="center"/>
        <w:rPr>
          <w:rFonts w:hint="default" w:ascii="Times New Roman" w:hAnsi="Times New Roman" w:eastAsia="宋体" w:cs="Times New Roman"/>
          <w:b/>
          <w:color w:val="000000"/>
          <w:sz w:val="56"/>
          <w:szCs w:val="72"/>
        </w:rPr>
      </w:pPr>
    </w:p>
    <w:bookmarkEnd w:id="0"/>
    <w:p>
      <w:pPr>
        <w:ind w:right="72" w:rightChars="24" w:firstLine="0"/>
        <w:jc w:val="center"/>
        <w:rPr>
          <w:rFonts w:hint="default" w:ascii="Times New Roman" w:hAnsi="Times New Roman" w:eastAsia="楷体" w:cs="Times New Roman"/>
          <w:b/>
          <w:color w:val="000000"/>
          <w:sz w:val="48"/>
          <w:szCs w:val="52"/>
        </w:rPr>
      </w:pPr>
    </w:p>
    <w:p>
      <w:pPr>
        <w:ind w:right="72" w:rightChars="24" w:firstLine="0"/>
        <w:jc w:val="center"/>
        <w:rPr>
          <w:rFonts w:hint="default" w:ascii="Times New Roman" w:hAnsi="Times New Roman" w:eastAsia="仿宋_GB2312" w:cs="Times New Roman"/>
          <w:b/>
          <w:color w:val="000000"/>
          <w:sz w:val="52"/>
          <w:szCs w:val="56"/>
        </w:rPr>
      </w:pPr>
    </w:p>
    <w:p>
      <w:pPr>
        <w:ind w:right="72" w:rightChars="24" w:firstLine="0"/>
        <w:jc w:val="center"/>
        <w:rPr>
          <w:rFonts w:hint="default" w:ascii="Times New Roman" w:hAnsi="Times New Roman" w:eastAsia="仿宋_GB2312" w:cs="Times New Roman"/>
          <w:b/>
          <w:color w:val="000000"/>
          <w:sz w:val="52"/>
          <w:szCs w:val="56"/>
        </w:rPr>
      </w:pPr>
    </w:p>
    <w:p>
      <w:pPr>
        <w:ind w:right="72" w:rightChars="24" w:firstLine="0"/>
        <w:jc w:val="center"/>
        <w:rPr>
          <w:rFonts w:hint="default" w:ascii="Times New Roman" w:hAnsi="Times New Roman" w:eastAsia="仿宋_GB2312" w:cs="Times New Roman"/>
          <w:b/>
          <w:color w:val="000000"/>
          <w:sz w:val="52"/>
          <w:szCs w:val="56"/>
        </w:rPr>
      </w:pPr>
    </w:p>
    <w:p>
      <w:pPr>
        <w:ind w:right="72" w:rightChars="24" w:firstLine="0"/>
        <w:jc w:val="center"/>
        <w:rPr>
          <w:rFonts w:hint="default" w:ascii="Times New Roman" w:hAnsi="Times New Roman" w:eastAsia="仿宋_GB2312" w:cs="Times New Roman"/>
          <w:b/>
          <w:color w:val="000000"/>
          <w:sz w:val="52"/>
          <w:szCs w:val="56"/>
        </w:rPr>
      </w:pPr>
    </w:p>
    <w:p>
      <w:pPr>
        <w:ind w:right="72" w:rightChars="24" w:firstLine="0"/>
        <w:jc w:val="center"/>
        <w:outlineLvl w:val="0"/>
        <w:rPr>
          <w:rFonts w:hint="eastAsia" w:ascii="Times New Roman" w:hAnsi="Times New Roman" w:eastAsia="宋体" w:cs="Times New Roman"/>
          <w:b/>
          <w:color w:val="000000"/>
          <w:sz w:val="32"/>
          <w:szCs w:val="32"/>
          <w:lang w:val="en-US" w:eastAsia="zh-CN"/>
        </w:rPr>
      </w:pPr>
      <w:bookmarkStart w:id="2" w:name="_Toc17985"/>
      <w:bookmarkStart w:id="3" w:name="_Toc1108"/>
      <w:bookmarkStart w:id="4" w:name="_Toc3825"/>
      <w:bookmarkStart w:id="5" w:name="_Toc27435"/>
      <w:bookmarkStart w:id="6" w:name="_Toc24650"/>
      <w:bookmarkStart w:id="7" w:name="_Toc19382"/>
      <w:bookmarkStart w:id="8" w:name="_Toc19442"/>
      <w:bookmarkStart w:id="9" w:name="_Toc15108"/>
      <w:bookmarkStart w:id="10" w:name="_Toc11554"/>
      <w:bookmarkStart w:id="11" w:name="_Toc2961"/>
      <w:bookmarkStart w:id="12" w:name="_Toc22010"/>
      <w:bookmarkStart w:id="13" w:name="_Toc18823"/>
      <w:bookmarkStart w:id="14" w:name="_Toc24265"/>
      <w:bookmarkStart w:id="15" w:name="_Toc23816"/>
      <w:bookmarkStart w:id="16" w:name="_Toc7740"/>
      <w:bookmarkStart w:id="17" w:name="_Toc22369"/>
      <w:bookmarkStart w:id="18" w:name="_Toc24735"/>
      <w:bookmarkStart w:id="19" w:name="_Toc2074"/>
      <w:bookmarkStart w:id="20" w:name="_Toc28416"/>
      <w:bookmarkStart w:id="21" w:name="_Toc60062097"/>
      <w:bookmarkStart w:id="22" w:name="_Toc13741"/>
      <w:bookmarkStart w:id="23" w:name="_Toc25484"/>
      <w:bookmarkStart w:id="24" w:name="_Toc29020"/>
      <w:bookmarkStart w:id="25" w:name="_Toc22744"/>
      <w:bookmarkStart w:id="26" w:name="_Toc21498"/>
      <w:bookmarkStart w:id="27" w:name="_Toc26782"/>
      <w:bookmarkStart w:id="28" w:name="_Toc13956"/>
      <w:bookmarkStart w:id="29" w:name="_Toc6807"/>
      <w:bookmarkStart w:id="30" w:name="_Toc15964"/>
      <w:r>
        <w:rPr>
          <w:rFonts w:hint="eastAsia" w:ascii="Times New Roman" w:hAnsi="Times New Roman" w:eastAsia="宋体" w:cs="Times New Roman"/>
          <w:b/>
          <w:color w:val="000000"/>
          <w:sz w:val="32"/>
          <w:szCs w:val="32"/>
          <w:lang w:val="en-US" w:eastAsia="zh-CN"/>
        </w:rPr>
        <w:t>榆树市人民政府</w:t>
      </w:r>
      <w:bookmarkEnd w:id="2"/>
    </w:p>
    <w:p>
      <w:pPr>
        <w:ind w:right="72" w:rightChars="24" w:firstLine="0"/>
        <w:jc w:val="center"/>
        <w:outlineLvl w:val="0"/>
        <w:rPr>
          <w:rFonts w:hint="default" w:ascii="Times New Roman" w:hAnsi="Times New Roman" w:eastAsia="楷体" w:cs="Times New Roman"/>
          <w:b/>
          <w:color w:val="FF0000"/>
          <w:sz w:val="36"/>
          <w:szCs w:val="36"/>
        </w:rPr>
      </w:pPr>
      <w:bookmarkStart w:id="31" w:name="_Toc3511"/>
      <w:r>
        <w:rPr>
          <w:rFonts w:hint="default" w:ascii="Times New Roman" w:hAnsi="Times New Roman" w:eastAsia="宋体" w:cs="Times New Roman"/>
          <w:b/>
          <w:color w:val="000000"/>
          <w:sz w:val="32"/>
          <w:szCs w:val="32"/>
        </w:rPr>
        <w:t>二〇二</w:t>
      </w:r>
      <w:r>
        <w:rPr>
          <w:rFonts w:hint="eastAsia" w:ascii="Times New Roman" w:hAnsi="Times New Roman" w:eastAsia="宋体" w:cs="Times New Roman"/>
          <w:b/>
          <w:color w:val="000000"/>
          <w:sz w:val="32"/>
          <w:szCs w:val="32"/>
          <w:lang w:val="en-US" w:eastAsia="zh-CN"/>
        </w:rPr>
        <w:t>一</w:t>
      </w:r>
      <w:r>
        <w:rPr>
          <w:rFonts w:hint="default" w:ascii="Times New Roman" w:hAnsi="Times New Roman" w:eastAsia="宋体" w:cs="Times New Roman"/>
          <w:b/>
          <w:color w:val="000000"/>
          <w:sz w:val="32"/>
          <w:szCs w:val="32"/>
        </w:rPr>
        <w:t>年</w:t>
      </w:r>
      <w:r>
        <w:rPr>
          <w:rFonts w:hint="eastAsia" w:ascii="Times New Roman" w:hAnsi="Times New Roman" w:eastAsia="宋体" w:cs="Times New Roman"/>
          <w:b/>
          <w:color w:val="000000"/>
          <w:sz w:val="32"/>
          <w:szCs w:val="32"/>
          <w:lang w:val="en-US" w:eastAsia="zh-CN"/>
        </w:rPr>
        <w:t>一</w:t>
      </w:r>
      <w:r>
        <w:rPr>
          <w:rFonts w:hint="default" w:ascii="Times New Roman" w:hAnsi="Times New Roman" w:eastAsia="宋体" w:cs="Times New Roman"/>
          <w:b/>
          <w:color w:val="000000"/>
          <w:sz w:val="32"/>
          <w:szCs w:val="32"/>
        </w:rPr>
        <w:t>月</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ind w:right="72" w:rightChars="24"/>
        <w:rPr>
          <w:rFonts w:hint="default" w:ascii="Times New Roman" w:hAnsi="Times New Roman" w:cs="Times New Roman"/>
        </w:rPr>
        <w:sectPr>
          <w:pgSz w:w="11906" w:h="16838"/>
          <w:pgMar w:top="1440" w:right="1800" w:bottom="155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32" w:name="_Toc39611565"/>
      <w:bookmarkStart w:id="33" w:name="_Toc40025512"/>
      <w:bookmarkStart w:id="34" w:name="_Toc39650882"/>
      <w:bookmarkStart w:id="35" w:name="_Toc39942315"/>
    </w:p>
    <w:p>
      <w:pPr>
        <w:tabs>
          <w:tab w:val="center" w:pos="4153"/>
          <w:tab w:val="right" w:pos="8306"/>
        </w:tabs>
        <w:spacing w:line="240" w:lineRule="auto"/>
        <w:ind w:firstLine="0"/>
        <w:jc w:val="left"/>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ab/>
      </w:r>
      <w:r>
        <w:rPr>
          <w:rFonts w:hint="default" w:ascii="Times New Roman" w:hAnsi="Times New Roman" w:eastAsia="宋体" w:cs="Times New Roman"/>
          <w:b/>
          <w:bCs/>
          <w:sz w:val="44"/>
          <w:szCs w:val="44"/>
        </w:rPr>
        <w:t>目  录</w:t>
      </w:r>
      <w:r>
        <w:rPr>
          <w:rFonts w:hint="default" w:ascii="Times New Roman" w:hAnsi="Times New Roman" w:eastAsia="宋体" w:cs="Times New Roman"/>
          <w:b/>
          <w:bCs/>
          <w:sz w:val="44"/>
          <w:szCs w:val="44"/>
        </w:rPr>
        <w:tab/>
      </w:r>
    </w:p>
    <w:p>
      <w:pPr>
        <w:spacing w:line="240" w:lineRule="auto"/>
        <w:ind w:firstLine="0"/>
        <w:jc w:val="center"/>
        <w:rPr>
          <w:rFonts w:hint="default" w:ascii="Times New Roman" w:hAnsi="Times New Roman" w:eastAsia="宋体" w:cs="Times New Roman"/>
          <w:sz w:val="21"/>
        </w:rPr>
      </w:pP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i w:val="0"/>
          <w:iCs w:val="0"/>
          <w:sz w:val="28"/>
          <w:szCs w:val="28"/>
        </w:rPr>
        <w:fldChar w:fldCharType="begin"/>
      </w:r>
      <w:r>
        <w:rPr>
          <w:rFonts w:hint="eastAsia" w:ascii="仿宋_GB2312" w:hAnsi="仿宋_GB2312" w:eastAsia="仿宋_GB2312" w:cs="仿宋_GB2312"/>
          <w:b w:val="0"/>
          <w:i w:val="0"/>
          <w:iCs w:val="0"/>
          <w:sz w:val="28"/>
          <w:szCs w:val="28"/>
        </w:rPr>
        <w:instrText xml:space="preserve">TOC \o "1-3" \h \u </w:instrText>
      </w:r>
      <w:r>
        <w:rPr>
          <w:rFonts w:hint="eastAsia" w:ascii="仿宋_GB2312" w:hAnsi="仿宋_GB2312" w:eastAsia="仿宋_GB2312" w:cs="仿宋_GB2312"/>
          <w:b w:val="0"/>
          <w:i w:val="0"/>
          <w:iCs w:val="0"/>
          <w:sz w:val="28"/>
          <w:szCs w:val="28"/>
        </w:rPr>
        <w:fldChar w:fldCharType="separate"/>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_Toc2006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前  言</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_Toc2006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_Toc17578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第一篇  实现逆势突围  发展根基更加坚实</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_Toc17578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_Toc30345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第一章  发展基础</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_Toc30345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_Toc10763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经济实力优化夯实</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_Toc10763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_Toc28054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现代农业快速发展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_Toc28054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_Toc7282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“三大攻坚战”务实推进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_Toc7282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_Toc10329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“三级工程”取得实效</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_Toc10329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_Toc27748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第五节  深化改革激活动力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_Toc27748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i w:val="0"/>
          <w:iCs w:val="0"/>
          <w:sz w:val="28"/>
          <w:szCs w:val="28"/>
        </w:rPr>
        <w:fldChar w:fldCharType="begin"/>
      </w:r>
      <w:r>
        <w:rPr>
          <w:rFonts w:hint="eastAsia" w:ascii="仿宋_GB2312" w:hAnsi="仿宋_GB2312" w:eastAsia="仿宋_GB2312" w:cs="仿宋_GB2312"/>
          <w:bCs/>
          <w:i w:val="0"/>
          <w:iCs w:val="0"/>
          <w:sz w:val="28"/>
          <w:szCs w:val="28"/>
        </w:rPr>
        <w:instrText xml:space="preserve"> HYPERLINK \l _Toc5488 </w:instrText>
      </w:r>
      <w:r>
        <w:rPr>
          <w:rFonts w:hint="eastAsia" w:ascii="仿宋_GB2312" w:hAnsi="仿宋_GB2312" w:eastAsia="仿宋_GB2312" w:cs="仿宋_GB2312"/>
          <w:bCs/>
          <w:i w:val="0"/>
          <w:iCs w:val="0"/>
          <w:sz w:val="28"/>
          <w:szCs w:val="28"/>
        </w:rPr>
        <w:fldChar w:fldCharType="separate"/>
      </w:r>
      <w:r>
        <w:rPr>
          <w:rFonts w:hint="eastAsia" w:ascii="仿宋_GB2312" w:hAnsi="仿宋_GB2312" w:eastAsia="仿宋_GB2312" w:cs="仿宋_GB2312"/>
          <w:bCs/>
          <w:i w:val="0"/>
          <w:iCs w:val="0"/>
          <w:sz w:val="28"/>
          <w:szCs w:val="28"/>
        </w:rPr>
        <w:t>第六节  民生福祉稳步提升</w:t>
      </w:r>
      <w:r>
        <w:rPr>
          <w:rFonts w:hint="eastAsia" w:ascii="仿宋_GB2312" w:hAnsi="仿宋_GB2312" w:eastAsia="仿宋_GB2312" w:cs="仿宋_GB2312"/>
          <w:bCs/>
          <w:i w:val="0"/>
          <w:iCs w:val="0"/>
          <w:sz w:val="28"/>
          <w:szCs w:val="28"/>
        </w:rPr>
        <w:tab/>
      </w:r>
      <w:r>
        <w:rPr>
          <w:rFonts w:hint="eastAsia" w:ascii="仿宋_GB2312" w:hAnsi="仿宋_GB2312" w:eastAsia="仿宋_GB2312" w:cs="仿宋_GB2312"/>
          <w:bCs/>
          <w:i w:val="0"/>
          <w:iCs w:val="0"/>
          <w:sz w:val="28"/>
          <w:szCs w:val="28"/>
        </w:rPr>
        <w:fldChar w:fldCharType="begin"/>
      </w:r>
      <w:r>
        <w:rPr>
          <w:rFonts w:hint="eastAsia" w:ascii="仿宋_GB2312" w:hAnsi="仿宋_GB2312" w:eastAsia="仿宋_GB2312" w:cs="仿宋_GB2312"/>
          <w:bCs/>
          <w:i w:val="0"/>
          <w:iCs w:val="0"/>
          <w:sz w:val="28"/>
          <w:szCs w:val="28"/>
        </w:rPr>
        <w:instrText xml:space="preserve"> PAGEREF _Toc5488 </w:instrText>
      </w:r>
      <w:r>
        <w:rPr>
          <w:rFonts w:hint="eastAsia" w:ascii="仿宋_GB2312" w:hAnsi="仿宋_GB2312" w:eastAsia="仿宋_GB2312" w:cs="仿宋_GB2312"/>
          <w:bCs/>
          <w:i w:val="0"/>
          <w:iCs w:val="0"/>
          <w:sz w:val="28"/>
          <w:szCs w:val="28"/>
        </w:rPr>
        <w:fldChar w:fldCharType="separate"/>
      </w:r>
      <w:r>
        <w:rPr>
          <w:rFonts w:hint="eastAsia" w:ascii="仿宋_GB2312" w:hAnsi="仿宋_GB2312" w:eastAsia="仿宋_GB2312" w:cs="仿宋_GB2312"/>
          <w:bCs/>
          <w:i w:val="0"/>
          <w:iCs w:val="0"/>
          <w:sz w:val="28"/>
          <w:szCs w:val="28"/>
        </w:rPr>
        <w:t>8</w:t>
      </w:r>
      <w:r>
        <w:rPr>
          <w:rFonts w:hint="eastAsia" w:ascii="仿宋_GB2312" w:hAnsi="仿宋_GB2312" w:eastAsia="仿宋_GB2312" w:cs="仿宋_GB2312"/>
          <w:bCs/>
          <w:i w:val="0"/>
          <w:iCs w:val="0"/>
          <w:sz w:val="28"/>
          <w:szCs w:val="28"/>
        </w:rPr>
        <w:fldChar w:fldCharType="end"/>
      </w:r>
      <w:r>
        <w:rPr>
          <w:rFonts w:hint="eastAsia" w:ascii="仿宋_GB2312" w:hAnsi="仿宋_GB2312" w:eastAsia="仿宋_GB2312" w:cs="仿宋_GB2312"/>
          <w:bCs/>
          <w:i w:val="0"/>
          <w:iCs w:val="0"/>
          <w:sz w:val="28"/>
          <w:szCs w:val="28"/>
        </w:rPr>
        <w:fldChar w:fldCharType="end"/>
      </w:r>
    </w:p>
    <w:p>
      <w:pPr>
        <w:pStyle w:val="16"/>
        <w:tabs>
          <w:tab w:val="right" w:leader="dot" w:pos="8306"/>
        </w:tabs>
        <w:rPr>
          <w:rFonts w:hint="eastAsia" w:ascii="仿宋_GB2312" w:hAnsi="仿宋_GB2312" w:eastAsia="仿宋_GB2312" w:cs="仿宋_GB2312"/>
          <w:bCs/>
          <w:i w:val="0"/>
          <w:iCs w:val="0"/>
          <w:kern w:val="2"/>
          <w:sz w:val="28"/>
          <w:szCs w:val="28"/>
          <w:lang w:val="en-US" w:eastAsia="zh-CN" w:bidi="ar-SA"/>
        </w:rPr>
      </w:pPr>
      <w:r>
        <w:rPr>
          <w:rFonts w:hint="eastAsia" w:ascii="仿宋_GB2312" w:hAnsi="仿宋_GB2312" w:eastAsia="仿宋_GB2312" w:cs="仿宋_GB2312"/>
          <w:bCs/>
          <w:i w:val="0"/>
          <w:iCs w:val="0"/>
          <w:sz w:val="28"/>
          <w:szCs w:val="28"/>
          <w:lang w:val="en-US" w:eastAsia="zh-CN"/>
        </w:rPr>
        <w:fldChar w:fldCharType="begin"/>
      </w:r>
      <w:r>
        <w:rPr>
          <w:rFonts w:hint="eastAsia" w:ascii="仿宋_GB2312" w:hAnsi="仿宋_GB2312" w:eastAsia="仿宋_GB2312" w:cs="仿宋_GB2312"/>
          <w:bCs/>
          <w:i w:val="0"/>
          <w:iCs w:val="0"/>
          <w:sz w:val="28"/>
          <w:szCs w:val="28"/>
          <w:lang w:val="en-US" w:eastAsia="zh-CN"/>
        </w:rPr>
        <w:instrText xml:space="preserve"> HYPERLINK \l _Toc5488 </w:instrText>
      </w:r>
      <w:r>
        <w:rPr>
          <w:rFonts w:hint="eastAsia" w:ascii="仿宋_GB2312" w:hAnsi="仿宋_GB2312" w:eastAsia="仿宋_GB2312" w:cs="仿宋_GB2312"/>
          <w:bCs/>
          <w:i w:val="0"/>
          <w:iCs w:val="0"/>
          <w:sz w:val="28"/>
          <w:szCs w:val="28"/>
          <w:lang w:val="en-US" w:eastAsia="zh-CN"/>
        </w:rPr>
        <w:fldChar w:fldCharType="separate"/>
      </w:r>
      <w:r>
        <w:rPr>
          <w:rFonts w:hint="eastAsia" w:ascii="仿宋_GB2312" w:hAnsi="仿宋_GB2312" w:eastAsia="仿宋_GB2312" w:cs="仿宋_GB2312"/>
          <w:bCs/>
          <w:i w:val="0"/>
          <w:iCs w:val="0"/>
          <w:sz w:val="28"/>
          <w:szCs w:val="28"/>
          <w:lang w:val="en-US" w:eastAsia="zh-CN"/>
        </w:rPr>
        <w:t>第七节  社会治理全面加强</w:t>
      </w:r>
      <w:r>
        <w:rPr>
          <w:rFonts w:hint="eastAsia" w:ascii="仿宋_GB2312" w:hAnsi="仿宋_GB2312" w:eastAsia="仿宋_GB2312" w:cs="仿宋_GB2312"/>
          <w:bCs/>
          <w:i w:val="0"/>
          <w:iCs w:val="0"/>
          <w:sz w:val="28"/>
          <w:szCs w:val="28"/>
          <w:lang w:val="en-US" w:eastAsia="zh-CN"/>
        </w:rPr>
        <w:tab/>
      </w:r>
      <w:r>
        <w:rPr>
          <w:rFonts w:hint="eastAsia" w:ascii="仿宋_GB2312" w:hAnsi="仿宋_GB2312" w:eastAsia="仿宋_GB2312" w:cs="仿宋_GB2312"/>
          <w:bCs/>
          <w:i w:val="0"/>
          <w:iCs w:val="0"/>
          <w:sz w:val="28"/>
          <w:szCs w:val="28"/>
          <w:lang w:val="en-US" w:eastAsia="zh-CN"/>
        </w:rPr>
        <w:t>9</w:t>
      </w:r>
      <w:r>
        <w:rPr>
          <w:rFonts w:hint="eastAsia" w:ascii="仿宋_GB2312" w:hAnsi="仿宋_GB2312" w:eastAsia="仿宋_GB2312" w:cs="仿宋_GB2312"/>
          <w:bCs/>
          <w:i w:val="0"/>
          <w:iCs w:val="0"/>
          <w:sz w:val="28"/>
          <w:szCs w:val="28"/>
          <w:lang w:val="en-US" w:eastAsia="zh-CN"/>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_Toc30064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第八节  疫情防控成效显著</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_Toc30064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_Toc21493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第二章  发展环境</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_Toc21493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_Toc19716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国际国内宏观环境</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_Toc19716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_Toc13169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发展机遇不断显现</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_Toc13169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_Toc7438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面临挑战前所未有</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_Toc7438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_Toc5237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 xml:space="preserve">第二篇  </w:t>
      </w:r>
      <w:r>
        <w:rPr>
          <w:rFonts w:hint="eastAsia" w:ascii="仿宋_GB2312" w:hAnsi="仿宋_GB2312" w:eastAsia="仿宋_GB2312" w:cs="仿宋_GB2312"/>
          <w:i w:val="0"/>
          <w:iCs w:val="0"/>
          <w:sz w:val="28"/>
          <w:szCs w:val="28"/>
        </w:rPr>
        <w:t>开启</w:t>
      </w:r>
      <w:r>
        <w:rPr>
          <w:rFonts w:hint="eastAsia" w:ascii="仿宋_GB2312" w:hAnsi="仿宋_GB2312" w:eastAsia="仿宋_GB2312" w:cs="仿宋_GB2312"/>
          <w:bCs w:val="0"/>
          <w:i w:val="0"/>
          <w:iCs w:val="0"/>
          <w:sz w:val="28"/>
          <w:szCs w:val="28"/>
        </w:rPr>
        <w:t>新</w:t>
      </w:r>
      <w:r>
        <w:rPr>
          <w:rFonts w:hint="eastAsia" w:ascii="仿宋_GB2312" w:hAnsi="仿宋_GB2312" w:eastAsia="仿宋_GB2312" w:cs="仿宋_GB2312"/>
          <w:i w:val="0"/>
          <w:iCs w:val="0"/>
          <w:sz w:val="28"/>
          <w:szCs w:val="28"/>
        </w:rPr>
        <w:t>征程</w:t>
      </w:r>
      <w:r>
        <w:rPr>
          <w:rFonts w:hint="eastAsia" w:ascii="仿宋_GB2312" w:hAnsi="仿宋_GB2312" w:eastAsia="仿宋_GB2312" w:cs="仿宋_GB2312"/>
          <w:bCs w:val="0"/>
          <w:i w:val="0"/>
          <w:iCs w:val="0"/>
          <w:sz w:val="28"/>
          <w:szCs w:val="28"/>
        </w:rPr>
        <w:t xml:space="preserve">  </w:t>
      </w:r>
      <w:r>
        <w:rPr>
          <w:rFonts w:hint="eastAsia" w:ascii="仿宋_GB2312" w:hAnsi="仿宋_GB2312" w:eastAsia="仿宋_GB2312" w:cs="仿宋_GB2312"/>
          <w:i w:val="0"/>
          <w:iCs w:val="0"/>
          <w:sz w:val="28"/>
          <w:szCs w:val="28"/>
        </w:rPr>
        <w:t>建设现代化新榆树</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_Toc5237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_Toc12470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第三章  指导方针</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_Toc12470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_Toc14082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指导思想</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_Toc14082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_Toc11170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发展原则</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_Toc11170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_Toc11556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第四章  发展定位</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_Toc11556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_Toc26793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打造哈长城市群区域性中心城市</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_Toc26793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_Toc7019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打造长吉图战略向北开放重要门户</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_Toc7019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_Toc8933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打造国家农业高质量发展示范区</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_Toc8933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_Toc32295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第五章  发展目标</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_Toc32295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_Toc25726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2035年远景目标</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_Toc25726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19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_Toc8597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2025年发展目标</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_Toc8597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_Toc20647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 xml:space="preserve">第三篇  </w:t>
      </w:r>
      <w:r>
        <w:rPr>
          <w:rFonts w:hint="eastAsia" w:ascii="仿宋_GB2312" w:hAnsi="仿宋_GB2312" w:eastAsia="仿宋_GB2312" w:cs="仿宋_GB2312"/>
          <w:i w:val="0"/>
          <w:iCs w:val="0"/>
          <w:sz w:val="28"/>
          <w:szCs w:val="28"/>
        </w:rPr>
        <w:t xml:space="preserve">坚决扛起责任 </w:t>
      </w:r>
      <w:r>
        <w:rPr>
          <w:rFonts w:hint="eastAsia" w:ascii="仿宋_GB2312" w:hAnsi="仿宋_GB2312" w:eastAsia="仿宋_GB2312" w:cs="仿宋_GB2312"/>
          <w:bCs w:val="0"/>
          <w:i w:val="0"/>
          <w:iCs w:val="0"/>
          <w:sz w:val="28"/>
          <w:szCs w:val="28"/>
        </w:rPr>
        <w:t xml:space="preserve"> 全面推进乡村振兴</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_Toc20647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_Toc11359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第六章  维护保障国家粮食安全</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_Toc11359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_Toc19104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坚决扛起保障国家粮食安全重任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_Toc19104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_Toc22292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加强黑土地保护利用</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_Toc22292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_Toc18881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加强水利兴农设施建设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_Toc18881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_Toc144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第七章  加快现代农业“三大体系”建设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_Toc144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_Toc27348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优化提升现代农业生产体系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_Toc27348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_Toc3684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优化提升现代农业产业体系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_Toc3684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_Toc4426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优化提升现代农业经营体系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_Toc4426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28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_Toc16834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第八章  深入实施乡村振兴战略</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lang w:val="en-US" w:eastAsia="zh-CN"/>
        </w:rPr>
        <w:t>29</w:t>
      </w:r>
    </w:p>
    <w:p>
      <w:pPr>
        <w:pStyle w:val="16"/>
        <w:tabs>
          <w:tab w:val="right" w:leader="dot" w:pos="8306"/>
        </w:tabs>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_Toc16145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深化农村“三变”改革</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lang w:val="en-US" w:eastAsia="zh-CN"/>
        </w:rPr>
        <w:t>30</w:t>
      </w:r>
    </w:p>
    <w:p>
      <w:pPr>
        <w:pStyle w:val="16"/>
        <w:tabs>
          <w:tab w:val="right" w:leader="dot" w:pos="8306"/>
        </w:tabs>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_Toc11379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实施乡村建设行动</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lang w:val="en-US" w:eastAsia="zh-CN"/>
        </w:rPr>
        <w:t>30</w:t>
      </w:r>
    </w:p>
    <w:p>
      <w:pPr>
        <w:pStyle w:val="16"/>
        <w:tabs>
          <w:tab w:val="right" w:leader="dot" w:pos="8306"/>
        </w:tabs>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_Toc16398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培育发展乡村特色产业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lang w:val="en-US" w:eastAsia="zh-CN"/>
        </w:rPr>
        <w:t>31</w:t>
      </w:r>
    </w:p>
    <w:p>
      <w:pPr>
        <w:pStyle w:val="16"/>
        <w:tabs>
          <w:tab w:val="right" w:leader="dot" w:pos="8306"/>
        </w:tabs>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_Toc3815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持续巩固</w:t>
      </w:r>
      <w:r>
        <w:rPr>
          <w:rFonts w:hint="eastAsia" w:ascii="仿宋_GB2312" w:hAnsi="仿宋_GB2312" w:eastAsia="仿宋_GB2312" w:cs="仿宋_GB2312"/>
          <w:bCs/>
          <w:i w:val="0"/>
          <w:iCs w:val="0"/>
          <w:sz w:val="28"/>
          <w:szCs w:val="28"/>
          <w:lang w:val="zh-TW"/>
        </w:rPr>
        <w:t>脱贫攻坚</w:t>
      </w:r>
      <w:r>
        <w:rPr>
          <w:rFonts w:hint="eastAsia" w:ascii="仿宋_GB2312" w:hAnsi="仿宋_GB2312" w:eastAsia="仿宋_GB2312" w:cs="仿宋_GB2312"/>
          <w:bCs/>
          <w:i w:val="0"/>
          <w:iCs w:val="0"/>
          <w:sz w:val="28"/>
          <w:szCs w:val="28"/>
        </w:rPr>
        <w:t>成果</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lang w:val="en-US" w:eastAsia="zh-CN"/>
        </w:rPr>
        <w:t>31</w:t>
      </w:r>
    </w:p>
    <w:p>
      <w:pPr>
        <w:pStyle w:val="16"/>
        <w:tabs>
          <w:tab w:val="right" w:leader="dot" w:pos="8306"/>
        </w:tabs>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_Toc28305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第五节  加快发展智慧农业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lang w:val="en-US" w:eastAsia="zh-CN"/>
        </w:rPr>
        <w:t>31</w:t>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_Toc28512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 xml:space="preserve">第四篇  </w:t>
      </w:r>
      <w:r>
        <w:rPr>
          <w:rFonts w:hint="eastAsia" w:ascii="仿宋_GB2312" w:hAnsi="仿宋_GB2312" w:eastAsia="仿宋_GB2312" w:cs="仿宋_GB2312"/>
          <w:i w:val="0"/>
          <w:iCs w:val="0"/>
          <w:sz w:val="28"/>
          <w:szCs w:val="28"/>
        </w:rPr>
        <w:t>加快动力变革  推动</w:t>
      </w:r>
      <w:r>
        <w:rPr>
          <w:rFonts w:hint="eastAsia" w:ascii="仿宋_GB2312" w:hAnsi="仿宋_GB2312" w:eastAsia="仿宋_GB2312" w:cs="仿宋_GB2312"/>
          <w:bCs w:val="0"/>
          <w:i w:val="0"/>
          <w:iCs w:val="0"/>
          <w:sz w:val="28"/>
          <w:szCs w:val="28"/>
        </w:rPr>
        <w:t>产业转型升级</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_Toc28512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_Toc16443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lang w:val="zh-CN"/>
        </w:rPr>
        <w:t>第</w:t>
      </w:r>
      <w:r>
        <w:rPr>
          <w:rFonts w:hint="eastAsia" w:ascii="仿宋_GB2312" w:hAnsi="仿宋_GB2312" w:eastAsia="仿宋_GB2312" w:cs="仿宋_GB2312"/>
          <w:bCs/>
          <w:i w:val="0"/>
          <w:iCs w:val="0"/>
          <w:sz w:val="28"/>
          <w:szCs w:val="28"/>
        </w:rPr>
        <w:t>九</w:t>
      </w:r>
      <w:r>
        <w:rPr>
          <w:rFonts w:hint="eastAsia" w:ascii="仿宋_GB2312" w:hAnsi="仿宋_GB2312" w:eastAsia="仿宋_GB2312" w:cs="仿宋_GB2312"/>
          <w:bCs/>
          <w:i w:val="0"/>
          <w:iCs w:val="0"/>
          <w:sz w:val="28"/>
          <w:szCs w:val="28"/>
          <w:lang w:val="zh-CN"/>
        </w:rPr>
        <w:t>章  增强</w:t>
      </w:r>
      <w:r>
        <w:rPr>
          <w:rFonts w:hint="eastAsia" w:ascii="仿宋_GB2312" w:hAnsi="仿宋_GB2312" w:eastAsia="仿宋_GB2312" w:cs="仿宋_GB2312"/>
          <w:bCs/>
          <w:i w:val="0"/>
          <w:iCs w:val="0"/>
          <w:sz w:val="28"/>
          <w:szCs w:val="28"/>
        </w:rPr>
        <w:t>特色</w:t>
      </w:r>
      <w:r>
        <w:rPr>
          <w:rFonts w:hint="eastAsia" w:ascii="仿宋_GB2312" w:hAnsi="仿宋_GB2312" w:eastAsia="仿宋_GB2312" w:cs="仿宋_GB2312"/>
          <w:bCs/>
          <w:i w:val="0"/>
          <w:iCs w:val="0"/>
          <w:sz w:val="28"/>
          <w:szCs w:val="28"/>
          <w:lang w:val="zh-CN"/>
        </w:rPr>
        <w:t>工业竞争力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_Toc16443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_Toc31679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全力打造支柱优势产业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_Toc31679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_Toc1832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改造提升传统产业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_Toc1832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_Toc4739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推动产业集聚发展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_Toc4739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_Toc29022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第十章  提升现代服务业发展水平</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_Toc29022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_Toc29945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w:t>
      </w:r>
      <w:r>
        <w:rPr>
          <w:rFonts w:hint="eastAsia" w:ascii="仿宋_GB2312" w:hAnsi="仿宋_GB2312" w:eastAsia="仿宋_GB2312" w:cs="仿宋_GB2312"/>
          <w:i w:val="0"/>
          <w:iCs w:val="0"/>
          <w:sz w:val="28"/>
          <w:szCs w:val="28"/>
        </w:rPr>
        <w:t xml:space="preserve">  </w:t>
      </w:r>
      <w:r>
        <w:rPr>
          <w:rFonts w:hint="eastAsia" w:ascii="仿宋_GB2312" w:hAnsi="仿宋_GB2312" w:eastAsia="仿宋_GB2312" w:cs="仿宋_GB2312"/>
          <w:bCs/>
          <w:i w:val="0"/>
          <w:iCs w:val="0"/>
          <w:sz w:val="28"/>
          <w:szCs w:val="28"/>
        </w:rPr>
        <w:t>提升发展传统商贸业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_Toc29945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_Toc24789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大力发展现代物流业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_Toc24789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_Toc29613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加快建设美丽榆树旅游圈</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_Toc29613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39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_Toc18574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加快发展现代金融业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_Toc18574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_Toc12187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第五节  积极发展电子商务产业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_Toc12187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_Toc24471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第六节  加快发展生产性与生活性服务业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_Toc24471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_Toc7601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 xml:space="preserve">第五篇  </w:t>
      </w:r>
      <w:r>
        <w:rPr>
          <w:rFonts w:hint="eastAsia" w:ascii="仿宋_GB2312" w:hAnsi="仿宋_GB2312" w:eastAsia="仿宋_GB2312" w:cs="仿宋_GB2312"/>
          <w:i w:val="0"/>
          <w:iCs w:val="0"/>
          <w:sz w:val="28"/>
          <w:szCs w:val="28"/>
        </w:rPr>
        <w:t>实施城市更新</w:t>
      </w:r>
      <w:r>
        <w:rPr>
          <w:rFonts w:hint="eastAsia" w:ascii="仿宋_GB2312" w:hAnsi="仿宋_GB2312" w:eastAsia="仿宋_GB2312" w:cs="仿宋_GB2312"/>
          <w:bCs w:val="0"/>
          <w:i w:val="0"/>
          <w:iCs w:val="0"/>
          <w:sz w:val="28"/>
          <w:szCs w:val="28"/>
        </w:rPr>
        <w:t xml:space="preserve">  </w:t>
      </w:r>
      <w:r>
        <w:rPr>
          <w:rFonts w:hint="eastAsia" w:ascii="仿宋_GB2312" w:hAnsi="仿宋_GB2312" w:eastAsia="仿宋_GB2312" w:cs="仿宋_GB2312"/>
          <w:i w:val="0"/>
          <w:iCs w:val="0"/>
          <w:sz w:val="28"/>
          <w:szCs w:val="28"/>
        </w:rPr>
        <w:t>加快建设</w:t>
      </w:r>
      <w:r>
        <w:rPr>
          <w:rFonts w:hint="eastAsia" w:ascii="仿宋_GB2312" w:hAnsi="仿宋_GB2312" w:eastAsia="仿宋_GB2312" w:cs="仿宋_GB2312"/>
          <w:bCs w:val="0"/>
          <w:i w:val="0"/>
          <w:iCs w:val="0"/>
          <w:sz w:val="28"/>
          <w:szCs w:val="28"/>
        </w:rPr>
        <w:t>新型城镇化</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_Toc7601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_Toc16615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第十一章  加强国土空间管控</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_Toc16615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_Toc10147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深入落实主体功能区规划</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_Toc10147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_Toc1921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构筑“一核两区、双轴多点”新型城镇体系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_Toc1921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_Toc23587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第十二章  加快新型城镇化发展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_Toc23587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_Toc12347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推进中心城区外延拓展、内涵提升</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_Toc12347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_Toc29166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提高“两区”基础设施承载能力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_Toc29166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_Toc5905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加快推进重点镇建设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_Toc5905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_Toc15455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促进区域一体化协同发展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_Toc15455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_Toc21507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第六篇  立足强基固本  持续提升承载能力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_Toc21507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_Toc25946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第十三章  建设现代综合交通运输网</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_Toc25946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_Toc7102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铁路交通工程建设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_Toc7102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_Toc8141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公路交通工程建设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_Toc8141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_Toc10908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航空通道建设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_Toc10908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_Toc24360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客运系统建设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_Toc24360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_Toc13520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第五节  货运系统建设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_Toc13520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49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_Toc27824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第六节  交通运输综合指挥平台建设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_Toc27824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_Toc9892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 xml:space="preserve">第十四章  </w:t>
      </w:r>
      <w:r>
        <w:rPr>
          <w:rFonts w:hint="eastAsia" w:ascii="仿宋_GB2312" w:hAnsi="仿宋_GB2312" w:eastAsia="仿宋_GB2312" w:cs="仿宋_GB2312"/>
          <w:bCs/>
          <w:i w:val="0"/>
          <w:iCs w:val="0"/>
          <w:sz w:val="28"/>
          <w:szCs w:val="28"/>
        </w:rPr>
        <w:t xml:space="preserve"> 加强水利基础设施建设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_Toc9892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_Toc30836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着力加强防洪薄弱环节建设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_Toc30836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_Toc24685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提高城乡供水保障能力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_Toc24685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_Toc15090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第十五章  健全能源供应体系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_Toc15090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_Toc13319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加快电力输送网络建设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_Toc13319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_Toc12048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加强清洁能源设施建设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_Toc12048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_Toc19082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kern w:val="0"/>
          <w:sz w:val="28"/>
          <w:szCs w:val="28"/>
        </w:rPr>
        <w:t>第三节  推进燃气和成品油项目建设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_Toc19082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_Toc21518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kern w:val="0"/>
          <w:sz w:val="28"/>
          <w:szCs w:val="28"/>
        </w:rPr>
        <w:t>第十六章  建设“761”工程智能信息网</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_Toc21518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_Toc24220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kern w:val="0"/>
          <w:sz w:val="28"/>
          <w:szCs w:val="28"/>
        </w:rPr>
        <w:t>第一节  完善信息网络基础设施</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_Toc24220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_Toc22740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加快推进“智慧榆树”建设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_Toc22740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_Toc12022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第</w:t>
      </w:r>
      <w:r>
        <w:rPr>
          <w:rFonts w:hint="eastAsia" w:ascii="仿宋_GB2312" w:hAnsi="仿宋_GB2312" w:eastAsia="仿宋_GB2312" w:cs="仿宋_GB2312"/>
          <w:i w:val="0"/>
          <w:iCs w:val="0"/>
          <w:sz w:val="28"/>
          <w:szCs w:val="28"/>
        </w:rPr>
        <w:t>七</w:t>
      </w:r>
      <w:r>
        <w:rPr>
          <w:rFonts w:hint="eastAsia" w:ascii="仿宋_GB2312" w:hAnsi="仿宋_GB2312" w:eastAsia="仿宋_GB2312" w:cs="仿宋_GB2312"/>
          <w:bCs w:val="0"/>
          <w:i w:val="0"/>
          <w:iCs w:val="0"/>
          <w:sz w:val="28"/>
          <w:szCs w:val="28"/>
        </w:rPr>
        <w:t xml:space="preserve">篇  </w:t>
      </w:r>
      <w:r>
        <w:rPr>
          <w:rFonts w:hint="eastAsia" w:ascii="仿宋_GB2312" w:hAnsi="仿宋_GB2312" w:eastAsia="仿宋_GB2312" w:cs="仿宋_GB2312"/>
          <w:i w:val="0"/>
          <w:iCs w:val="0"/>
          <w:sz w:val="28"/>
          <w:szCs w:val="28"/>
        </w:rPr>
        <w:t>全面深化改革  着力</w:t>
      </w:r>
      <w:r>
        <w:rPr>
          <w:rFonts w:hint="eastAsia" w:ascii="仿宋_GB2312" w:hAnsi="仿宋_GB2312" w:eastAsia="仿宋_GB2312" w:cs="仿宋_GB2312"/>
          <w:bCs w:val="0"/>
          <w:i w:val="0"/>
          <w:iCs w:val="0"/>
          <w:sz w:val="28"/>
          <w:szCs w:val="28"/>
        </w:rPr>
        <w:t>激发开放活力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_Toc12022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_Toc26335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第十七章  全面深化体制机制改革</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_Toc26335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_Toc13858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加快政府职能转变</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_Toc13858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_Toc12690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构建现代市场体系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_Toc12690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_Toc22798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创新财税金融机制</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_Toc22798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_Toc21731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健全社会民主法治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_Toc21731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第十八章  大力实施创新驱动战略</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_Toc9935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lang w:val="en-US" w:eastAsia="zh-CN"/>
        </w:rPr>
        <w:t>第一节  增强民营经济发展活力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_Toc9935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_Toc8209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w:t>
      </w:r>
      <w:r>
        <w:rPr>
          <w:rFonts w:hint="eastAsia" w:ascii="仿宋_GB2312" w:hAnsi="仿宋_GB2312" w:eastAsia="仿宋_GB2312" w:cs="仿宋_GB2312"/>
          <w:bCs/>
          <w:i w:val="0"/>
          <w:iCs w:val="0"/>
          <w:sz w:val="28"/>
          <w:szCs w:val="28"/>
          <w:lang w:val="en-US" w:eastAsia="zh-CN"/>
        </w:rPr>
        <w:t>二</w:t>
      </w:r>
      <w:r>
        <w:rPr>
          <w:rFonts w:hint="eastAsia" w:ascii="仿宋_GB2312" w:hAnsi="仿宋_GB2312" w:eastAsia="仿宋_GB2312" w:cs="仿宋_GB2312"/>
          <w:bCs/>
          <w:i w:val="0"/>
          <w:iCs w:val="0"/>
          <w:sz w:val="28"/>
          <w:szCs w:val="28"/>
        </w:rPr>
        <w:t>节  强化企业创新主体</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_Toc8209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59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_Toc30957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w:t>
      </w:r>
      <w:r>
        <w:rPr>
          <w:rFonts w:hint="eastAsia" w:ascii="仿宋_GB2312" w:hAnsi="仿宋_GB2312" w:eastAsia="仿宋_GB2312" w:cs="仿宋_GB2312"/>
          <w:bCs/>
          <w:i w:val="0"/>
          <w:iCs w:val="0"/>
          <w:sz w:val="28"/>
          <w:szCs w:val="28"/>
          <w:lang w:val="en-US" w:eastAsia="zh-CN"/>
        </w:rPr>
        <w:t>三</w:t>
      </w:r>
      <w:r>
        <w:rPr>
          <w:rFonts w:hint="eastAsia" w:ascii="仿宋_GB2312" w:hAnsi="仿宋_GB2312" w:eastAsia="仿宋_GB2312" w:cs="仿宋_GB2312"/>
          <w:bCs/>
          <w:i w:val="0"/>
          <w:iCs w:val="0"/>
          <w:sz w:val="28"/>
          <w:szCs w:val="28"/>
        </w:rPr>
        <w:t>节  建设创新载体平台</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_Toc30957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_Toc27745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w:t>
      </w:r>
      <w:r>
        <w:rPr>
          <w:rFonts w:hint="eastAsia" w:ascii="仿宋_GB2312" w:hAnsi="仿宋_GB2312" w:eastAsia="仿宋_GB2312" w:cs="仿宋_GB2312"/>
          <w:bCs/>
          <w:i w:val="0"/>
          <w:iCs w:val="0"/>
          <w:sz w:val="28"/>
          <w:szCs w:val="28"/>
          <w:lang w:val="en-US" w:eastAsia="zh-CN"/>
        </w:rPr>
        <w:t>四</w:t>
      </w:r>
      <w:r>
        <w:rPr>
          <w:rFonts w:hint="eastAsia" w:ascii="仿宋_GB2312" w:hAnsi="仿宋_GB2312" w:eastAsia="仿宋_GB2312" w:cs="仿宋_GB2312"/>
          <w:bCs/>
          <w:i w:val="0"/>
          <w:iCs w:val="0"/>
          <w:sz w:val="28"/>
          <w:szCs w:val="28"/>
        </w:rPr>
        <w:t>节  建设创新人才队伍</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_Toc27745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_Toc29722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w:t>
      </w:r>
      <w:r>
        <w:rPr>
          <w:rFonts w:hint="eastAsia" w:ascii="仿宋_GB2312" w:hAnsi="仿宋_GB2312" w:eastAsia="仿宋_GB2312" w:cs="仿宋_GB2312"/>
          <w:bCs/>
          <w:i w:val="0"/>
          <w:iCs w:val="0"/>
          <w:sz w:val="28"/>
          <w:szCs w:val="28"/>
          <w:lang w:val="en-US" w:eastAsia="zh-CN"/>
        </w:rPr>
        <w:t>五</w:t>
      </w:r>
      <w:r>
        <w:rPr>
          <w:rFonts w:hint="eastAsia" w:ascii="仿宋_GB2312" w:hAnsi="仿宋_GB2312" w:eastAsia="仿宋_GB2312" w:cs="仿宋_GB2312"/>
          <w:bCs/>
          <w:i w:val="0"/>
          <w:iCs w:val="0"/>
          <w:sz w:val="28"/>
          <w:szCs w:val="28"/>
        </w:rPr>
        <w:t>节  营造良好创新环境</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_Toc29722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_Toc25124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第十九章  推动社会平稳健康发展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_Toc25124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_Toc17946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加强宣传教育引导</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_Toc17946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_Toc22940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强化公共安全管理</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_Toc22940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_Toc12441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第</w:t>
      </w:r>
      <w:r>
        <w:rPr>
          <w:rFonts w:hint="eastAsia" w:ascii="仿宋_GB2312" w:hAnsi="仿宋_GB2312" w:eastAsia="仿宋_GB2312" w:cs="仿宋_GB2312"/>
          <w:i w:val="0"/>
          <w:iCs w:val="0"/>
          <w:sz w:val="28"/>
          <w:szCs w:val="28"/>
        </w:rPr>
        <w:t>八</w:t>
      </w:r>
      <w:r>
        <w:rPr>
          <w:rFonts w:hint="eastAsia" w:ascii="仿宋_GB2312" w:hAnsi="仿宋_GB2312" w:eastAsia="仿宋_GB2312" w:cs="仿宋_GB2312"/>
          <w:bCs w:val="0"/>
          <w:i w:val="0"/>
          <w:iCs w:val="0"/>
          <w:sz w:val="28"/>
          <w:szCs w:val="28"/>
        </w:rPr>
        <w:t xml:space="preserve">篇  </w:t>
      </w:r>
      <w:r>
        <w:rPr>
          <w:rFonts w:hint="eastAsia" w:ascii="仿宋_GB2312" w:hAnsi="仿宋_GB2312" w:eastAsia="仿宋_GB2312" w:cs="仿宋_GB2312"/>
          <w:i w:val="0"/>
          <w:iCs w:val="0"/>
          <w:sz w:val="28"/>
          <w:szCs w:val="28"/>
        </w:rPr>
        <w:t>聚焦</w:t>
      </w:r>
      <w:r>
        <w:rPr>
          <w:rFonts w:hint="eastAsia" w:ascii="仿宋_GB2312" w:hAnsi="仿宋_GB2312" w:eastAsia="仿宋_GB2312" w:cs="仿宋_GB2312"/>
          <w:bCs w:val="0"/>
          <w:i w:val="0"/>
          <w:iCs w:val="0"/>
          <w:sz w:val="28"/>
          <w:szCs w:val="28"/>
        </w:rPr>
        <w:t xml:space="preserve">生态文明  </w:t>
      </w:r>
      <w:r>
        <w:rPr>
          <w:rFonts w:hint="eastAsia" w:ascii="仿宋_GB2312" w:hAnsi="仿宋_GB2312" w:eastAsia="仿宋_GB2312" w:cs="仿宋_GB2312"/>
          <w:i w:val="0"/>
          <w:iCs w:val="0"/>
          <w:sz w:val="28"/>
          <w:szCs w:val="28"/>
        </w:rPr>
        <w:t>全力</w:t>
      </w:r>
      <w:r>
        <w:rPr>
          <w:rFonts w:hint="eastAsia" w:ascii="仿宋_GB2312" w:hAnsi="仿宋_GB2312" w:eastAsia="仿宋_GB2312" w:cs="仿宋_GB2312"/>
          <w:bCs w:val="0"/>
          <w:i w:val="0"/>
          <w:iCs w:val="0"/>
          <w:sz w:val="28"/>
          <w:szCs w:val="28"/>
        </w:rPr>
        <w:t>推进绿色发展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_Toc12441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_Toc21254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第二十章  加强环境保护和污染治理</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_Toc21254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_Toc10114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改善水资源环境</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_Toc10114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_Toc8433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治理大气污染</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_Toc8433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_Toc4464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土壤污染综合防治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_Toc4464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_Toc9536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加快环保基础设施建设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_Toc9536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_Toc1750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第二十一章  加强资源综合节约利用</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_Toc1750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_Toc25654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推进节能降耗</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_Toc25654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_Toc31262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发展循环经济</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_Toc31262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_Toc20731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推动低碳发展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_Toc20731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_Toc23190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发展绿色经济</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_Toc23190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_Toc19299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第二十二章  推进生态修复和生态建设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_Toc19299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_Toc26510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保护和培育森林生态系统</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_Toc26510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_Toc16646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保护湿地与河湖生态系统</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_Toc16646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_Toc32167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加强生物多样性保护</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_Toc32167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_Toc13275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第四节  改善生态宜居环境</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_Toc13275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69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_Toc14182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第</w:t>
      </w:r>
      <w:r>
        <w:rPr>
          <w:rFonts w:hint="eastAsia" w:ascii="仿宋_GB2312" w:hAnsi="仿宋_GB2312" w:eastAsia="仿宋_GB2312" w:cs="仿宋_GB2312"/>
          <w:i w:val="0"/>
          <w:iCs w:val="0"/>
          <w:sz w:val="28"/>
          <w:szCs w:val="28"/>
        </w:rPr>
        <w:t>九</w:t>
      </w:r>
      <w:r>
        <w:rPr>
          <w:rFonts w:hint="eastAsia" w:ascii="仿宋_GB2312" w:hAnsi="仿宋_GB2312" w:eastAsia="仿宋_GB2312" w:cs="仿宋_GB2312"/>
          <w:bCs w:val="0"/>
          <w:i w:val="0"/>
          <w:iCs w:val="0"/>
          <w:sz w:val="28"/>
          <w:szCs w:val="28"/>
        </w:rPr>
        <w:t>篇  统筹共建共享  全面增进民生福祉</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_Toc14182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_Toc15102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第二十三章  优先发展教育事业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_Toc15102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_Toc17282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巩固提高基础教育</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_Toc17282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_Toc30274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全面深化职业教育</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_Toc30274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_Toc9867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大力推进教育信息化</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_Toc9867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_Toc29634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第二十四章  提升人民健康水平</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_Toc29634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_Toc2778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第一节  切实提升医疗服务能力</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_Toc2778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_Toc16015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第二节  多措并举推进中医药发展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_Toc16015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_Toc6375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第三节  完善社会心理服务体系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_Toc6375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_Toc18471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第二十五章  推动更高质量就业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_Toc18471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_Toc25471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第一节  拓宽多层次就业渠道</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_Toc25471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74</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_Toc10850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第二节  加大创业扶持力度</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_Toc10850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_Toc3690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第三节  加强就业创业载体建设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_Toc3690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_Toc28141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第二十六章  完善社会保障体系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_Toc28141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_Toc19330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第一节  完善更加公平更可持续的社会保险制度</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_Toc19330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75</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_Toc8599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第二节  推动老龄事业全面协调可持续发展</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_Toc8599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_Toc26958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第三节  加强退役军人事务管理</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_Toc26958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76</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_Toc12530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第二十七章  改善居民居住条件</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_Toc12530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_Toc18330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第一节  稳定商品房市场供应</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_Toc18330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_Toc7451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第二节  构建多层次保障房体系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_Toc7451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_Toc27040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第三节  大力提高住房品质</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_Toc27040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77</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_Toc4262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第二十八章  繁荣文化体育事业</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_Toc4262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_Toc23238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第一节  加强文体设施建设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_Toc23238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_Toc20478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第二节  加快“四馆”提档升级建设</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_Toc20478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78</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_Toc508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第三节  深入实施文体惠民工程</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_Toc508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_Toc20927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第四节  严格文化市场管理</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_Toc20927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79</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2"/>
        <w:tabs>
          <w:tab w:val="right" w:leader="dot" w:pos="8306"/>
          <w:tab w:val="clear" w:pos="829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_Toc8500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val="0"/>
          <w:i w:val="0"/>
          <w:iCs w:val="0"/>
          <w:sz w:val="28"/>
          <w:szCs w:val="28"/>
        </w:rPr>
        <w:t>第</w:t>
      </w:r>
      <w:r>
        <w:rPr>
          <w:rFonts w:hint="eastAsia" w:ascii="仿宋_GB2312" w:hAnsi="仿宋_GB2312" w:eastAsia="仿宋_GB2312" w:cs="仿宋_GB2312"/>
          <w:i w:val="0"/>
          <w:iCs w:val="0"/>
          <w:sz w:val="28"/>
          <w:szCs w:val="28"/>
        </w:rPr>
        <w:t>十</w:t>
      </w:r>
      <w:r>
        <w:rPr>
          <w:rFonts w:hint="eastAsia" w:ascii="仿宋_GB2312" w:hAnsi="仿宋_GB2312" w:eastAsia="仿宋_GB2312" w:cs="仿宋_GB2312"/>
          <w:bCs w:val="0"/>
          <w:i w:val="0"/>
          <w:iCs w:val="0"/>
          <w:sz w:val="28"/>
          <w:szCs w:val="28"/>
        </w:rPr>
        <w:t xml:space="preserve">篇  </w:t>
      </w:r>
      <w:r>
        <w:rPr>
          <w:rFonts w:hint="eastAsia" w:ascii="仿宋_GB2312" w:hAnsi="仿宋_GB2312" w:eastAsia="仿宋_GB2312" w:cs="仿宋_GB2312"/>
          <w:i w:val="0"/>
          <w:iCs w:val="0"/>
          <w:sz w:val="28"/>
          <w:szCs w:val="28"/>
        </w:rPr>
        <w:t>注重凝心聚力</w:t>
      </w:r>
      <w:r>
        <w:rPr>
          <w:rFonts w:hint="eastAsia" w:ascii="仿宋_GB2312" w:hAnsi="仿宋_GB2312" w:eastAsia="仿宋_GB2312" w:cs="仿宋_GB2312"/>
          <w:bCs w:val="0"/>
          <w:i w:val="0"/>
          <w:iCs w:val="0"/>
          <w:sz w:val="28"/>
          <w:szCs w:val="28"/>
        </w:rPr>
        <w:t xml:space="preserve">  </w:t>
      </w:r>
      <w:r>
        <w:rPr>
          <w:rFonts w:hint="eastAsia" w:ascii="仿宋_GB2312" w:hAnsi="仿宋_GB2312" w:eastAsia="仿宋_GB2312" w:cs="仿宋_GB2312"/>
          <w:i w:val="0"/>
          <w:iCs w:val="0"/>
          <w:sz w:val="28"/>
          <w:szCs w:val="28"/>
        </w:rPr>
        <w:t>保障</w:t>
      </w:r>
      <w:r>
        <w:rPr>
          <w:rFonts w:hint="eastAsia" w:ascii="仿宋_GB2312" w:hAnsi="仿宋_GB2312" w:eastAsia="仿宋_GB2312" w:cs="仿宋_GB2312"/>
          <w:bCs w:val="0"/>
          <w:i w:val="0"/>
          <w:iCs w:val="0"/>
          <w:sz w:val="28"/>
          <w:szCs w:val="28"/>
        </w:rPr>
        <w:t>规划</w:t>
      </w:r>
      <w:r>
        <w:rPr>
          <w:rFonts w:hint="eastAsia" w:ascii="仿宋_GB2312" w:hAnsi="仿宋_GB2312" w:eastAsia="仿宋_GB2312" w:cs="仿宋_GB2312"/>
          <w:i w:val="0"/>
          <w:iCs w:val="0"/>
          <w:sz w:val="28"/>
          <w:szCs w:val="28"/>
        </w:rPr>
        <w:t>顺利</w:t>
      </w:r>
      <w:r>
        <w:rPr>
          <w:rFonts w:hint="eastAsia" w:ascii="仿宋_GB2312" w:hAnsi="仿宋_GB2312" w:eastAsia="仿宋_GB2312" w:cs="仿宋_GB2312"/>
          <w:bCs w:val="0"/>
          <w:i w:val="0"/>
          <w:iCs w:val="0"/>
          <w:sz w:val="28"/>
          <w:szCs w:val="28"/>
        </w:rPr>
        <w:t>实施</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_Toc8500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_Toc26314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第二十九章  坚持党的集中统一领导</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_Toc26314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_Toc27032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第三十章  完善规划实施机制</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_Toc27032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80</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_Toc22574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第三十一章  强化政策扶持引导</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_Toc22574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_Toc4706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加强政策引导</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_Toc4706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_Toc20756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制定年度实施方案</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_Toc20756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81</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_Toc3971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强化要素保障</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_Toc3971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27"/>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_Toc23889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第三十二章  健全监测考评体系</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_Toc23889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_Toc11907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第一节  加强指标约束</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_Toc11907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_Toc18768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第二节  加强评估考核</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_Toc18768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82</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Pr>
        <w:pStyle w:val="16"/>
        <w:tabs>
          <w:tab w:val="right" w:leader="dot" w:pos="8306"/>
        </w:tabs>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HYPERLINK \l _Toc21295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bCs/>
          <w:i w:val="0"/>
          <w:iCs w:val="0"/>
          <w:sz w:val="28"/>
          <w:szCs w:val="28"/>
        </w:rPr>
        <w:t>第三节  加强社会监督</w:t>
      </w:r>
      <w:r>
        <w:rPr>
          <w:rFonts w:hint="eastAsia" w:ascii="仿宋_GB2312" w:hAnsi="仿宋_GB2312" w:eastAsia="仿宋_GB2312" w:cs="仿宋_GB2312"/>
          <w:i w:val="0"/>
          <w:iCs w:val="0"/>
          <w:sz w:val="28"/>
          <w:szCs w:val="28"/>
        </w:rPr>
        <w:tab/>
      </w:r>
      <w:r>
        <w:rPr>
          <w:rFonts w:hint="eastAsia" w:ascii="仿宋_GB2312" w:hAnsi="仿宋_GB2312" w:eastAsia="仿宋_GB2312" w:cs="仿宋_GB2312"/>
          <w:i w:val="0"/>
          <w:iCs w:val="0"/>
          <w:sz w:val="28"/>
          <w:szCs w:val="28"/>
        </w:rPr>
        <w:fldChar w:fldCharType="begin"/>
      </w:r>
      <w:r>
        <w:rPr>
          <w:rFonts w:hint="eastAsia" w:ascii="仿宋_GB2312" w:hAnsi="仿宋_GB2312" w:eastAsia="仿宋_GB2312" w:cs="仿宋_GB2312"/>
          <w:i w:val="0"/>
          <w:iCs w:val="0"/>
          <w:sz w:val="28"/>
          <w:szCs w:val="28"/>
        </w:rPr>
        <w:instrText xml:space="preserve"> PAGEREF _Toc21295 </w:instrText>
      </w:r>
      <w:r>
        <w:rPr>
          <w:rFonts w:hint="eastAsia" w:ascii="仿宋_GB2312" w:hAnsi="仿宋_GB2312" w:eastAsia="仿宋_GB2312" w:cs="仿宋_GB2312"/>
          <w:i w:val="0"/>
          <w:iCs w:val="0"/>
          <w:sz w:val="28"/>
          <w:szCs w:val="28"/>
        </w:rPr>
        <w:fldChar w:fldCharType="separate"/>
      </w:r>
      <w:r>
        <w:rPr>
          <w:rFonts w:hint="eastAsia" w:ascii="仿宋_GB2312" w:hAnsi="仿宋_GB2312" w:eastAsia="仿宋_GB2312" w:cs="仿宋_GB2312"/>
          <w:i w:val="0"/>
          <w:iCs w:val="0"/>
          <w:sz w:val="28"/>
          <w:szCs w:val="28"/>
        </w:rPr>
        <w:t>83</w:t>
      </w:r>
      <w:r>
        <w:rPr>
          <w:rFonts w:hint="eastAsia" w:ascii="仿宋_GB2312" w:hAnsi="仿宋_GB2312" w:eastAsia="仿宋_GB2312" w:cs="仿宋_GB2312"/>
          <w:i w:val="0"/>
          <w:iCs w:val="0"/>
          <w:sz w:val="28"/>
          <w:szCs w:val="28"/>
        </w:rPr>
        <w:fldChar w:fldCharType="end"/>
      </w:r>
      <w:r>
        <w:rPr>
          <w:rFonts w:hint="eastAsia" w:ascii="仿宋_GB2312" w:hAnsi="仿宋_GB2312" w:eastAsia="仿宋_GB2312" w:cs="仿宋_GB2312"/>
          <w:i w:val="0"/>
          <w:iCs w:val="0"/>
          <w:sz w:val="28"/>
          <w:szCs w:val="28"/>
        </w:rPr>
        <w:fldChar w:fldCharType="end"/>
      </w:r>
    </w:p>
    <w:p/>
    <w:p>
      <w:pPr>
        <w:ind w:right="72" w:rightChars="24" w:firstLine="0"/>
        <w:jc w:val="both"/>
        <w:rPr>
          <w:rFonts w:hint="eastAsia" w:eastAsia="仿宋"/>
          <w:kern w:val="2"/>
          <w:sz w:val="30"/>
          <w:szCs w:val="21"/>
          <w:lang w:val="en-US" w:eastAsia="zh-CN" w:bidi="ar-SA"/>
        </w:rPr>
        <w:sectPr>
          <w:footerReference r:id="rId5" w:type="default"/>
          <w:pgSz w:w="11906" w:h="16838"/>
          <w:pgMar w:top="1440" w:right="1800" w:bottom="155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i w:val="0"/>
          <w:iCs w:val="0"/>
          <w:sz w:val="28"/>
          <w:szCs w:val="28"/>
        </w:rPr>
        <w:fldChar w:fldCharType="end"/>
      </w:r>
    </w:p>
    <w:bookmarkEnd w:id="32"/>
    <w:bookmarkEnd w:id="33"/>
    <w:bookmarkEnd w:id="34"/>
    <w:bookmarkEnd w:id="35"/>
    <w:p>
      <w:pPr>
        <w:ind w:right="72" w:rightChars="24" w:firstLine="0"/>
        <w:jc w:val="center"/>
        <w:outlineLvl w:val="0"/>
        <w:rPr>
          <w:rFonts w:hint="default" w:ascii="Times New Roman" w:hAnsi="Times New Roman" w:eastAsia="黑体" w:cs="Times New Roman"/>
          <w:b w:val="0"/>
          <w:bCs w:val="0"/>
          <w:sz w:val="32"/>
          <w:szCs w:val="32"/>
        </w:rPr>
      </w:pPr>
      <w:bookmarkStart w:id="36" w:name="_Toc31998"/>
      <w:bookmarkStart w:id="37" w:name="_Toc8542"/>
      <w:bookmarkStart w:id="38" w:name="_Toc12125"/>
      <w:bookmarkStart w:id="39" w:name="_Toc2006"/>
      <w:r>
        <w:rPr>
          <w:rFonts w:hint="default" w:ascii="Times New Roman" w:hAnsi="Times New Roman" w:eastAsia="黑体" w:cs="Times New Roman"/>
          <w:b w:val="0"/>
          <w:bCs w:val="0"/>
          <w:sz w:val="32"/>
          <w:szCs w:val="32"/>
        </w:rPr>
        <w:t>前  言</w:t>
      </w:r>
      <w:bookmarkEnd w:id="36"/>
      <w:bookmarkEnd w:id="37"/>
      <w:bookmarkEnd w:id="38"/>
      <w:bookmarkEnd w:id="39"/>
    </w:p>
    <w:p>
      <w:pPr>
        <w:pStyle w:val="84"/>
        <w:rPr>
          <w:rFonts w:hint="default" w:ascii="Times New Roman" w:hAnsi="Times New Roman" w:cs="Times New Roman"/>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榆树市由全面建成小康社会向全面建设社会主义现代化新榆树迈进的重要时期，是开启新时代榆树全面振兴全方位振兴新征程的第一个五年，是榆树在高质量发展新路上实现绝地反超、振兴崛起的关键五年。科学编制榆树市国民经济和社会发展第十四个五年规划和</w:t>
      </w:r>
      <w:r>
        <w:rPr>
          <w:rFonts w:hint="eastAsia" w:ascii="Times New Roman" w:hAnsi="Times New Roman" w:eastAsia="仿宋_GB2312" w:cs="Times New Roman"/>
          <w:sz w:val="32"/>
          <w:szCs w:val="32"/>
          <w:lang w:eastAsia="zh-CN"/>
        </w:rPr>
        <w:t>2035</w:t>
      </w:r>
      <w:r>
        <w:rPr>
          <w:rFonts w:hint="default" w:ascii="Times New Roman" w:hAnsi="Times New Roman" w:eastAsia="仿宋_GB2312" w:cs="Times New Roman"/>
          <w:sz w:val="32"/>
          <w:szCs w:val="32"/>
        </w:rPr>
        <w:t>年远景目标纲要，全面贯彻落实党中央、吉林省委和长春市委的战略部署，明确今后一个时期</w:t>
      </w:r>
      <w:r>
        <w:rPr>
          <w:rFonts w:hint="eastAsia"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政府工作</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重点</w:t>
      </w:r>
      <w:r>
        <w:rPr>
          <w:rFonts w:hint="default" w:ascii="Times New Roman" w:hAnsi="Times New Roman" w:eastAsia="仿宋_GB2312" w:cs="Times New Roman"/>
          <w:kern w:val="0"/>
          <w:sz w:val="32"/>
          <w:szCs w:val="32"/>
        </w:rPr>
        <w:t>，对</w:t>
      </w:r>
      <w:r>
        <w:rPr>
          <w:rFonts w:hint="default" w:ascii="Times New Roman" w:hAnsi="Times New Roman" w:eastAsia="仿宋_GB2312" w:cs="Times New Roman"/>
          <w:sz w:val="32"/>
          <w:szCs w:val="32"/>
        </w:rPr>
        <w:t>建设产业优、机制活、百姓富、生态美的新榆树，具有十分重大的意义。为将榆树资源优势转化为经济优势，推动全市经济社会发展再上新台阶，使之成为全市今后五年乃至</w:t>
      </w:r>
      <w:r>
        <w:rPr>
          <w:rFonts w:hint="eastAsia" w:ascii="Times New Roman" w:hAnsi="Times New Roman" w:eastAsia="仿宋_GB2312" w:cs="Times New Roman"/>
          <w:sz w:val="32"/>
          <w:szCs w:val="32"/>
          <w:lang w:eastAsia="zh-CN"/>
        </w:rPr>
        <w:t>2035</w:t>
      </w:r>
      <w:r>
        <w:rPr>
          <w:rFonts w:hint="default" w:ascii="Times New Roman" w:hAnsi="Times New Roman" w:eastAsia="仿宋_GB2312" w:cs="Times New Roman"/>
          <w:sz w:val="32"/>
          <w:szCs w:val="32"/>
        </w:rPr>
        <w:t>年经济社会发展的行动纲领，特制定本规划和远景目标。</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规划期：</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国民经济和社会发展第十四个五年规划2021年——2025年</w:t>
      </w:r>
    </w:p>
    <w:p>
      <w:pPr>
        <w:ind w:right="72" w:rightChars="24"/>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2035</w:t>
      </w:r>
      <w:r>
        <w:rPr>
          <w:rFonts w:hint="default" w:ascii="Times New Roman" w:hAnsi="Times New Roman" w:eastAsia="仿宋_GB2312" w:cs="Times New Roman"/>
          <w:sz w:val="32"/>
          <w:szCs w:val="32"/>
        </w:rPr>
        <w:t>年远景目标纲要2021年——2035年。</w:t>
      </w:r>
    </w:p>
    <w:p>
      <w:pPr>
        <w:ind w:right="72" w:rightChars="24" w:firstLine="0" w:firstLineChars="0"/>
        <w:jc w:val="center"/>
        <w:rPr>
          <w:rFonts w:hint="default" w:ascii="Times New Roman" w:hAnsi="Times New Roman" w:eastAsia="黑体" w:cs="Times New Roman"/>
        </w:rPr>
      </w:pPr>
      <w:r>
        <w:rPr>
          <w:rFonts w:hint="default" w:ascii="Times New Roman" w:hAnsi="Times New Roman" w:eastAsia="仿宋_GB2312" w:cs="Times New Roman"/>
          <w:sz w:val="32"/>
          <w:szCs w:val="32"/>
        </w:rPr>
        <w:br w:type="page"/>
      </w:r>
      <w:bookmarkStart w:id="40" w:name="_Toc8773"/>
      <w:bookmarkStart w:id="41" w:name="_Toc17578"/>
      <w:bookmarkStart w:id="42" w:name="_Toc3224"/>
      <w:bookmarkStart w:id="43" w:name="_Toc20464"/>
      <w:r>
        <w:rPr>
          <w:rStyle w:val="53"/>
          <w:rFonts w:cs="Times New Roman"/>
        </w:rPr>
        <w:t xml:space="preserve">第一篇  </w:t>
      </w:r>
      <w:r>
        <w:rPr>
          <w:rStyle w:val="53"/>
          <w:rFonts w:hint="default" w:cs="Times New Roman"/>
        </w:rPr>
        <w:t>实现逆势突围</w:t>
      </w:r>
      <w:r>
        <w:rPr>
          <w:rStyle w:val="53"/>
          <w:rFonts w:cs="Times New Roman"/>
        </w:rPr>
        <w:t xml:space="preserve">  发展</w:t>
      </w:r>
      <w:r>
        <w:rPr>
          <w:rStyle w:val="53"/>
          <w:rFonts w:hint="default" w:cs="Times New Roman"/>
        </w:rPr>
        <w:t>根</w:t>
      </w:r>
      <w:r>
        <w:rPr>
          <w:rStyle w:val="53"/>
          <w:rFonts w:cs="Times New Roman"/>
        </w:rPr>
        <w:t>基</w:t>
      </w:r>
      <w:r>
        <w:rPr>
          <w:rStyle w:val="53"/>
          <w:rFonts w:hint="default" w:cs="Times New Roman"/>
        </w:rPr>
        <w:t>更加坚实</w:t>
      </w:r>
      <w:bookmarkEnd w:id="40"/>
      <w:bookmarkEnd w:id="41"/>
      <w:bookmarkEnd w:id="42"/>
      <w:bookmarkEnd w:id="43"/>
    </w:p>
    <w:p>
      <w:pPr>
        <w:pStyle w:val="84"/>
        <w:rPr>
          <w:rFonts w:hint="default" w:ascii="Times New Roman" w:hAnsi="Times New Roman" w:cs="Times New Roman"/>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时期，经过5年持续奋斗，榆树市全面建成小康社会、决战决胜脱贫攻坚、经济社会发展取得了新的历史性成就。“十四五”时期，是推动新时代榆树全面振兴全方位振兴的必经阶段。必须依托现有发展基础，跟紧当前发展形势，在全面建成小康社会的基础上砥砺前行，全面开创榆树市经济社会发展新局面。</w:t>
      </w:r>
    </w:p>
    <w:p>
      <w:pPr>
        <w:pStyle w:val="29"/>
        <w:spacing w:after="0" w:line="240" w:lineRule="auto"/>
        <w:rPr>
          <w:rFonts w:hint="default" w:ascii="Times New Roman" w:hAnsi="Times New Roman" w:cs="Times New Roman"/>
        </w:rPr>
      </w:pPr>
    </w:p>
    <w:p>
      <w:pPr>
        <w:spacing w:line="240" w:lineRule="auto"/>
        <w:ind w:right="72" w:rightChars="24" w:firstLine="0"/>
        <w:jc w:val="center"/>
        <w:outlineLvl w:val="1"/>
        <w:rPr>
          <w:rFonts w:hint="default" w:ascii="Times New Roman" w:hAnsi="Times New Roman" w:eastAsia="仿宋_GB2312" w:cs="Times New Roman"/>
          <w:b/>
          <w:bCs/>
          <w:sz w:val="32"/>
          <w:szCs w:val="32"/>
        </w:rPr>
      </w:pPr>
      <w:bookmarkStart w:id="44" w:name="_Toc8132"/>
      <w:bookmarkStart w:id="45" w:name="_Toc29901"/>
      <w:bookmarkStart w:id="46" w:name="_Toc30345"/>
      <w:bookmarkStart w:id="47" w:name="_Toc30780"/>
      <w:r>
        <w:rPr>
          <w:rFonts w:hint="default" w:ascii="Times New Roman" w:hAnsi="Times New Roman" w:eastAsia="仿宋_GB2312" w:cs="Times New Roman"/>
          <w:b/>
          <w:bCs/>
          <w:sz w:val="32"/>
          <w:szCs w:val="32"/>
        </w:rPr>
        <w:t>第一章  发展基础</w:t>
      </w:r>
      <w:bookmarkEnd w:id="44"/>
      <w:bookmarkEnd w:id="45"/>
      <w:bookmarkEnd w:id="46"/>
      <w:bookmarkEnd w:id="47"/>
    </w:p>
    <w:p>
      <w:pPr>
        <w:pStyle w:val="29"/>
        <w:spacing w:after="0" w:line="240" w:lineRule="auto"/>
        <w:rPr>
          <w:rFonts w:hint="default" w:ascii="Times New Roman" w:hAnsi="Times New Roman" w:cs="Times New Roman"/>
        </w:rPr>
      </w:pPr>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“十三五”时期，面对错综复杂的外部环境，面对史无前例的疫情冲击，面对决胜全面小康、决战脱贫攻坚的历史任务，市委市政府始终</w:t>
      </w:r>
      <w:r>
        <w:rPr>
          <w:rFonts w:hint="default" w:ascii="Times New Roman" w:hAnsi="Times New Roman" w:eastAsia="仿宋_GB2312" w:cs="Times New Roman"/>
          <w:sz w:val="32"/>
          <w:szCs w:val="32"/>
        </w:rPr>
        <w:t>高举习近平新时代中国特色社会主义思想伟大旗帜，深入贯彻落实习近平总书记视察吉林重要讲话重要指示精神，</w:t>
      </w:r>
      <w:r>
        <w:rPr>
          <w:rFonts w:hint="default" w:ascii="Times New Roman" w:hAnsi="Times New Roman" w:eastAsia="仿宋_GB2312" w:cs="Times New Roman"/>
          <w:color w:val="000000"/>
          <w:sz w:val="32"/>
          <w:szCs w:val="32"/>
        </w:rPr>
        <w:t>在党中央国务院、省委省政府和长春市委市政府的正确领导下，团结带领全市人民，在决胜全面小康的征程中砥砺奋进，在经济下行压力的考验中谋求突破，经济建设、政治建设、文化建设、社会建设、生态文明建设统筹推进，“十三五”规划顺利实施，经济社会发展成效显著，为“十四五”时期经济社会发展奠定坚实基础。</w:t>
      </w:r>
    </w:p>
    <w:p>
      <w:pPr>
        <w:ind w:right="72" w:rightChars="24" w:firstLine="0"/>
        <w:jc w:val="center"/>
        <w:outlineLvl w:val="2"/>
        <w:rPr>
          <w:rFonts w:hint="default" w:ascii="Times New Roman" w:hAnsi="Times New Roman" w:eastAsia="楷体_GB2312" w:cs="Times New Roman"/>
          <w:b/>
          <w:bCs/>
          <w:sz w:val="32"/>
          <w:szCs w:val="32"/>
        </w:rPr>
      </w:pPr>
      <w:bookmarkStart w:id="48" w:name="_Toc10763"/>
      <w:bookmarkStart w:id="49" w:name="_Toc23379"/>
      <w:bookmarkStart w:id="50" w:name="_Toc2565"/>
      <w:bookmarkStart w:id="51" w:name="_Toc18518"/>
      <w:r>
        <w:rPr>
          <w:rFonts w:hint="default" w:ascii="Times New Roman" w:hAnsi="Times New Roman" w:eastAsia="楷体_GB2312" w:cs="Times New Roman"/>
          <w:b/>
          <w:bCs/>
          <w:sz w:val="32"/>
          <w:szCs w:val="32"/>
        </w:rPr>
        <w:t>第一节  经济实力优化夯实</w:t>
      </w:r>
      <w:bookmarkEnd w:id="48"/>
      <w:bookmarkEnd w:id="49"/>
      <w:bookmarkEnd w:id="50"/>
      <w:bookmarkEnd w:id="51"/>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坚持稳中求进工作总基调，贯彻新发展理念，落实高质量发展要求，</w:t>
      </w:r>
      <w:r>
        <w:rPr>
          <w:rFonts w:hint="default" w:ascii="Times New Roman" w:hAnsi="Times New Roman" w:eastAsia="仿宋_GB2312" w:cs="Times New Roman"/>
          <w:sz w:val="32"/>
          <w:szCs w:val="32"/>
        </w:rPr>
        <w:t>顶住</w:t>
      </w:r>
      <w:r>
        <w:rPr>
          <w:rFonts w:hint="default" w:ascii="Times New Roman" w:hAnsi="Times New Roman" w:eastAsia="仿宋_GB2312" w:cs="Times New Roman"/>
          <w:color w:val="000000"/>
          <w:sz w:val="32"/>
          <w:szCs w:val="32"/>
        </w:rPr>
        <w:t>经</w:t>
      </w:r>
      <w:r>
        <w:rPr>
          <w:rFonts w:hint="default" w:ascii="Times New Roman" w:hAnsi="Times New Roman" w:eastAsia="仿宋_GB2312" w:cs="Times New Roman"/>
          <w:sz w:val="32"/>
          <w:szCs w:val="32"/>
        </w:rPr>
        <w:t>济下行压力，全市经济逆势而进。到“十三五”期末，预计全市GDP总量达到</w:t>
      </w:r>
      <w:r>
        <w:rPr>
          <w:rFonts w:hint="eastAsia" w:ascii="Times New Roman" w:hAnsi="Times New Roman" w:eastAsia="仿宋_GB2312" w:cs="Times New Roman"/>
          <w:sz w:val="32"/>
          <w:szCs w:val="32"/>
          <w:lang w:val="en-US" w:eastAsia="zh-CN"/>
        </w:rPr>
        <w:t>226.1</w:t>
      </w:r>
      <w:r>
        <w:rPr>
          <w:rFonts w:hint="default" w:ascii="Times New Roman" w:hAnsi="Times New Roman" w:eastAsia="仿宋_GB2312" w:cs="Times New Roman"/>
          <w:sz w:val="32"/>
          <w:szCs w:val="32"/>
        </w:rPr>
        <w:t>亿元；固定资产投资完成45亿元；全口径财政收入完成</w:t>
      </w:r>
      <w:r>
        <w:rPr>
          <w:rFonts w:hint="eastAsia" w:ascii="Times New Roman" w:hAnsi="Times New Roman" w:eastAsia="仿宋_GB2312" w:cs="Times New Roman"/>
          <w:sz w:val="32"/>
          <w:szCs w:val="32"/>
          <w:lang w:val="en-US" w:eastAsia="zh-CN"/>
        </w:rPr>
        <w:t>12.19</w:t>
      </w:r>
      <w:r>
        <w:rPr>
          <w:rFonts w:hint="default" w:ascii="Times New Roman" w:hAnsi="Times New Roman" w:eastAsia="仿宋_GB2312" w:cs="Times New Roman"/>
          <w:sz w:val="32"/>
          <w:szCs w:val="32"/>
        </w:rPr>
        <w:t>亿元，５年累计收入62.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9亿元；地方级财政收完成6.6</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亿元，５年累计收入39.1亿元；城镇居民、农村居民人均可支配收入分别达到27400元、15850元，分别是“十二五”期末的1.4倍、1.3倍。2017年、2019年连续两次的国家统计执法检查督察，指出我市经济数据失真失实的问题，在改错纠偏的过程中，致使我市经济数据直线下跌。但辩证地看，经济数据调整后的优化夯实、回归新的起点，挤出了水分、压实了数据、亮出了家底，为未来发展轻装上阵、甩掉包袱和逆势崛起夯实了基础，增添了信心。</w:t>
      </w:r>
    </w:p>
    <w:p>
      <w:pPr>
        <w:ind w:right="72" w:rightChars="24" w:firstLine="0"/>
        <w:jc w:val="center"/>
        <w:outlineLvl w:val="2"/>
        <w:rPr>
          <w:rFonts w:hint="default" w:ascii="Times New Roman" w:hAnsi="Times New Roman" w:eastAsia="楷体_GB2312" w:cs="Times New Roman"/>
          <w:b/>
          <w:bCs/>
          <w:sz w:val="32"/>
          <w:szCs w:val="32"/>
        </w:rPr>
      </w:pPr>
      <w:bookmarkStart w:id="52" w:name="_Toc147"/>
      <w:bookmarkStart w:id="53" w:name="_Toc30128"/>
      <w:bookmarkStart w:id="54" w:name="_Toc10354"/>
      <w:bookmarkStart w:id="55" w:name="_Toc28054"/>
      <w:r>
        <w:rPr>
          <w:rFonts w:hint="default" w:ascii="Times New Roman" w:hAnsi="Times New Roman" w:eastAsia="楷体_GB2312" w:cs="Times New Roman"/>
          <w:b/>
          <w:bCs/>
          <w:sz w:val="32"/>
          <w:szCs w:val="32"/>
        </w:rPr>
        <w:t>第二节  现代农业快速发展</w:t>
      </w:r>
      <w:bookmarkEnd w:id="52"/>
      <w:bookmarkEnd w:id="53"/>
      <w:bookmarkEnd w:id="54"/>
      <w:bookmarkEnd w:id="55"/>
    </w:p>
    <w:p>
      <w:pPr>
        <w:ind w:right="72" w:rightChars="24" w:firstLine="641"/>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坚决扛起保障国家粮食安全政治责任，粮食产量始终稳定在70亿斤阶段性水平，连续16年保持全国第一。</w:t>
      </w:r>
    </w:p>
    <w:p>
      <w:pPr>
        <w:ind w:right="72" w:rightChars="24" w:firstLine="641"/>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坚持强基固农，</w:t>
      </w:r>
      <w:r>
        <w:rPr>
          <w:rFonts w:hint="default" w:ascii="Times New Roman" w:hAnsi="Times New Roman" w:eastAsia="仿宋_GB2312" w:cs="Times New Roman"/>
          <w:sz w:val="32"/>
          <w:szCs w:val="32"/>
        </w:rPr>
        <w:t>以推进乡村振兴战略为抓手，深入实施黑土地保护、农田水利等工程，建成高标准农田201万亩，培育新型农业经营主体15320家，规模经营面积180万亩，农作物综合机械化水平达到93%。</w:t>
      </w:r>
    </w:p>
    <w:p>
      <w:pPr>
        <w:ind w:right="72" w:rightChars="24" w:firstLine="641"/>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坚持绿色兴农，</w:t>
      </w:r>
      <w:r>
        <w:rPr>
          <w:rFonts w:hint="default" w:ascii="Times New Roman" w:hAnsi="Times New Roman" w:eastAsia="仿宋_GB2312" w:cs="Times New Roman"/>
          <w:sz w:val="32"/>
          <w:szCs w:val="32"/>
        </w:rPr>
        <w:t>大力发展棚膜经济，建成棚膜蔬菜园区104个；创建绿色有机示范园区11个，全市“三品一标”企业发展到31家，认证产品数量76个，绿色有机环境监测面积达143.87万亩；持续壮大生态牧业，巩固无疫区成果，在国家云平台备案的规模化养殖小区647个，2019年畜牧业总产值突破100亿元，占农业总产值的57%，连续13年被国家评为全国生猪调出大县，连续4年获得省“粮改饲”试点县市，2020年又成为省“秸秆变肉”试点县市。</w:t>
      </w:r>
    </w:p>
    <w:p>
      <w:pPr>
        <w:ind w:right="72" w:rightChars="24" w:firstLine="641"/>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坚持品牌富农，</w:t>
      </w:r>
      <w:r>
        <w:rPr>
          <w:rFonts w:hint="default" w:ascii="Times New Roman" w:hAnsi="Times New Roman" w:eastAsia="仿宋_GB2312" w:cs="Times New Roman"/>
          <w:sz w:val="32"/>
          <w:szCs w:val="32"/>
        </w:rPr>
        <w:t>立足资源优势，打好质量、特色和文化“三张牌”，榆树大米获得“中国百强农产品”“全国十大区域公用品牌”殊荣，品牌价值突破百亿，我市被国家评为“中国好玉米”生产基地，成为国家级示范县市，榆树大米、榆树玉米和榆树特色农产品白金、黄金、纯金“三金名片”更加响亮，成为榆树农业的第一品牌。</w:t>
      </w:r>
    </w:p>
    <w:p>
      <w:pPr>
        <w:ind w:right="72" w:rightChars="24" w:firstLine="641"/>
        <w:jc w:val="left"/>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农业发展水平的提高和发展活力的增强，为“十四五”率先实现农业现代化打下良好基础。</w:t>
      </w:r>
    </w:p>
    <w:p>
      <w:pPr>
        <w:ind w:right="72" w:rightChars="24" w:firstLine="0"/>
        <w:jc w:val="center"/>
        <w:outlineLvl w:val="2"/>
        <w:rPr>
          <w:rFonts w:hint="default" w:ascii="Times New Roman" w:hAnsi="Times New Roman" w:eastAsia="楷体_GB2312" w:cs="Times New Roman"/>
          <w:color w:val="000000"/>
          <w:sz w:val="32"/>
          <w:szCs w:val="32"/>
        </w:rPr>
      </w:pPr>
      <w:bookmarkStart w:id="56" w:name="_Toc19125"/>
      <w:bookmarkStart w:id="57" w:name="_Toc18368"/>
      <w:bookmarkStart w:id="58" w:name="_Toc7282"/>
      <w:bookmarkStart w:id="59" w:name="_Toc9309"/>
      <w:r>
        <w:rPr>
          <w:rFonts w:hint="default" w:ascii="Times New Roman" w:hAnsi="Times New Roman" w:eastAsia="楷体_GB2312" w:cs="Times New Roman"/>
          <w:b/>
          <w:bCs/>
          <w:color w:val="000000"/>
          <w:sz w:val="32"/>
          <w:szCs w:val="32"/>
        </w:rPr>
        <w:t>第三节  “三大攻坚战”务实推进</w:t>
      </w:r>
      <w:bookmarkEnd w:id="56"/>
      <w:bookmarkEnd w:id="57"/>
      <w:bookmarkEnd w:id="58"/>
      <w:bookmarkEnd w:id="59"/>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坚决把打赢“三大攻坚战”，作为决胜全面小康必须完成的政治任务，在非常之时用超常之功，相继开展“双百攻坚”“百日会战”，以不获全胜决不收兵的态度，举全市之力向最后的堡垒发起总攻。</w:t>
      </w:r>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致力精准脱贫收官，</w:t>
      </w:r>
      <w:r>
        <w:rPr>
          <w:rFonts w:hint="default" w:ascii="Times New Roman" w:hAnsi="Times New Roman" w:eastAsia="仿宋_GB2312" w:cs="Times New Roman"/>
          <w:sz w:val="32"/>
          <w:szCs w:val="32"/>
        </w:rPr>
        <w:t>压</w:t>
      </w:r>
      <w:r>
        <w:rPr>
          <w:rFonts w:hint="default" w:ascii="Times New Roman" w:hAnsi="Times New Roman" w:eastAsia="仿宋_GB2312" w:cs="Times New Roman"/>
          <w:color w:val="000000"/>
          <w:sz w:val="32"/>
          <w:szCs w:val="32"/>
        </w:rPr>
        <w:t>实“五级书记抓扶贫”责任，自加压力，负重前行，竭力攻克“两不愁三保障”最后堡垒。“十三五”时期，投资7.61亿元，建设了230个行政村的集中供水工程，其中2020年，投资6.19亿元，实施188个村的集中供水工程；共改造贫困户危房3771户，其他三类人群危房3997户，2020年自筹资金248万元，改造边缘易致贫户危房71户，实现了贫困群体住房安全有保障；351个村卫生室实现达标运营；将3041.6万元扶贫资金，以投资收益模式注入正大公司，保证了年固定收益8%。到2020年底，35个贫困村全部出列，7020户15601名贫困人口全部脱贫。</w:t>
      </w:r>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致力污染防治攻坚，</w:t>
      </w:r>
      <w:r>
        <w:rPr>
          <w:rFonts w:hint="default" w:ascii="Times New Roman" w:hAnsi="Times New Roman" w:eastAsia="仿宋_GB2312" w:cs="Times New Roman"/>
          <w:color w:val="000000"/>
          <w:sz w:val="32"/>
          <w:szCs w:val="32"/>
        </w:rPr>
        <w:t>深入推进蓝天、碧水保卫战，重点督办燃煤锅炉淘汰工作，扎实开展秸秆全量化处置、焚烧管控等专项行动，全市秸秆综合利用率达到85%；禁养区规模养殖场全部关闭，畜禽粪污资源化利用整县推进，规模养殖场装备配套率达100%；坚决落实河长制各项任务，临江、于家污水处理厂投入运行，弓棚污水处理厂通水试运行，卡岔河劣5类水体治理前端富田污水处理厂改造提升、末端龙家亮子湿地工程建设稳步推进，五棵树河环境综合整治初见成效，实现从污染带到景观带、经济带的转变；城区生活垃圾日产日清，24个乡镇33座垃圾转运站开始运行；中央环保督察等反馈问题整改全部销号，信访案件全部办结。</w:t>
      </w:r>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致力防范化解重大风险，</w:t>
      </w:r>
      <w:r>
        <w:rPr>
          <w:rFonts w:hint="default" w:ascii="Times New Roman" w:hAnsi="Times New Roman" w:eastAsia="仿宋_GB2312" w:cs="Times New Roman"/>
          <w:color w:val="000000"/>
          <w:sz w:val="32"/>
          <w:szCs w:val="32"/>
        </w:rPr>
        <w:t>从严打击非法金融活动，牢牢守住不发生系统性金融风险底线。着力开展反颠覆、反渗透、反恐怖领域斗争，严密防范国家安全领域重大风险，全市公共安全形势平稳有序。</w:t>
      </w:r>
    </w:p>
    <w:p>
      <w:pPr>
        <w:ind w:right="72" w:rightChars="24" w:firstLine="0"/>
        <w:jc w:val="center"/>
        <w:outlineLvl w:val="2"/>
        <w:rPr>
          <w:rFonts w:hint="default" w:ascii="Times New Roman" w:hAnsi="Times New Roman" w:eastAsia="仿宋_GB2312" w:cs="Times New Roman"/>
          <w:b/>
          <w:bCs/>
          <w:color w:val="000000"/>
          <w:sz w:val="32"/>
          <w:szCs w:val="32"/>
        </w:rPr>
      </w:pPr>
      <w:bookmarkStart w:id="60" w:name="_Toc16656"/>
      <w:bookmarkStart w:id="61" w:name="_Toc10329"/>
      <w:bookmarkStart w:id="62" w:name="_Toc8335"/>
      <w:bookmarkStart w:id="63" w:name="_Toc31570"/>
      <w:r>
        <w:rPr>
          <w:rFonts w:hint="default" w:ascii="Times New Roman" w:hAnsi="Times New Roman" w:eastAsia="楷体_GB2312" w:cs="Times New Roman"/>
          <w:b/>
          <w:bCs/>
          <w:sz w:val="32"/>
          <w:szCs w:val="32"/>
        </w:rPr>
        <w:t>第四节  “三级工程”取得实效</w:t>
      </w:r>
      <w:bookmarkEnd w:id="60"/>
      <w:bookmarkEnd w:id="61"/>
      <w:bookmarkEnd w:id="62"/>
      <w:bookmarkEnd w:id="63"/>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以决胜攻坚“百日会战”为载体，大力实施乡村绿级、城市能级、经济量级“三级工程”，集上下之智、聚全市之力，奋力开创县域发展新局面。</w:t>
      </w:r>
    </w:p>
    <w:p>
      <w:pPr>
        <w:ind w:right="72" w:rightChars="24"/>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乡村绿级成效显著。</w:t>
      </w:r>
      <w:r>
        <w:rPr>
          <w:rFonts w:hint="default" w:ascii="Times New Roman" w:hAnsi="Times New Roman" w:eastAsia="仿宋_GB2312" w:cs="Times New Roman"/>
          <w:color w:val="000000"/>
          <w:sz w:val="32"/>
          <w:szCs w:val="32"/>
        </w:rPr>
        <w:t>以“绿色粮仓、大美榆树”为主题，全力打造绿色屏障、绿色通道、绿色乡村，5年累计植树造林5747公顷，其中，仅2020年就完成绿化造林2687公顷，栽植各类苗木280多万株，建设围屯林613条，绿化村屯1876个，绿化村屯的数量是省下达任务的15倍，是近五年总数的30倍，实现历史性突破。自加压力实行“六必拆”，拆除破旧危险房屋等4852处，残垣断壁基本消除。健全完善农村人居环境整治长效机制，建立“长效十条”，设立“红黑榜”，农村保洁收费实现全覆盖，美丽乡村建设扎实推进。</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城市能级稳步提升。</w:t>
      </w:r>
      <w:r>
        <w:rPr>
          <w:rFonts w:hint="default" w:ascii="Times New Roman" w:hAnsi="Times New Roman" w:eastAsia="仿宋_GB2312" w:cs="Times New Roman"/>
          <w:color w:val="000000"/>
          <w:sz w:val="32"/>
          <w:szCs w:val="32"/>
        </w:rPr>
        <w:t>把城市建设放到实施哈长城市群战略的大背景中规划布局，积极拓展城市发展空间，拉开中等城市框架。火车站综合改造项目进展顺利，开创了地方政府与铁路部门合作的历史性先河；实施棚户区、老旧小区改造工程</w:t>
      </w:r>
      <w:r>
        <w:rPr>
          <w:rFonts w:hint="default" w:ascii="Times New Roman" w:hAnsi="Times New Roman" w:eastAsia="仿宋_GB2312" w:cs="Times New Roman"/>
          <w:sz w:val="32"/>
          <w:szCs w:val="32"/>
        </w:rPr>
        <w:t>，老城区面貌焕然一新；绿化总面积666.8公顷，城市绿化水平不断提升；平安供水厂建成运营，全市供水普及率提升至90.84%；共完成建设保障性安居工程配套道路43条，道路总面积达到256.9万平方米；铺设燃气管网209.1公里，燃气管网覆盖率达到80%。榆松高速公路竣工通车，结束了榆树不通高速的历史；榆陶铁路实现两次提速，榆树至长春直快列车开通；榆树通用机场至查干湖机场航线正式通航，成为全省首条通航短途运输航线。深入开展城市乱象集中整治，重拳治理市容环境、违章建筑、道路交通等重点领域乱象，有效解决了一大批城市管理顽疾，如期完成违章别墅治理、大棚房整治等重点任务。</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经济量级持续壮大。</w:t>
      </w:r>
      <w:r>
        <w:rPr>
          <w:rFonts w:hint="default" w:ascii="Times New Roman" w:hAnsi="Times New Roman" w:eastAsia="仿宋_GB2312" w:cs="Times New Roman"/>
          <w:sz w:val="32"/>
          <w:szCs w:val="32"/>
        </w:rPr>
        <w:t>坚持统筹推进疫情防控和经济社会发展，抓“六保”促“六稳”，采取“云招商”，出台招商引资项目建设、推进实体经济发展“两大优惠政策”，五年累计引进内资152.73亿元、外资2.6亿美元，大部分已转化为有效投资。中瑞生物质发电、枫林食品等一批重大项目建成投产，中粮生化、正大肉鸡等一批大型龙头企业辐射带动作用更加凸显，玉米化工等六大主导产业初步形成。现代服务业繁荣发展，民营经济持续壮大，天悦城、凯购城相继建成，全市各类市场主体62437户，第三产业增加值占GDP的比重突破50%，后发优势更加明显。</w:t>
      </w:r>
    </w:p>
    <w:p>
      <w:pPr>
        <w:ind w:right="72" w:rightChars="24" w:firstLine="0"/>
        <w:jc w:val="center"/>
        <w:outlineLvl w:val="2"/>
        <w:rPr>
          <w:rFonts w:hint="default" w:ascii="Times New Roman" w:hAnsi="Times New Roman" w:eastAsia="楷体_GB2312" w:cs="Times New Roman"/>
          <w:b/>
          <w:bCs/>
          <w:sz w:val="32"/>
          <w:szCs w:val="32"/>
        </w:rPr>
      </w:pPr>
      <w:bookmarkStart w:id="64" w:name="_Toc17277"/>
      <w:bookmarkStart w:id="65" w:name="_Toc27748"/>
      <w:bookmarkStart w:id="66" w:name="_Toc16075"/>
      <w:bookmarkStart w:id="67" w:name="_Toc14195"/>
      <w:r>
        <w:rPr>
          <w:rFonts w:hint="default" w:ascii="Times New Roman" w:hAnsi="Times New Roman" w:eastAsia="楷体_GB2312" w:cs="Times New Roman"/>
          <w:b/>
          <w:bCs/>
          <w:sz w:val="32"/>
          <w:szCs w:val="32"/>
        </w:rPr>
        <w:t>第五节  深化改革激活动力</w:t>
      </w:r>
      <w:bookmarkEnd w:id="64"/>
      <w:bookmarkEnd w:id="65"/>
      <w:bookmarkEnd w:id="66"/>
      <w:bookmarkEnd w:id="67"/>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坚决向积存的体制机制弊端开刀，全市各领域改革呈现出梯次接续、重点突破、纵深推进的良好态势。</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重点改革持续深化。</w:t>
      </w:r>
      <w:r>
        <w:rPr>
          <w:rFonts w:hint="default" w:ascii="Times New Roman" w:hAnsi="Times New Roman" w:eastAsia="仿宋_GB2312" w:cs="Times New Roman"/>
          <w:sz w:val="32"/>
          <w:szCs w:val="32"/>
        </w:rPr>
        <w:t>农村土地承包经营权确权登记颁证、农村宅基地确权登记颁证全面完成，积极开展土地经营权入股发展农业产业化经营试点，农村集体产权制度改革全面收官，全市党政机构改革、乡镇街道机构改革顺利完成，五个重点领域综合行政执法改革稳步实施，农村土地承包纠纷仲裁工作走在全省前列。乡村振兴新动能培育试验区建设率先破题，我市成功跨入省扩权强县改革试点行列。医药卫生体制改革全面推开，县级公立医院综合改革实现全覆盖，榆树被评为全省医改工作先进县。</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营商环境持续优化。</w:t>
      </w:r>
      <w:r>
        <w:rPr>
          <w:rFonts w:hint="default" w:ascii="Times New Roman" w:hAnsi="Times New Roman" w:eastAsia="仿宋_GB2312" w:cs="Times New Roman"/>
          <w:sz w:val="32"/>
          <w:szCs w:val="32"/>
        </w:rPr>
        <w:t xml:space="preserve">行政审批制度改革、商事制度改革、“放管服”改革和“一门式、一张网”综合政务服务改革稳步推进。28个乡（镇）街公共服务中心政务服务平台全部开通，1170个事项进驻综合性实体大厅，1125个事项实现无差别“一窗”受理。实现群众的事“一窗通办”、企业的事“一网全办”，企业开办时间由原来的3天压减到30分钟。“双随机、一公开”监管有效实施，全面推进“三公”经费和行政经费、行政审批、保障性住房、招投标、征地拆迁、价格收费、食品药品安全、环保等重点领域信息公开，各部门政府信息公开年度报告发布率达到100%，城市信用监测排名连续两年长春地区第一。 </w:t>
      </w:r>
    </w:p>
    <w:p>
      <w:pPr>
        <w:ind w:right="72" w:rightChars="24" w:firstLine="643" w:firstLineChars="200"/>
        <w:rPr>
          <w:rFonts w:hint="default" w:ascii="Times New Roman" w:hAnsi="Times New Roman" w:cs="Times New Roman"/>
        </w:rPr>
      </w:pPr>
      <w:r>
        <w:rPr>
          <w:rFonts w:hint="default" w:ascii="Times New Roman" w:hAnsi="Times New Roman" w:eastAsia="仿宋_GB2312" w:cs="Times New Roman"/>
          <w:b/>
          <w:bCs/>
          <w:sz w:val="32"/>
          <w:szCs w:val="32"/>
        </w:rPr>
        <w:t>改革活力持续增强。</w:t>
      </w:r>
      <w:r>
        <w:rPr>
          <w:rFonts w:hint="default" w:ascii="Times New Roman" w:hAnsi="Times New Roman" w:eastAsia="仿宋_GB2312" w:cs="Times New Roman"/>
          <w:sz w:val="32"/>
          <w:szCs w:val="32"/>
        </w:rPr>
        <w:t>坚持改革工作调度清单化、管理台账化、推进制度化，建立“每月调度、季度通报、半年督察、全年总结”工作机制，5年来，全市共有516项改革任务纳入本级《改革台账》，全部按照序时进度扎实推进，诸多重要领域和关键环节改革取得了突破性进展，县域发展活力明显增强，不仅为决胜全面建成小康社会、决战脱贫攻坚提供了有力支撑，也为榆树“十四五”谋篇布局及高质量发展打下了坚实基础。</w:t>
      </w:r>
    </w:p>
    <w:p>
      <w:pPr>
        <w:ind w:right="72" w:rightChars="24" w:firstLine="0"/>
        <w:jc w:val="center"/>
        <w:outlineLvl w:val="2"/>
        <w:rPr>
          <w:rFonts w:hint="default" w:ascii="Times New Roman" w:hAnsi="Times New Roman" w:eastAsia="楷体_GB2312" w:cs="Times New Roman"/>
          <w:b/>
          <w:bCs/>
          <w:sz w:val="32"/>
          <w:szCs w:val="32"/>
        </w:rPr>
      </w:pPr>
      <w:bookmarkStart w:id="68" w:name="_Toc5488"/>
      <w:bookmarkStart w:id="69" w:name="_Toc24812"/>
      <w:bookmarkStart w:id="70" w:name="_Toc29707"/>
      <w:bookmarkStart w:id="71" w:name="_Toc200"/>
      <w:r>
        <w:rPr>
          <w:rFonts w:hint="default" w:ascii="Times New Roman" w:hAnsi="Times New Roman" w:eastAsia="楷体_GB2312" w:cs="Times New Roman"/>
          <w:b/>
          <w:bCs/>
          <w:sz w:val="32"/>
          <w:szCs w:val="32"/>
        </w:rPr>
        <w:t>第六节  民生福祉稳步提升</w:t>
      </w:r>
      <w:bookmarkEnd w:id="68"/>
      <w:bookmarkEnd w:id="69"/>
      <w:bookmarkEnd w:id="70"/>
      <w:bookmarkEnd w:id="71"/>
    </w:p>
    <w:p>
      <w:pPr>
        <w:tabs>
          <w:tab w:val="left" w:pos="709"/>
          <w:tab w:val="left" w:pos="1843"/>
        </w:tabs>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践行以人民为中心的发展思想，谋民生之利，解民生之忧，帮民生之需，切实让人民群众在共建共享中有更多的获得感。就业优先政策全面落实，累计开发城镇创业就业岗位76808个，城镇登记失业率控制在3.06%以内。基本医疗保险实现全覆盖，城镇职工参加工伤保险3.6万人，城乡居民基本养老保险覆盖率达到95%。教育事业稳步发展，新建校舍面积16.4万平方米，维修改造校舍120余校，义务教育巩固率达到95.6%，高中阶段毛入学率达到91.2%。医疗卫生水平显著提高，建设完成市人民医院妇儿科楼、妇幼保健院综合楼、中医院门诊楼及351家标准化村卫生室，2018年荣获“全国健康促进县称号”。文化事业全面进步，新档案馆投入使用，“榆树人”陈列展同步开放，深入开展“健康生活、悦动吉林”等主题文化活动，年均举办演出活动150场次，累计建成农村文化广场493个、基层综合文化服务中心388个，实现了村级全覆盖；融媒体建设初成效，数字电视实现全覆盖，节目播出率率先在全省县级实现高清化。退役军人服务保障体系建设加快，全市成立400余个退役军人服站，2020荣获“吉林省双拥模范城（县）”称号。交通条件明显改善，新建农村水泥路400公里，改造危桥50座；改造农村通乡通村“畅返不畅”及老旧路445公里，改善了群众出行环境，榆树到长春城际公交全面通车。榆树市荣膺“2020中国最具幸福感百佳县市”第25位。</w:t>
      </w:r>
    </w:p>
    <w:p>
      <w:pPr>
        <w:spacing w:line="360" w:lineRule="auto"/>
        <w:ind w:right="72" w:rightChars="24" w:firstLine="0"/>
        <w:jc w:val="center"/>
        <w:outlineLvl w:val="9"/>
        <w:rPr>
          <w:rFonts w:hint="default" w:ascii="Times New Roman" w:hAnsi="Times New Roman" w:eastAsia="仿宋_GB2312" w:cs="Times New Roman"/>
          <w:b/>
          <w:bCs/>
          <w:sz w:val="32"/>
          <w:szCs w:val="32"/>
        </w:rPr>
      </w:pPr>
      <w:bookmarkStart w:id="72" w:name="_Toc29222"/>
      <w:bookmarkStart w:id="73" w:name="_Toc12156"/>
      <w:r>
        <w:rPr>
          <w:rFonts w:hint="default" w:ascii="Times New Roman" w:hAnsi="Times New Roman" w:eastAsia="楷体_GB2312" w:cs="Times New Roman"/>
          <w:b/>
          <w:bCs/>
          <w:sz w:val="32"/>
          <w:szCs w:val="32"/>
        </w:rPr>
        <w:t>第七节  社会治理全面加强</w:t>
      </w:r>
      <w:bookmarkEnd w:id="72"/>
      <w:bookmarkEnd w:id="73"/>
    </w:p>
    <w:p>
      <w:pPr>
        <w:spacing w:line="600" w:lineRule="exact"/>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着力强化法治榆树建设，坚持法治政府、法治社会统筹推进，全面依法治市、普法宣传教育成效明显，“七五”普法规划任务圆满完成。纵深推进扫黑除恶专项斗争，完成“六清”攻坚任务，严厉打击违法犯罪活动，群众安全感满意度持续提升。加强社会矛盾纠纷排查化解，积极化解信访积案，采取“缴办分离”，“补办分离”，解决35315户无籍房产权办理难题，重要会事期间进京非访和极端事件实现“双零”目标。压实安全生产责任制，开展安全生产专项整治三年行动，狠抓药品、食品、消防、交通运输等领域安全，社会治理体系治理能力现代化扎实推进。我市荣获吉林省双拥模范城（县）“九连冠”。</w:t>
      </w:r>
    </w:p>
    <w:p>
      <w:pPr>
        <w:ind w:right="72" w:rightChars="24" w:firstLine="643" w:firstLineChars="0"/>
        <w:jc w:val="center"/>
        <w:outlineLvl w:val="2"/>
        <w:rPr>
          <w:rFonts w:hint="default" w:ascii="Times New Roman" w:hAnsi="Times New Roman" w:eastAsia="仿宋_GB2312" w:cs="Times New Roman"/>
          <w:sz w:val="32"/>
          <w:szCs w:val="32"/>
        </w:rPr>
      </w:pPr>
      <w:bookmarkStart w:id="74" w:name="_Toc1970"/>
      <w:bookmarkStart w:id="75" w:name="_Toc30064"/>
      <w:bookmarkStart w:id="76" w:name="_Toc25251"/>
      <w:bookmarkStart w:id="77" w:name="_Toc10626"/>
      <w:r>
        <w:rPr>
          <w:rFonts w:hint="default" w:ascii="Times New Roman" w:hAnsi="Times New Roman" w:eastAsia="楷体_GB2312" w:cs="Times New Roman"/>
          <w:b/>
          <w:bCs/>
          <w:sz w:val="32"/>
          <w:szCs w:val="32"/>
        </w:rPr>
        <w:t>第八节  疫情防控成效显著</w:t>
      </w:r>
      <w:bookmarkEnd w:id="74"/>
      <w:bookmarkEnd w:id="75"/>
      <w:bookmarkEnd w:id="76"/>
      <w:bookmarkEnd w:id="77"/>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始终坚持人民至上、生命至上，坚决贯彻习近平总书记关于疫情防控的重要指示精神，全面落实中央和省市委决策部署，构建三级包保责任体系，压紧压实“三级书记抓防控”责任，从严落实“五早”等举措，建立联防联控、群防群控和“三长”联动机制，抓准抓实信息核查、主动监测等重要环节，顶住多轮聚集性疫情压力，消除疫情输入风险。落实“三保一统筹”要求，统筹推进复工复产、复商复市、复学复课。疫情防控转入常态化后，第一时间完善应急预案，变“全面防”为“精准防”，强力落实排查、隔离、管控、检测等措施，有效遏制疫情输入扩散。到目前，榆树域内未出现疑似病例、确诊病例和无症状感染者，疫情防控取得了阶段性胜利，守住了“榆树净土”，把住了吉林北大门。</w:t>
      </w:r>
    </w:p>
    <w:p>
      <w:pPr>
        <w:spacing w:line="240" w:lineRule="auto"/>
        <w:ind w:right="72" w:rightChars="24"/>
        <w:jc w:val="center"/>
        <w:outlineLvl w:val="1"/>
        <w:rPr>
          <w:rFonts w:hint="default" w:ascii="Times New Roman" w:hAnsi="Times New Roman" w:eastAsia="仿宋_GB2312" w:cs="Times New Roman"/>
          <w:b/>
          <w:bCs/>
          <w:sz w:val="32"/>
          <w:szCs w:val="32"/>
        </w:rPr>
      </w:pPr>
      <w:bookmarkStart w:id="78" w:name="_Toc21493"/>
      <w:bookmarkStart w:id="79" w:name="_Toc17048"/>
      <w:bookmarkStart w:id="80" w:name="_Toc6628"/>
      <w:bookmarkStart w:id="81" w:name="_Toc29599"/>
      <w:r>
        <w:rPr>
          <w:rFonts w:hint="default" w:ascii="Times New Roman" w:hAnsi="Times New Roman" w:eastAsia="仿宋_GB2312" w:cs="Times New Roman"/>
          <w:b/>
          <w:bCs/>
          <w:sz w:val="32"/>
          <w:szCs w:val="32"/>
        </w:rPr>
        <w:t>第二章  发展环境</w:t>
      </w:r>
      <w:bookmarkEnd w:id="78"/>
      <w:bookmarkEnd w:id="79"/>
      <w:bookmarkEnd w:id="80"/>
      <w:bookmarkEnd w:id="81"/>
    </w:p>
    <w:p>
      <w:pPr>
        <w:spacing w:line="240" w:lineRule="auto"/>
        <w:ind w:right="72" w:rightChars="24"/>
        <w:rPr>
          <w:rFonts w:hint="default" w:ascii="Times New Roman" w:hAnsi="Times New Roman" w:eastAsia="仿宋_GB2312" w:cs="Times New Roman"/>
          <w:sz w:val="32"/>
          <w:szCs w:val="32"/>
        </w:rPr>
      </w:pPr>
    </w:p>
    <w:p>
      <w:pPr>
        <w:ind w:right="72" w:rightChars="24" w:firstLine="0"/>
        <w:jc w:val="center"/>
        <w:outlineLvl w:val="2"/>
        <w:rPr>
          <w:rFonts w:hint="default" w:ascii="Times New Roman" w:hAnsi="Times New Roman" w:eastAsia="楷体_GB2312" w:cs="Times New Roman"/>
          <w:sz w:val="32"/>
          <w:szCs w:val="32"/>
        </w:rPr>
      </w:pPr>
      <w:bookmarkStart w:id="82" w:name="_Toc6460"/>
      <w:bookmarkStart w:id="83" w:name="_Toc19716"/>
      <w:bookmarkStart w:id="84" w:name="_Toc27783"/>
      <w:bookmarkStart w:id="85" w:name="_Toc9082"/>
      <w:r>
        <w:rPr>
          <w:rFonts w:hint="default" w:ascii="Times New Roman" w:hAnsi="Times New Roman" w:eastAsia="楷体_GB2312" w:cs="Times New Roman"/>
          <w:b/>
          <w:bCs/>
          <w:sz w:val="32"/>
          <w:szCs w:val="32"/>
        </w:rPr>
        <w:t>第一节  国际国内宏观环境</w:t>
      </w:r>
      <w:bookmarkEnd w:id="82"/>
      <w:bookmarkEnd w:id="83"/>
      <w:bookmarkEnd w:id="84"/>
      <w:bookmarkEnd w:id="85"/>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全球看，“十四五”期间世界经济将在深度调整中曲折复苏，挑战与机遇并存。一方面，中美贸易摩擦的深层次影响在相当长时期依然存在，全球经济贸易增长乏力，保护主义抬头，地缘政治关系复杂多变，传统安全威胁和非传统安全威胁相互交织，外部环境不稳定不确定因素增多。全球性保护主义叠加劳动力要素供给下降和生产技术水平停滞，导致各国潜在增长率不断下降。另一方面，新一轮科技革命和产业变革蓄势待发，全球治理体系深刻变革，国际力量对比逐步趋向平衡，这为更加开放、和谐、创新的高质量发展和建设现代化经济体系提供了机遇。</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全国看，“十四五”期间我国面临新的发展环境主要表现在八个方面：一是工业化进入后期，全新的人工智能制造时期。二是城市化进入后期，城市有机更新和城乡人口双向流动的时期。三是市场化进入深度改革期，基于法律和规则的制度完善期。四是国际化进入分化期，全球治理体系的大变革时期。五是信息化进入新一轮革命期，以5G为主要标志的新技术突破期。六是人口老龄化进入凸显期，应对老龄化和鼓励生育的交汇期。七是生态化建设进入关键期，生态环境保护修复与破坏恶化的胶着期。八是社会治理现代化进入全面推进期，法治国家、法治政府、法治社会一体建设和确保国家安全的新时期。</w:t>
      </w:r>
    </w:p>
    <w:p>
      <w:pPr>
        <w:tabs>
          <w:tab w:val="left" w:pos="709"/>
          <w:tab w:val="left" w:pos="1843"/>
        </w:tabs>
        <w:ind w:firstLine="640" w:firstLineChars="0"/>
        <w:jc w:val="center"/>
        <w:outlineLvl w:val="2"/>
        <w:rPr>
          <w:rFonts w:hint="default" w:ascii="Times New Roman" w:hAnsi="Times New Roman" w:eastAsia="仿宋_GB2312" w:cs="Times New Roman"/>
          <w:b/>
          <w:bCs/>
          <w:sz w:val="32"/>
          <w:szCs w:val="32"/>
        </w:rPr>
      </w:pPr>
      <w:bookmarkStart w:id="86" w:name="_Toc23691"/>
      <w:bookmarkStart w:id="87" w:name="_Toc23586"/>
      <w:bookmarkStart w:id="88" w:name="_Toc13169"/>
      <w:bookmarkStart w:id="89" w:name="_Toc15528"/>
      <w:r>
        <w:rPr>
          <w:rFonts w:hint="default" w:ascii="Times New Roman" w:hAnsi="Times New Roman" w:eastAsia="楷体_GB2312" w:cs="Times New Roman"/>
          <w:b/>
          <w:bCs/>
          <w:sz w:val="32"/>
          <w:szCs w:val="32"/>
        </w:rPr>
        <w:t>第二节  发展机遇不断显现</w:t>
      </w:r>
      <w:bookmarkEnd w:id="86"/>
      <w:bookmarkEnd w:id="87"/>
      <w:bookmarkEnd w:id="88"/>
      <w:bookmarkEnd w:id="89"/>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国内经济发展看，“十四五”期间我国发展仍处于大有可为的重要战略机遇期，物质基础雄厚、人力资本丰富、市场空间广阔、发展潜力巨大，经济发展韧性强、动力足、潜力大，长期向好的基本面没有改变。全面建设社会主义现代国家、全面深化改革、全面依法治国、全面从严治党将释放新红利，大众创业、万众创新将激发新动力，“一带一路”、自由贸易区、城市群等国家战略进一步深化开放力度和拓展发展空间。</w:t>
      </w:r>
    </w:p>
    <w:p>
      <w:pPr>
        <w:tabs>
          <w:tab w:val="left" w:pos="709"/>
          <w:tab w:val="left" w:pos="1843"/>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区域经济发展看，长春市作为省会城市，是我国“一带一路”北线通道重要节点、新亚欧大陆的中心点和图们江三角洲开发计划的核心支撑点之一。目前，长春正处于全面振兴全方位振兴的关键期和现代化都市圈建设的加快推进期，全市发展将进入“五期叠加”关键阶段，即振兴发展进入加快突破期，产业结构进入加快变革期，城市空间进入加快拓展期，改革开放进入加快重塑期，民生福祉进入加快提质期。</w:t>
      </w:r>
      <w:bookmarkStart w:id="90" w:name="_Toc3232"/>
    </w:p>
    <w:bookmarkEnd w:id="90"/>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从我市经济发展看，榆树市作为哈长一体化发展重点城市，被长吉图开发开放先导区纳入发展节点，成为国家“一带一路”</w:t>
      </w:r>
      <w:r>
        <w:rPr>
          <w:rFonts w:hint="eastAsia" w:ascii="Times New Roman" w:hAnsi="Times New Roman" w:eastAsia="仿宋_GB2312" w:cs="Times New Roman"/>
          <w:sz w:val="32"/>
          <w:szCs w:val="32"/>
          <w:lang w:val="en-US" w:eastAsia="zh-CN"/>
        </w:rPr>
        <w:t>倡议</w:t>
      </w:r>
      <w:r>
        <w:rPr>
          <w:rFonts w:hint="default" w:ascii="Times New Roman" w:hAnsi="Times New Roman" w:eastAsia="仿宋_GB2312" w:cs="Times New Roman"/>
          <w:sz w:val="32"/>
          <w:szCs w:val="32"/>
        </w:rPr>
        <w:t>的组成部分。习近平总书记视察吉林重要讲话重要指示精神强调，要保护黑土地，让农民用最好的技术种出最好的粮食，这为以农业为基本属性和基本特征的榆树带来新的发展机遇和春天。国家实施乡村振兴、创新驱动、两化融合、智慧互联等重大战略也为榆树带来巨大的发展潜能和机会。充分把握新一轮东北振兴、区域经济发展的重大机遇，结合榆树发展实际，在立足现实中明确定位、在融入全局中提升站位、在主动求变中争先进位，以坚决扛起保障国家粮食安全重任为主线，以推动乡村振兴为抓手，以产业转型升级为重点，以点线面联动、当期长远结合为路径，大力发展农业农村现代化，深化农业农村改革，将绿色优势转化为绿色发展胜势，在全省率先实现农业农村现代化，促进农业现代化与城镇化的相互协调发展，推动工业化与城镇化的良性互动发展，带动榆树全面振兴全方位振兴，为全省提供有益示范。</w:t>
      </w:r>
    </w:p>
    <w:p>
      <w:pPr>
        <w:tabs>
          <w:tab w:val="left" w:pos="709"/>
          <w:tab w:val="left" w:pos="1843"/>
        </w:tabs>
        <w:ind w:firstLine="640" w:firstLineChars="0"/>
        <w:jc w:val="center"/>
        <w:outlineLvl w:val="2"/>
        <w:rPr>
          <w:rFonts w:hint="default" w:ascii="Times New Roman" w:hAnsi="Times New Roman" w:eastAsia="楷体_GB2312" w:cs="Times New Roman"/>
          <w:b/>
          <w:bCs/>
          <w:sz w:val="32"/>
          <w:szCs w:val="32"/>
        </w:rPr>
      </w:pPr>
      <w:bookmarkStart w:id="91" w:name="_Toc30234"/>
      <w:bookmarkStart w:id="92" w:name="_Toc8297"/>
      <w:bookmarkStart w:id="93" w:name="_Toc12316"/>
      <w:bookmarkStart w:id="94" w:name="_Toc7438"/>
      <w:r>
        <w:rPr>
          <w:rFonts w:hint="default" w:ascii="Times New Roman" w:hAnsi="Times New Roman" w:eastAsia="楷体_GB2312" w:cs="Times New Roman"/>
          <w:b/>
          <w:bCs/>
          <w:sz w:val="32"/>
          <w:szCs w:val="32"/>
        </w:rPr>
        <w:t>第三节  面临挑战前所未有</w:t>
      </w:r>
      <w:bookmarkEnd w:id="91"/>
      <w:bookmarkEnd w:id="92"/>
      <w:bookmarkEnd w:id="93"/>
      <w:bookmarkEnd w:id="9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未来五年，以及到</w:t>
      </w:r>
      <w:r>
        <w:rPr>
          <w:rFonts w:hint="eastAsia" w:ascii="Times New Roman" w:hAnsi="Times New Roman" w:eastAsia="仿宋_GB2312" w:cs="Times New Roman"/>
          <w:sz w:val="32"/>
          <w:szCs w:val="32"/>
          <w:lang w:eastAsia="zh-CN"/>
        </w:rPr>
        <w:t>2035</w:t>
      </w:r>
      <w:r>
        <w:rPr>
          <w:rFonts w:hint="default" w:ascii="Times New Roman" w:hAnsi="Times New Roman" w:eastAsia="仿宋_GB2312" w:cs="Times New Roman"/>
          <w:sz w:val="32"/>
          <w:szCs w:val="32"/>
        </w:rPr>
        <w:t>年，新常态下围绕资源、市场、技术、人才、政策的竞争更加激烈，省内同类城市呈现出加快发展的态势，加大了榆树市升级晋位赶超的难度。</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榆树经济社会发展中还存在不少困难和问题。一是做大总量、做强增量、调优结构的任务仍然较重。经济总量仍然偏小，农业经济占比较大，仍是典型的农业大县，工业和服务业发展不均衡，县域特色产业转型升级缓慢。二是科技支撑、创新驱动、数字引领的任务仍然较重。企业主体创新能力亟待增强，数字经济、“互联网+”融入经济社会发展各环节、各层面还不够充分。三是环境改善、政策支撑、开放发展的任务仍然较重。生态环境治理任重道远，环境污染问题还没有得到根本性解决，治理和修复任务还很艰巨。市场化改革还需加大力度，实体经济融资难、融资贵问题尚未有效解决。四是城乡融合、全民共享、均衡发展的任务仍然较重。农业农村基础还比较薄弱，城市精细化管理水平还需提升，民生保障还存在短板，社会治理体系和治理能力建设还有待加强。</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的来看，“十四五”时期，是榆树市由还欠账、稳局面发展阶段上升为绝地反超、振兴崛起的新阶段。要解放思想、勇于创新、保持定力、敢于担当，准确把握战略机遇期的深刻变化，更有效应对发展中存在的风险和挑战，充分调动各方面的积极性、主动性和创造性，科学谋划，真抓实干，为全力推进榆树市率先实现农业现代化而努力奋斗。</w:t>
      </w:r>
    </w:p>
    <w:p>
      <w:pPr>
        <w:ind w:firstLine="0"/>
        <w:jc w:val="center"/>
        <w:outlineLvl w:val="0"/>
        <w:rPr>
          <w:rFonts w:hint="default" w:ascii="Times New Roman" w:hAnsi="Times New Roman" w:eastAsia="黑体" w:cs="Times New Roman"/>
          <w:b/>
          <w:bCs/>
          <w:sz w:val="32"/>
          <w:szCs w:val="32"/>
        </w:rPr>
      </w:pPr>
      <w:r>
        <w:rPr>
          <w:rFonts w:hint="default" w:ascii="Times New Roman" w:hAnsi="Times New Roman" w:eastAsia="仿宋_GB2312" w:cs="Times New Roman"/>
          <w:sz w:val="32"/>
          <w:szCs w:val="32"/>
        </w:rPr>
        <w:br w:type="page"/>
      </w:r>
      <w:bookmarkStart w:id="95" w:name="_Toc32711"/>
      <w:bookmarkStart w:id="96" w:name="_Toc4974"/>
      <w:bookmarkStart w:id="97" w:name="_Toc10922"/>
      <w:bookmarkStart w:id="98" w:name="_Toc5237"/>
      <w:r>
        <w:rPr>
          <w:rFonts w:hint="default" w:ascii="Times New Roman" w:hAnsi="Times New Roman" w:eastAsia="黑体" w:cs="Times New Roman"/>
          <w:b w:val="0"/>
          <w:bCs w:val="0"/>
          <w:sz w:val="32"/>
          <w:szCs w:val="32"/>
        </w:rPr>
        <w:t xml:space="preserve">第二篇  </w:t>
      </w:r>
      <w:r>
        <w:rPr>
          <w:rFonts w:hint="default" w:ascii="Times New Roman" w:hAnsi="Times New Roman" w:eastAsia="黑体" w:cs="Times New Roman"/>
          <w:sz w:val="32"/>
          <w:szCs w:val="32"/>
        </w:rPr>
        <w:t>开启</w:t>
      </w:r>
      <w:r>
        <w:rPr>
          <w:rFonts w:hint="default" w:ascii="Times New Roman" w:hAnsi="Times New Roman" w:eastAsia="黑体" w:cs="Times New Roman"/>
          <w:b w:val="0"/>
          <w:bCs w:val="0"/>
          <w:sz w:val="32"/>
          <w:szCs w:val="32"/>
        </w:rPr>
        <w:t>新</w:t>
      </w:r>
      <w:r>
        <w:rPr>
          <w:rFonts w:hint="default" w:ascii="Times New Roman" w:hAnsi="Times New Roman" w:eastAsia="黑体" w:cs="Times New Roman"/>
          <w:sz w:val="32"/>
          <w:szCs w:val="32"/>
        </w:rPr>
        <w:t>征程</w:t>
      </w:r>
      <w:r>
        <w:rPr>
          <w:rFonts w:hint="default" w:ascii="Times New Roman" w:hAnsi="Times New Roman" w:eastAsia="黑体" w:cs="Times New Roman"/>
          <w:b w:val="0"/>
          <w:bCs w:val="0"/>
          <w:sz w:val="32"/>
          <w:szCs w:val="32"/>
        </w:rPr>
        <w:t xml:space="preserve">  </w:t>
      </w:r>
      <w:r>
        <w:rPr>
          <w:rFonts w:hint="default" w:ascii="Times New Roman" w:hAnsi="Times New Roman" w:eastAsia="黑体" w:cs="Times New Roman"/>
          <w:sz w:val="32"/>
          <w:szCs w:val="32"/>
        </w:rPr>
        <w:t>建设现代化新榆树</w:t>
      </w:r>
      <w:bookmarkEnd w:id="95"/>
      <w:bookmarkEnd w:id="96"/>
      <w:bookmarkEnd w:id="97"/>
      <w:bookmarkEnd w:id="98"/>
    </w:p>
    <w:p>
      <w:pPr>
        <w:spacing w:line="240" w:lineRule="auto"/>
        <w:ind w:right="72" w:rightChars="24"/>
        <w:jc w:val="center"/>
        <w:rPr>
          <w:rFonts w:hint="default" w:ascii="Times New Roman" w:hAnsi="Times New Roman" w:eastAsia="仿宋_GB2312" w:cs="Times New Roman"/>
          <w:b/>
          <w:sz w:val="32"/>
          <w:szCs w:val="32"/>
        </w:rPr>
      </w:pPr>
    </w:p>
    <w:p>
      <w:pPr>
        <w:spacing w:line="240" w:lineRule="auto"/>
        <w:ind w:right="72" w:rightChars="24" w:firstLine="0"/>
        <w:jc w:val="center"/>
        <w:outlineLvl w:val="1"/>
        <w:rPr>
          <w:rFonts w:hint="default" w:ascii="Times New Roman" w:hAnsi="Times New Roman" w:eastAsia="仿宋_GB2312" w:cs="Times New Roman"/>
          <w:sz w:val="32"/>
          <w:szCs w:val="32"/>
        </w:rPr>
      </w:pPr>
      <w:bookmarkStart w:id="99" w:name="_Toc30"/>
      <w:bookmarkStart w:id="100" w:name="_Toc12470"/>
      <w:bookmarkStart w:id="101" w:name="_Toc7598"/>
      <w:bookmarkStart w:id="102" w:name="_Toc5512"/>
      <w:r>
        <w:rPr>
          <w:rFonts w:hint="default" w:ascii="Times New Roman" w:hAnsi="Times New Roman" w:eastAsia="仿宋_GB2312" w:cs="Times New Roman"/>
          <w:b/>
          <w:bCs/>
          <w:sz w:val="32"/>
          <w:szCs w:val="32"/>
        </w:rPr>
        <w:t>第三章  指导方针</w:t>
      </w:r>
      <w:bookmarkEnd w:id="99"/>
      <w:bookmarkEnd w:id="100"/>
      <w:bookmarkEnd w:id="101"/>
      <w:bookmarkEnd w:id="102"/>
    </w:p>
    <w:p>
      <w:pPr>
        <w:spacing w:line="240" w:lineRule="auto"/>
        <w:ind w:right="72" w:rightChars="24"/>
        <w:jc w:val="center"/>
        <w:rPr>
          <w:rFonts w:hint="default" w:ascii="Times New Roman" w:hAnsi="Times New Roman" w:eastAsia="仿宋_GB2312" w:cs="Times New Roman"/>
          <w:sz w:val="32"/>
          <w:szCs w:val="32"/>
        </w:rPr>
      </w:pPr>
    </w:p>
    <w:p>
      <w:pPr>
        <w:ind w:right="72" w:rightChars="24" w:firstLine="0"/>
        <w:jc w:val="center"/>
        <w:outlineLvl w:val="2"/>
        <w:rPr>
          <w:rFonts w:hint="default" w:ascii="Times New Roman" w:hAnsi="Times New Roman" w:eastAsia="楷体_GB2312" w:cs="Times New Roman"/>
          <w:b/>
          <w:bCs/>
          <w:sz w:val="32"/>
          <w:szCs w:val="32"/>
        </w:rPr>
      </w:pPr>
      <w:bookmarkStart w:id="103" w:name="_Toc3634"/>
      <w:bookmarkStart w:id="104" w:name="_Toc14082"/>
      <w:bookmarkStart w:id="105" w:name="_Toc31099"/>
      <w:bookmarkStart w:id="106" w:name="_Toc9206"/>
      <w:r>
        <w:rPr>
          <w:rFonts w:hint="default" w:ascii="Times New Roman" w:hAnsi="Times New Roman" w:eastAsia="楷体_GB2312" w:cs="Times New Roman"/>
          <w:b/>
          <w:bCs/>
          <w:sz w:val="32"/>
          <w:szCs w:val="32"/>
        </w:rPr>
        <w:t>第一节  指导思想</w:t>
      </w:r>
      <w:bookmarkEnd w:id="103"/>
      <w:bookmarkEnd w:id="104"/>
      <w:bookmarkEnd w:id="105"/>
      <w:bookmarkEnd w:id="10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举习近平新时代中国特色社会主义思想伟大旗帜，深入贯彻党的十九大和十九届二中、三中、四中、五中全会精神，以习近平总书记重要讲话重要指示精神为统领，按照省委十一届八次全会、长春市委十三届十次全会和市委十四届十次全会部署，全面贯彻党的基本理论、基本路线、基本方略，统筹推进“五位一体”总体布局，协调推进“四个全面”战略布局，坚定不移贯彻新发展理念，坚持稳中求进工作总基调，以推动高质量发展为主题，以深化供给侧结构性改革为主线，以改革创新为动力，以满足人民日益增长的美好生活需要为目的，统筹发展和安全，紧紧抓住推进东北振兴发展的历史机遇，</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rPr>
        <w:t>落实“三个五”战略，</w:t>
      </w:r>
      <w:r>
        <w:rPr>
          <w:rFonts w:hint="eastAsia" w:ascii="Times New Roman" w:hAnsi="Times New Roman" w:eastAsia="仿宋_GB2312" w:cs="Times New Roman"/>
          <w:sz w:val="32"/>
          <w:szCs w:val="32"/>
          <w:lang w:val="en-US" w:eastAsia="zh-CN"/>
        </w:rPr>
        <w:t>在中东西“三大板块”发展中有所作为，</w:t>
      </w:r>
      <w:r>
        <w:rPr>
          <w:rFonts w:hint="default" w:ascii="Times New Roman" w:hAnsi="Times New Roman" w:eastAsia="仿宋_GB2312" w:cs="Times New Roman"/>
          <w:sz w:val="32"/>
          <w:szCs w:val="32"/>
        </w:rPr>
        <w:t>主动对接省“一主、六双”产业空间布局和长春现代化都市圈，大力实施“一主三线五基”战略，坚决扛起保障国家粮食安全重任，加快建设现代化经济体系，深度融入新发展格局，推进治理体系和治理能力现代化，实现经济行稳致远、社会安定和谐、人民安居乐业，</w:t>
      </w:r>
      <w:r>
        <w:rPr>
          <w:rFonts w:hint="eastAsia" w:ascii="Times New Roman" w:hAnsi="Times New Roman" w:eastAsia="仿宋_GB2312" w:cs="Times New Roman"/>
          <w:sz w:val="32"/>
          <w:szCs w:val="32"/>
          <w:lang w:val="en-US" w:eastAsia="zh-CN"/>
        </w:rPr>
        <w:t>努力大服务党和国家工作全局中体现新担当，</w:t>
      </w:r>
      <w:r>
        <w:rPr>
          <w:rFonts w:hint="default" w:ascii="Times New Roman" w:hAnsi="Times New Roman" w:eastAsia="仿宋_GB2312" w:cs="Times New Roman"/>
          <w:sz w:val="32"/>
          <w:szCs w:val="32"/>
        </w:rPr>
        <w:t>矢志不移建设哈长城市群区域性中心城市，为率先实现农业农村现代化、全面建设社会主义现代化新榆树开好局、起好步而奋斗。</w:t>
      </w:r>
    </w:p>
    <w:p>
      <w:pPr>
        <w:ind w:right="72" w:rightChars="24" w:firstLine="0"/>
        <w:jc w:val="center"/>
        <w:outlineLvl w:val="2"/>
        <w:rPr>
          <w:rFonts w:hint="default" w:ascii="Times New Roman" w:hAnsi="Times New Roman" w:eastAsia="楷体_GB2312" w:cs="Times New Roman"/>
          <w:b/>
          <w:bCs/>
          <w:sz w:val="32"/>
          <w:szCs w:val="32"/>
        </w:rPr>
      </w:pPr>
      <w:bookmarkStart w:id="107" w:name="_Toc19242"/>
      <w:bookmarkStart w:id="108" w:name="_Toc23473"/>
      <w:bookmarkStart w:id="109" w:name="_Toc11170"/>
      <w:bookmarkStart w:id="110" w:name="_Toc4836"/>
      <w:r>
        <w:rPr>
          <w:rFonts w:hint="default" w:ascii="Times New Roman" w:hAnsi="Times New Roman" w:eastAsia="楷体_GB2312" w:cs="Times New Roman"/>
          <w:b/>
          <w:bCs/>
          <w:sz w:val="32"/>
          <w:szCs w:val="32"/>
        </w:rPr>
        <w:t>第二节  发展原则</w:t>
      </w:r>
      <w:bookmarkEnd w:id="107"/>
      <w:bookmarkEnd w:id="108"/>
      <w:bookmarkEnd w:id="109"/>
      <w:bookmarkEnd w:id="11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——始终坚持党的领导。</w:t>
      </w:r>
      <w:r>
        <w:rPr>
          <w:rFonts w:hint="default" w:ascii="Times New Roman" w:hAnsi="Times New Roman" w:eastAsia="仿宋_GB2312" w:cs="Times New Roman"/>
          <w:sz w:val="32"/>
          <w:szCs w:val="32"/>
        </w:rPr>
        <w:t>坚决维护以习近平同志为核心的党中央权威和集中统一领导，坚持以习近平新时代中国特色社会主义思想为指导，发挥好党总揽全局、协调各方的领导核心作用，牢固树立“四个意识”、坚定“四个自信”、做到“两个维护”，不折不扣地把党中央的决策部署落到实处。</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——始终坚持人民至上。</w:t>
      </w:r>
      <w:r>
        <w:rPr>
          <w:rFonts w:hint="default" w:ascii="Times New Roman" w:hAnsi="Times New Roman" w:eastAsia="仿宋_GB2312" w:cs="Times New Roman"/>
          <w:sz w:val="32"/>
          <w:szCs w:val="32"/>
        </w:rPr>
        <w:t>人民对美好生活的向往就是我们的奋斗目标。必须全力聚焦满足人民对美好生活的期盼，加快推进治理体系和治理能力现代化，着力解决人民群众最关切的公共安全、权益保障、公平正义问题，切实增强人民群众获得感、幸福感、安全感。</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——始终坚持发展为要。</w:t>
      </w:r>
      <w:r>
        <w:rPr>
          <w:rFonts w:hint="default" w:ascii="Times New Roman" w:hAnsi="Times New Roman" w:eastAsia="仿宋_GB2312" w:cs="Times New Roman"/>
          <w:sz w:val="32"/>
          <w:szCs w:val="32"/>
        </w:rPr>
        <w:t>把新发展理念贯穿榆树全面振兴全方位振兴全过程和各领域，创造性地处理好经济发展与保护环境、改善民生的关系，依靠国内强大市场，提高对外开放水平，大力发展实体经济，积极培育发展新动能，确保经济平稳较快发展，切实提高经济社会发展质量效益。</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——始终坚持改革创新。</w:t>
      </w:r>
      <w:r>
        <w:rPr>
          <w:rFonts w:hint="default" w:ascii="Times New Roman" w:hAnsi="Times New Roman" w:eastAsia="仿宋_GB2312" w:cs="Times New Roman"/>
          <w:sz w:val="32"/>
          <w:szCs w:val="32"/>
        </w:rPr>
        <w:t>牢固树立抓改革就是抓发展、促开放就是争主动、谋创新就是谋未来的理念，坚持与时俱进，深入解放思想，坚定不移推进改革、扩大开放，着力改善创新创业环境，全面优化营商环境，汇聚国内外优质要素资源，为推动高质量发展提供强大持久动力。</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——始终坚持绿色生态。</w:t>
      </w:r>
      <w:r>
        <w:rPr>
          <w:rFonts w:hint="default" w:ascii="Times New Roman" w:hAnsi="Times New Roman" w:eastAsia="仿宋_GB2312" w:cs="Times New Roman"/>
          <w:sz w:val="32"/>
          <w:szCs w:val="32"/>
        </w:rPr>
        <w:t>牢固树立绿水青山就是金山银山的理念，把生态文明建设融入经济、政治、文化、社会建设全过程，加快建设资源节约型和环境友好型社会，打造“绿色粮仓、大美榆树”升级版，实现绿色发展、循环发展、低碳发展，加快形成人与自然和谐发展的现代化建设新格局。</w:t>
      </w:r>
    </w:p>
    <w:p>
      <w:pPr>
        <w:pStyle w:val="2"/>
        <w:rPr>
          <w:rFonts w:hint="default" w:ascii="Times New Roman" w:hAnsi="Times New Roman" w:cs="Times New Roman"/>
        </w:rPr>
      </w:pPr>
    </w:p>
    <w:p>
      <w:pPr>
        <w:spacing w:line="240" w:lineRule="auto"/>
        <w:ind w:right="72" w:rightChars="24" w:firstLine="0"/>
        <w:jc w:val="center"/>
        <w:outlineLvl w:val="1"/>
        <w:rPr>
          <w:rFonts w:hint="default" w:ascii="Times New Roman" w:hAnsi="Times New Roman" w:eastAsia="仿宋_GB2312" w:cs="Times New Roman"/>
          <w:b/>
          <w:bCs/>
          <w:sz w:val="32"/>
          <w:szCs w:val="32"/>
        </w:rPr>
      </w:pPr>
      <w:bookmarkStart w:id="111" w:name="_Toc22483"/>
      <w:bookmarkStart w:id="112" w:name="_Toc24871"/>
      <w:bookmarkStart w:id="113" w:name="_Toc11815"/>
      <w:bookmarkStart w:id="114" w:name="_Toc11556"/>
      <w:r>
        <w:rPr>
          <w:rFonts w:hint="default" w:ascii="Times New Roman" w:hAnsi="Times New Roman" w:eastAsia="仿宋_GB2312" w:cs="Times New Roman"/>
          <w:b/>
          <w:bCs/>
          <w:sz w:val="32"/>
          <w:szCs w:val="32"/>
        </w:rPr>
        <w:t>第四章  发展定位</w:t>
      </w:r>
      <w:bookmarkEnd w:id="111"/>
      <w:bookmarkEnd w:id="112"/>
      <w:bookmarkEnd w:id="113"/>
      <w:bookmarkEnd w:id="114"/>
    </w:p>
    <w:p>
      <w:pPr>
        <w:spacing w:line="240" w:lineRule="auto"/>
        <w:ind w:right="72" w:rightChars="24"/>
        <w:rPr>
          <w:rFonts w:hint="default" w:ascii="Times New Roman" w:hAnsi="Times New Roman" w:eastAsia="仿宋_GB2312" w:cs="Times New Roman"/>
          <w:sz w:val="32"/>
          <w:szCs w:val="32"/>
        </w:rPr>
      </w:pPr>
    </w:p>
    <w:p>
      <w:pPr>
        <w:ind w:right="72" w:rightChars="24" w:firstLine="640" w:firstLineChars="0"/>
        <w:jc w:val="center"/>
        <w:outlineLvl w:val="2"/>
        <w:rPr>
          <w:rFonts w:hint="default" w:ascii="Times New Roman" w:hAnsi="Times New Roman" w:eastAsia="仿宋_GB2312" w:cs="Times New Roman"/>
          <w:b/>
          <w:bCs/>
          <w:sz w:val="32"/>
          <w:szCs w:val="32"/>
        </w:rPr>
      </w:pPr>
      <w:bookmarkStart w:id="115" w:name="_Toc32238"/>
      <w:bookmarkStart w:id="116" w:name="_Toc3886"/>
      <w:bookmarkStart w:id="117" w:name="_Toc26793"/>
      <w:bookmarkStart w:id="118" w:name="_Toc21582"/>
      <w:r>
        <w:rPr>
          <w:rFonts w:hint="default" w:ascii="Times New Roman" w:hAnsi="Times New Roman" w:eastAsia="楷体_GB2312" w:cs="Times New Roman"/>
          <w:b/>
          <w:bCs/>
          <w:sz w:val="32"/>
          <w:szCs w:val="32"/>
        </w:rPr>
        <w:t>第一节  打造哈长城市群区域性中心城市</w:t>
      </w:r>
      <w:bookmarkEnd w:id="115"/>
      <w:bookmarkEnd w:id="116"/>
      <w:bookmarkEnd w:id="117"/>
      <w:bookmarkEnd w:id="118"/>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榆树市位于长春、哈尔滨、吉林三个城市的几何中心，地处哈长城市群核心区，是哈长一体化发展示范区“五市一区”的中心节点。要以矢志不移建设哈长城市群区域性中心城市为主攻方向，构建以长春2小时通达圈、长哈发展带为基本范围的城镇化空间形态，重点提升以中心区为核心的新型城镇化水平，坚持外延扩张、内涵提升，不断增强区域经济发展承载能力，带动周边城镇联动发展、协同发展，形成哈长一体化发展示范区中部产业隆起带，在</w:t>
      </w:r>
      <w:r>
        <w:rPr>
          <w:rFonts w:hint="default" w:ascii="Times New Roman" w:hAnsi="Times New Roman" w:eastAsia="仿宋_GB2312" w:cs="Times New Roman"/>
          <w:color w:val="000000"/>
          <w:sz w:val="32"/>
          <w:szCs w:val="28"/>
        </w:rPr>
        <w:t>未来哈长城市群一体化发展中发挥重要作用。</w:t>
      </w:r>
    </w:p>
    <w:p>
      <w:pPr>
        <w:ind w:right="72" w:rightChars="24" w:firstLine="640" w:firstLineChars="0"/>
        <w:jc w:val="center"/>
        <w:outlineLvl w:val="2"/>
        <w:rPr>
          <w:rFonts w:hint="default" w:ascii="Times New Roman" w:hAnsi="Times New Roman" w:eastAsia="楷体_GB2312" w:cs="Times New Roman"/>
          <w:b/>
          <w:bCs/>
          <w:sz w:val="32"/>
          <w:szCs w:val="32"/>
        </w:rPr>
      </w:pPr>
      <w:bookmarkStart w:id="119" w:name="_Toc16552"/>
      <w:bookmarkStart w:id="120" w:name="_Toc28943"/>
      <w:bookmarkStart w:id="121" w:name="_Toc23767"/>
      <w:bookmarkStart w:id="122" w:name="_Toc7019"/>
      <w:r>
        <w:rPr>
          <w:rFonts w:hint="default" w:ascii="Times New Roman" w:hAnsi="Times New Roman" w:eastAsia="楷体_GB2312" w:cs="Times New Roman"/>
          <w:b/>
          <w:bCs/>
          <w:sz w:val="32"/>
          <w:szCs w:val="32"/>
        </w:rPr>
        <w:t>第二节  打造长吉图战略向北开放重要门户</w:t>
      </w:r>
      <w:bookmarkEnd w:id="119"/>
      <w:bookmarkEnd w:id="120"/>
      <w:bookmarkEnd w:id="121"/>
      <w:bookmarkEnd w:id="122"/>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榆树市西向毗邻哈大高速铁路、京哈高速公路和哈大公路三条贯穿南北的交通“大动脉”，具备了联结东北三省一区的比较优势，新的长吉图开发开放先导区实施方案将榆树列为北向重要节点城市。“十四五”期间，榆树主要从铁路、公路、航空等方面补短板、扩能力，构建铁科高速横亘东西、黑大国道（G202）纵贯南北大“十”字交通干线轴，重点谋划实施一批重大基础设施项目，主动切入三条“大动脉”，深度融入以国内大循环为主体、国内国际双循环相互促进的新发展格局，形成铁路、高速公路、航空运输相结合的立体化大交通网络。畅通长吉图北向开放大通道，结合区域农副产品资源和产业支撑优势，辐射德惠、扶余、舒兰、五常、双城等县城及重点乡镇协同发展，把榆树打造成为我国北方农贸和商业物流集散地。</w:t>
      </w:r>
    </w:p>
    <w:p>
      <w:pPr>
        <w:ind w:right="72" w:rightChars="24" w:firstLine="640" w:firstLineChars="0"/>
        <w:jc w:val="center"/>
        <w:outlineLvl w:val="2"/>
        <w:rPr>
          <w:rFonts w:hint="default" w:ascii="Times New Roman" w:hAnsi="Times New Roman" w:eastAsia="仿宋_GB2312" w:cs="Times New Roman"/>
          <w:b/>
          <w:bCs/>
          <w:sz w:val="32"/>
          <w:szCs w:val="32"/>
        </w:rPr>
      </w:pPr>
      <w:bookmarkStart w:id="123" w:name="_Toc8933"/>
      <w:bookmarkStart w:id="124" w:name="_Toc5054"/>
      <w:bookmarkStart w:id="125" w:name="_Toc31883"/>
      <w:bookmarkStart w:id="126" w:name="_Toc30958"/>
      <w:r>
        <w:rPr>
          <w:rFonts w:hint="default" w:ascii="Times New Roman" w:hAnsi="Times New Roman" w:eastAsia="楷体_GB2312" w:cs="Times New Roman"/>
          <w:b/>
          <w:bCs/>
          <w:sz w:val="32"/>
          <w:szCs w:val="32"/>
        </w:rPr>
        <w:t>第三节  打造国家农业高质量发展示范区</w:t>
      </w:r>
      <w:bookmarkEnd w:id="123"/>
      <w:bookmarkEnd w:id="124"/>
      <w:bookmarkEnd w:id="125"/>
      <w:bookmarkEnd w:id="126"/>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榆树市地处世界著名的黄金玉米带，素有“天下第一粮仓”的美誉，是全国第一产粮大县。必须坚决扛起保障国家粮食安全的政治责任，全域推进黑土地保护利用战略工程，集中力量实施优质粮食工程，建设国家粮食安全保障示范基地。突出农业立市、工业强市、服务业兴市，建设产业融合示范基地，在三产融合区域协同一体发展样板区建设上取得突破性进展，在乡村振兴新动能培育试验区建设上取得明显成效。重点建设国家现代农业示范基地、国家农产品加工基地、中国（榆树）北方酒业基地、中国（榆树）北方蔬菜生产基地、中国（榆树）北方农产品商贸物流基地，争当全省农业农村现代化建设排头兵。</w:t>
      </w:r>
    </w:p>
    <w:p>
      <w:pPr>
        <w:pStyle w:val="2"/>
        <w:spacing w:line="240" w:lineRule="auto"/>
        <w:jc w:val="center"/>
        <w:outlineLvl w:val="1"/>
        <w:rPr>
          <w:rFonts w:hint="default" w:ascii="Times New Roman" w:hAnsi="Times New Roman" w:eastAsia="仿宋_GB2312" w:cs="Times New Roman"/>
          <w:sz w:val="32"/>
          <w:szCs w:val="32"/>
        </w:rPr>
      </w:pPr>
      <w:r>
        <w:rPr>
          <w:rFonts w:hint="default" w:ascii="Times New Roman" w:hAnsi="Times New Roman" w:cs="Times New Roman"/>
        </w:rPr>
        <w:br w:type="page"/>
      </w:r>
      <w:bookmarkStart w:id="127" w:name="_Toc28208"/>
      <w:bookmarkStart w:id="128" w:name="_Toc32295"/>
      <w:bookmarkStart w:id="129" w:name="_Toc12944"/>
      <w:bookmarkStart w:id="130" w:name="_Toc12301"/>
      <w:r>
        <w:rPr>
          <w:rFonts w:hint="default" w:ascii="Times New Roman" w:hAnsi="Times New Roman" w:eastAsia="仿宋_GB2312" w:cs="Times New Roman"/>
          <w:b/>
          <w:bCs/>
          <w:sz w:val="32"/>
          <w:szCs w:val="32"/>
        </w:rPr>
        <w:t>第五章  发展目标</w:t>
      </w:r>
      <w:bookmarkEnd w:id="127"/>
      <w:bookmarkEnd w:id="128"/>
      <w:bookmarkEnd w:id="129"/>
      <w:bookmarkEnd w:id="130"/>
    </w:p>
    <w:p>
      <w:pPr>
        <w:spacing w:line="240" w:lineRule="auto"/>
        <w:ind w:right="72" w:rightChars="24" w:firstLine="640" w:firstLineChars="200"/>
        <w:rPr>
          <w:rFonts w:hint="default" w:ascii="Times New Roman" w:hAnsi="Times New Roman" w:eastAsia="仿宋_GB2312" w:cs="Times New Roman"/>
          <w:sz w:val="32"/>
          <w:szCs w:val="32"/>
        </w:rPr>
      </w:pPr>
    </w:p>
    <w:p>
      <w:pPr>
        <w:ind w:right="72" w:rightChars="24" w:firstLine="640" w:firstLineChars="0"/>
        <w:jc w:val="center"/>
        <w:outlineLvl w:val="2"/>
        <w:rPr>
          <w:rFonts w:hint="default" w:ascii="Times New Roman" w:hAnsi="Times New Roman" w:eastAsia="楷体_GB2312" w:cs="Times New Roman"/>
          <w:b/>
          <w:bCs/>
          <w:sz w:val="32"/>
          <w:szCs w:val="32"/>
        </w:rPr>
      </w:pPr>
      <w:bookmarkStart w:id="131" w:name="_Toc25726"/>
      <w:bookmarkStart w:id="132" w:name="_Toc17620"/>
      <w:bookmarkStart w:id="133" w:name="_Toc12754"/>
      <w:bookmarkStart w:id="134" w:name="_Toc8975"/>
      <w:r>
        <w:rPr>
          <w:rFonts w:hint="default" w:ascii="Times New Roman" w:hAnsi="Times New Roman" w:eastAsia="楷体_GB2312" w:cs="Times New Roman"/>
          <w:b/>
          <w:bCs/>
          <w:sz w:val="32"/>
          <w:szCs w:val="32"/>
        </w:rPr>
        <w:t>第一节  2035年远景目标</w:t>
      </w:r>
      <w:bookmarkEnd w:id="131"/>
      <w:bookmarkEnd w:id="132"/>
      <w:bookmarkEnd w:id="133"/>
      <w:bookmarkEnd w:id="134"/>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2030年，榆树在实现绝地反超、振兴崛起的基础上，在哈长城市群一体化发展中发挥重要作用，全国第一产粮大县地位更加巩固，三产融合区域协同一体发展走在全国前列，乡村振兴新动能培育试验区建成全省样板。体制机制改革取得实质性突破，营商环境全面优化，市场化水平大幅提升。产业结构调整取得积极进展，创新驱动内生动力显著增强，农产品加工业及农贸物流服务业占比大幅提高，在全国现代农业发展示范作用更加凸显，初步建成国家现代农业高质量发展示范基地、国家农业可持续发展示范基地。人民群众生活品质大幅提高，成为百姓安居乐业、极具幸福感的美好城市。</w:t>
      </w:r>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远景展望2035年，在我国基本实现社会主义现代化之时，榆树将实现产业核心竞争力、创新能力大幅跃升，生态环境更加宜居，社会文明程度达到新高度，基本公共服务均等化程度全面提升。</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——建成业态优化的现代化</w:t>
      </w:r>
      <w:r>
        <w:rPr>
          <w:rFonts w:hint="default" w:ascii="Times New Roman" w:hAnsi="Times New Roman" w:eastAsia="仿宋_GB2312" w:cs="Times New Roman"/>
          <w:b/>
          <w:bCs w:val="0"/>
          <w:sz w:val="32"/>
          <w:szCs w:val="32"/>
        </w:rPr>
        <w:t>新</w:t>
      </w:r>
      <w:r>
        <w:rPr>
          <w:rFonts w:hint="default" w:ascii="Times New Roman" w:hAnsi="Times New Roman" w:eastAsia="仿宋_GB2312" w:cs="Times New Roman"/>
          <w:b/>
          <w:sz w:val="32"/>
          <w:szCs w:val="32"/>
        </w:rPr>
        <w:t>榆树。</w:t>
      </w:r>
      <w:r>
        <w:rPr>
          <w:rFonts w:hint="default" w:ascii="Times New Roman" w:hAnsi="Times New Roman" w:eastAsia="仿宋_GB2312" w:cs="Times New Roman"/>
          <w:sz w:val="32"/>
          <w:szCs w:val="32"/>
        </w:rPr>
        <w:t>经济实力、科技实力、综合竞争力大幅跃升，经济总量和人均收入翻一番。经济保持中高速增长、产业迈向中高端水平，玉米化工、非粮生物质加工、稻米加工等主导产业形成极具竞争力的国家级产业研发和生产集群，健康食品、酒品酿造、畜禽加工、生物制药等优势产业形成重要支撑。</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——建成协调发展的现代化</w:t>
      </w:r>
      <w:r>
        <w:rPr>
          <w:rFonts w:hint="default" w:ascii="Times New Roman" w:hAnsi="Times New Roman" w:eastAsia="仿宋_GB2312" w:cs="Times New Roman"/>
          <w:b/>
          <w:bCs w:val="0"/>
          <w:sz w:val="32"/>
          <w:szCs w:val="32"/>
        </w:rPr>
        <w:t>新</w:t>
      </w:r>
      <w:r>
        <w:rPr>
          <w:rFonts w:hint="default" w:ascii="Times New Roman" w:hAnsi="Times New Roman" w:eastAsia="仿宋_GB2312" w:cs="Times New Roman"/>
          <w:b/>
          <w:sz w:val="32"/>
          <w:szCs w:val="32"/>
        </w:rPr>
        <w:t>榆树。</w:t>
      </w:r>
      <w:r>
        <w:rPr>
          <w:rFonts w:hint="default" w:ascii="Times New Roman" w:hAnsi="Times New Roman" w:eastAsia="仿宋_GB2312" w:cs="Times New Roman"/>
          <w:sz w:val="32"/>
          <w:szCs w:val="32"/>
        </w:rPr>
        <w:t>哈长城市群区域性中心城市建设更加成熟，综合竞争力迈入全省先进县（市）行列，成为长哈发展带集聚和辐射带动能力较强的区域。农业农村改革取得重大突破，区域布局更加合理，产业分工协作更加有序。城乡融合发展体制机制更加成熟，城镇化水平显著提升。</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——建成生态宜居的现代化</w:t>
      </w:r>
      <w:r>
        <w:rPr>
          <w:rFonts w:hint="default" w:ascii="Times New Roman" w:hAnsi="Times New Roman" w:eastAsia="仿宋_GB2312" w:cs="Times New Roman"/>
          <w:b/>
          <w:bCs w:val="0"/>
          <w:sz w:val="32"/>
          <w:szCs w:val="32"/>
        </w:rPr>
        <w:t>新</w:t>
      </w:r>
      <w:r>
        <w:rPr>
          <w:rFonts w:hint="default" w:ascii="Times New Roman" w:hAnsi="Times New Roman" w:eastAsia="仿宋_GB2312" w:cs="Times New Roman"/>
          <w:b/>
          <w:sz w:val="32"/>
          <w:szCs w:val="32"/>
        </w:rPr>
        <w:t>榆树。</w:t>
      </w:r>
      <w:r>
        <w:rPr>
          <w:rFonts w:hint="default" w:ascii="Times New Roman" w:hAnsi="Times New Roman" w:eastAsia="仿宋_GB2312" w:cs="Times New Roman"/>
          <w:sz w:val="32"/>
          <w:szCs w:val="32"/>
        </w:rPr>
        <w:t>绿色发展的生产方式和生活方式基本形成，能源、水等资源利用效率达到全省先进水平。大气、水、土壤等环境状况明显改观，生产空间安全高效、生活空间舒适宜居、生态空间山青水碧的国土开发格局形成，森林、河湖、湿地等自然生态系统质量和稳定性明显改善。</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——建成开放包容的现代化</w:t>
      </w:r>
      <w:r>
        <w:rPr>
          <w:rFonts w:hint="default" w:ascii="Times New Roman" w:hAnsi="Times New Roman" w:eastAsia="仿宋_GB2312" w:cs="Times New Roman"/>
          <w:b/>
          <w:bCs w:val="0"/>
          <w:sz w:val="32"/>
          <w:szCs w:val="32"/>
        </w:rPr>
        <w:t>新</w:t>
      </w:r>
      <w:r>
        <w:rPr>
          <w:rFonts w:hint="default" w:ascii="Times New Roman" w:hAnsi="Times New Roman" w:eastAsia="仿宋_GB2312" w:cs="Times New Roman"/>
          <w:b/>
          <w:sz w:val="32"/>
          <w:szCs w:val="32"/>
        </w:rPr>
        <w:t>榆树。</w:t>
      </w:r>
      <w:r>
        <w:rPr>
          <w:rFonts w:hint="default" w:ascii="Times New Roman" w:hAnsi="Times New Roman" w:eastAsia="仿宋_GB2312" w:cs="Times New Roman"/>
          <w:sz w:val="32"/>
          <w:szCs w:val="32"/>
        </w:rPr>
        <w:t>长吉图战略向北开放重要门户功能显著提升，主导产业在全国范围内配置资源能力显著增强，开放型经济优势更加突出。民营经济活力充分释放，市场主体数量进一步增加，与发达地区的市场化程度差距进一步缩小，市场活力和改革红利得到充分释放。</w:t>
      </w:r>
    </w:p>
    <w:p>
      <w:pPr>
        <w:ind w:right="72" w:rightChars="24"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——建成幸福和谐的现代化</w:t>
      </w:r>
      <w:r>
        <w:rPr>
          <w:rFonts w:hint="default" w:ascii="Times New Roman" w:hAnsi="Times New Roman" w:eastAsia="仿宋_GB2312" w:cs="Times New Roman"/>
          <w:b/>
          <w:bCs w:val="0"/>
          <w:sz w:val="32"/>
          <w:szCs w:val="32"/>
        </w:rPr>
        <w:t>新</w:t>
      </w:r>
      <w:r>
        <w:rPr>
          <w:rFonts w:hint="default" w:ascii="Times New Roman" w:hAnsi="Times New Roman" w:eastAsia="仿宋_GB2312" w:cs="Times New Roman"/>
          <w:b/>
          <w:sz w:val="32"/>
          <w:szCs w:val="32"/>
        </w:rPr>
        <w:t>榆树。</w:t>
      </w:r>
      <w:r>
        <w:rPr>
          <w:rFonts w:hint="default" w:ascii="Times New Roman" w:hAnsi="Times New Roman" w:eastAsia="仿宋_GB2312" w:cs="Times New Roman"/>
          <w:sz w:val="32"/>
          <w:szCs w:val="32"/>
        </w:rPr>
        <w:t>人民生活更为宽裕，中等收入群体比例明显提高，城乡区域发展差距和居民生活水平差距显著缩小，基本公共服务均等化基本实现，人口预期寿命和国民受教育程度高于全国平均水平。现代社会治理格局基本形成，人民获得感、幸福感、安全感更加充实、更有保障、更可持续。</w:t>
      </w:r>
    </w:p>
    <w:p>
      <w:pPr>
        <w:ind w:right="72" w:rightChars="24" w:firstLine="0"/>
        <w:jc w:val="center"/>
        <w:outlineLvl w:val="2"/>
        <w:rPr>
          <w:rFonts w:hint="default" w:ascii="Times New Roman" w:hAnsi="Times New Roman" w:eastAsia="楷体_GB2312" w:cs="Times New Roman"/>
          <w:b/>
          <w:bCs/>
          <w:sz w:val="32"/>
          <w:szCs w:val="32"/>
        </w:rPr>
      </w:pPr>
      <w:bookmarkStart w:id="135" w:name="_Toc6235"/>
      <w:bookmarkStart w:id="136" w:name="_Toc8597"/>
      <w:bookmarkStart w:id="137" w:name="_Toc28175"/>
      <w:bookmarkStart w:id="138" w:name="_Toc21398"/>
      <w:r>
        <w:rPr>
          <w:rFonts w:hint="default" w:ascii="Times New Roman" w:hAnsi="Times New Roman" w:eastAsia="楷体_GB2312" w:cs="Times New Roman"/>
          <w:b/>
          <w:bCs/>
          <w:sz w:val="32"/>
          <w:szCs w:val="32"/>
        </w:rPr>
        <w:t>第二节  2025年发展目标</w:t>
      </w:r>
      <w:bookmarkEnd w:id="135"/>
      <w:bookmarkEnd w:id="136"/>
      <w:bookmarkEnd w:id="137"/>
      <w:bookmarkEnd w:id="138"/>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今后五年，榆树要锚定</w:t>
      </w:r>
      <w:r>
        <w:rPr>
          <w:rFonts w:hint="eastAsia" w:ascii="Times New Roman" w:hAnsi="Times New Roman" w:eastAsia="仿宋_GB2312" w:cs="Times New Roman"/>
          <w:sz w:val="32"/>
          <w:szCs w:val="32"/>
          <w:lang w:eastAsia="zh-CN"/>
        </w:rPr>
        <w:t>2035</w:t>
      </w:r>
      <w:r>
        <w:rPr>
          <w:rFonts w:hint="default" w:ascii="Times New Roman" w:hAnsi="Times New Roman" w:eastAsia="仿宋_GB2312" w:cs="Times New Roman"/>
          <w:sz w:val="32"/>
          <w:szCs w:val="32"/>
        </w:rPr>
        <w:t>年远景目标，以矢志不移建设哈长城市群区域性中心城市为主攻方向，着力建设实力榆树、活力榆树、魅力榆树、生态榆树和幸福榆树。到2025年，主要预期目标是：</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bCs w:val="0"/>
          <w:sz w:val="32"/>
          <w:szCs w:val="32"/>
        </w:rPr>
        <w:t>经济</w:t>
      </w:r>
      <w:r>
        <w:rPr>
          <w:rFonts w:hint="default" w:ascii="Times New Roman" w:hAnsi="Times New Roman" w:eastAsia="仿宋_GB2312" w:cs="Times New Roman"/>
          <w:b/>
          <w:sz w:val="32"/>
          <w:szCs w:val="32"/>
        </w:rPr>
        <w:t>发展迈上新台阶。</w:t>
      </w:r>
      <w:r>
        <w:rPr>
          <w:rFonts w:hint="default" w:ascii="Times New Roman" w:hAnsi="Times New Roman" w:eastAsia="仿宋_GB2312" w:cs="Times New Roman"/>
          <w:sz w:val="32"/>
          <w:szCs w:val="32"/>
        </w:rPr>
        <w:t>经济保持中高速增长，达到长春地区中等水平，地区生产总值平均增速在7%左右，固定资产投资年均增长10%左右，地方本级财政收入年均增长6%左右，规模工业增加值年均增长10%左右，社会消费品零售总额年均增长6%左右。</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——产业升级实现新跨越。</w:t>
      </w:r>
      <w:r>
        <w:rPr>
          <w:rFonts w:hint="default" w:ascii="Times New Roman" w:hAnsi="Times New Roman" w:eastAsia="仿宋_GB2312" w:cs="Times New Roman"/>
          <w:sz w:val="32"/>
          <w:szCs w:val="32"/>
        </w:rPr>
        <w:t>推进一二三产</w:t>
      </w:r>
      <w:r>
        <w:rPr>
          <w:rFonts w:hint="eastAsia" w:ascii="Times New Roman" w:hAnsi="Times New Roman" w:eastAsia="仿宋_GB2312" w:cs="Times New Roman"/>
          <w:sz w:val="32"/>
          <w:szCs w:val="32"/>
          <w:lang w:val="en-US" w:eastAsia="zh-CN"/>
        </w:rPr>
        <w:t>业</w:t>
      </w:r>
      <w:bookmarkStart w:id="702" w:name="_GoBack"/>
      <w:bookmarkEnd w:id="702"/>
      <w:r>
        <w:rPr>
          <w:rFonts w:hint="default" w:ascii="Times New Roman" w:hAnsi="Times New Roman" w:eastAsia="仿宋_GB2312" w:cs="Times New Roman"/>
          <w:sz w:val="32"/>
          <w:szCs w:val="32"/>
        </w:rPr>
        <w:t>融合发展，率先实现农业现代化，努力实现由粮食生产大市向农业经济强市的转变；特色工业支撑作用明显增强，由初加工向精深加工转变；现代服务业提质增效，加快培育发展新兴业态。到2025年，全市三次产业结构比调整到20:35:45，园区规模工业增加值占全市规模工业增加值比重超过70%。</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——城乡建设呈现新变化。</w:t>
      </w:r>
      <w:r>
        <w:rPr>
          <w:rFonts w:hint="default" w:ascii="Times New Roman" w:hAnsi="Times New Roman" w:eastAsia="仿宋_GB2312" w:cs="Times New Roman"/>
          <w:sz w:val="32"/>
          <w:szCs w:val="32"/>
        </w:rPr>
        <w:t>大力发展榆树主城、中心镇、节点镇，城市综合化服务功能显著增强，城市文明程度进一步提高。城乡基础设施建设更趋完善，“美丽乡村”建设取得明显成效，城乡“二元”结构逐步消除，农业转移人口市民化进程加快，城镇人口主导型社会结构形成。到2025年，城镇常住人口50万左右哈长城市群区域性中心城市初具规模。</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——改革开放取得新成就。</w:t>
      </w:r>
      <w:r>
        <w:rPr>
          <w:rFonts w:hint="default" w:ascii="Times New Roman" w:hAnsi="Times New Roman" w:eastAsia="仿宋_GB2312" w:cs="Times New Roman"/>
          <w:sz w:val="32"/>
          <w:szCs w:val="32"/>
        </w:rPr>
        <w:t>重点领域和关键环节的改革取得突破性进展，引领经济发展新常态的产权制度、投融资体制、人才培养引进使用机制等现代市场体系基本健全，投资营商环境显著改善，更好地发挥政府作用，真正发挥市场在资源配置中的决定性作用。</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仿宋_GB2312" w:cs="Times New Roman"/>
          <w:b/>
          <w:sz w:val="32"/>
          <w:szCs w:val="32"/>
        </w:rPr>
        <w:t>—生态文明形成新优势。</w:t>
      </w:r>
      <w:r>
        <w:rPr>
          <w:rFonts w:hint="default" w:ascii="Times New Roman" w:hAnsi="Times New Roman" w:eastAsia="仿宋_GB2312" w:cs="Times New Roman"/>
          <w:sz w:val="32"/>
          <w:szCs w:val="32"/>
        </w:rPr>
        <w:t>城乡生态环境和人居环境显著改善，生态环境得到有效保护，可持续发展能力明显提升。到2025年，全市森林覆盖率达到5.4%，城镇建成区绿化覆盖率达到28.4%，城市污水处理率达到92%，空气质量优良率达到82%，地表水水质达标率达到66.7%。</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——民生福祉获得新改善。</w:t>
      </w:r>
      <w:r>
        <w:rPr>
          <w:rFonts w:hint="default" w:ascii="Times New Roman" w:hAnsi="Times New Roman" w:eastAsia="仿宋_GB2312" w:cs="Times New Roman"/>
          <w:sz w:val="32"/>
          <w:szCs w:val="32"/>
        </w:rPr>
        <w:t>建成比较完善的城乡公共服务体系，教育、文化、卫生、体育等事业取得新进展，社会保障制度进一步完善。到2025年，城乡基本社会养老保险、基本医疗保险参保率均达到90%，失业保险完成率达到100%，九年义务教育巩固率达到98%，高中阶段教育毛入学率达到98%，每万人拥有医疗机构床位数达到38.4张。</w:t>
      </w:r>
    </w:p>
    <w:p>
      <w:pPr>
        <w:pStyle w:val="10"/>
        <w:ind w:firstLine="640"/>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eastAsia="黑体" w:cs="Times New Roman"/>
          <w:bCs/>
          <w:color w:val="000000"/>
          <w:kern w:val="0"/>
          <w:sz w:val="32"/>
          <w:szCs w:val="32"/>
        </w:rPr>
      </w:pPr>
    </w:p>
    <w:p>
      <w:pPr>
        <w:pStyle w:val="10"/>
        <w:shd w:val="clear" w:color="auto" w:fill="auto"/>
        <w:ind w:firstLine="640"/>
        <w:jc w:val="center"/>
        <w:rPr>
          <w:rFonts w:hint="default" w:ascii="Times New Roman" w:hAnsi="Times New Roman" w:cs="Times New Roman"/>
        </w:rPr>
      </w:pPr>
      <w:r>
        <w:rPr>
          <w:rFonts w:hint="default" w:ascii="Times New Roman" w:hAnsi="Times New Roman" w:eastAsia="黑体" w:cs="Times New Roman"/>
          <w:bCs/>
          <w:color w:val="000000"/>
          <w:kern w:val="0"/>
          <w:sz w:val="32"/>
          <w:szCs w:val="32"/>
        </w:rPr>
        <w:t>榆树市“十四五”经济社会发展的主要规划指标表</w:t>
      </w:r>
    </w:p>
    <w:tbl>
      <w:tblPr>
        <w:tblStyle w:val="32"/>
        <w:tblpPr w:leftFromText="180" w:rightFromText="180" w:vertAnchor="text" w:horzAnchor="margin" w:tblpXSpec="right" w:tblpY="447"/>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71"/>
        <w:gridCol w:w="869"/>
        <w:gridCol w:w="2918"/>
        <w:gridCol w:w="803"/>
        <w:gridCol w:w="876"/>
        <w:gridCol w:w="1169"/>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570" w:type="dxa"/>
            <w:vMerge w:val="restart"/>
            <w:shd w:val="clear" w:color="auto" w:fill="92D050"/>
            <w:noWrap w:val="0"/>
            <w:vAlign w:val="center"/>
          </w:tcPr>
          <w:p>
            <w:pPr>
              <w:pStyle w:val="10"/>
              <w:shd w:val="clear" w:color="auto" w:fill="auto"/>
              <w:spacing w:line="240" w:lineRule="auto"/>
              <w:ind w:firstLine="0" w:firstLineChars="0"/>
              <w:rPr>
                <w:rFonts w:hint="default" w:ascii="Times New Roman" w:hAnsi="Times New Roman" w:eastAsia="黑体" w:cs="Times New Roman"/>
                <w:color w:val="000000"/>
                <w:sz w:val="21"/>
                <w:shd w:val="clear" w:color="auto" w:fill="auto"/>
              </w:rPr>
            </w:pPr>
            <w:r>
              <w:rPr>
                <w:rFonts w:hint="default" w:ascii="Times New Roman" w:hAnsi="Times New Roman" w:eastAsia="黑体" w:cs="Times New Roman"/>
                <w:color w:val="000000"/>
                <w:sz w:val="21"/>
                <w:shd w:val="clear" w:color="auto" w:fill="auto"/>
              </w:rPr>
              <w:t>类别</w:t>
            </w:r>
          </w:p>
        </w:tc>
        <w:tc>
          <w:tcPr>
            <w:tcW w:w="571" w:type="dxa"/>
            <w:vMerge w:val="restart"/>
            <w:shd w:val="clear" w:color="auto" w:fill="92D050"/>
            <w:noWrap w:val="0"/>
            <w:vAlign w:val="center"/>
          </w:tcPr>
          <w:p>
            <w:pPr>
              <w:pStyle w:val="10"/>
              <w:shd w:val="clear" w:color="auto" w:fill="auto"/>
              <w:spacing w:line="240" w:lineRule="auto"/>
              <w:ind w:firstLine="0" w:firstLineChars="0"/>
              <w:rPr>
                <w:rFonts w:hint="default" w:ascii="Times New Roman" w:hAnsi="Times New Roman" w:eastAsia="黑体" w:cs="Times New Roman"/>
                <w:color w:val="000000"/>
                <w:sz w:val="21"/>
                <w:shd w:val="clear" w:color="auto" w:fill="auto"/>
              </w:rPr>
            </w:pPr>
            <w:r>
              <w:rPr>
                <w:rFonts w:hint="default" w:ascii="Times New Roman" w:hAnsi="Times New Roman" w:eastAsia="黑体" w:cs="Times New Roman"/>
                <w:color w:val="000000"/>
                <w:sz w:val="21"/>
                <w:shd w:val="clear" w:color="auto" w:fill="auto"/>
              </w:rPr>
              <w:t>序号</w:t>
            </w:r>
          </w:p>
        </w:tc>
        <w:tc>
          <w:tcPr>
            <w:tcW w:w="3787" w:type="dxa"/>
            <w:gridSpan w:val="2"/>
            <w:vMerge w:val="restart"/>
            <w:shd w:val="clear" w:color="auto" w:fill="92D050"/>
            <w:noWrap w:val="0"/>
            <w:vAlign w:val="center"/>
          </w:tcPr>
          <w:p>
            <w:pPr>
              <w:pStyle w:val="10"/>
              <w:shd w:val="clear" w:color="auto" w:fill="auto"/>
              <w:spacing w:line="240" w:lineRule="auto"/>
              <w:rPr>
                <w:rFonts w:hint="default" w:ascii="Times New Roman" w:hAnsi="Times New Roman" w:eastAsia="黑体" w:cs="Times New Roman"/>
                <w:color w:val="000000"/>
                <w:sz w:val="21"/>
                <w:shd w:val="clear" w:color="auto" w:fill="auto"/>
              </w:rPr>
            </w:pPr>
            <w:r>
              <w:rPr>
                <w:rFonts w:hint="default" w:ascii="Times New Roman" w:hAnsi="Times New Roman" w:eastAsia="黑体" w:cs="Times New Roman"/>
                <w:color w:val="000000"/>
                <w:sz w:val="21"/>
                <w:shd w:val="clear" w:color="auto" w:fill="auto"/>
              </w:rPr>
              <w:t>主  要  指  标</w:t>
            </w:r>
          </w:p>
        </w:tc>
        <w:tc>
          <w:tcPr>
            <w:tcW w:w="803" w:type="dxa"/>
            <w:vMerge w:val="restart"/>
            <w:shd w:val="clear" w:color="auto" w:fill="92D050"/>
            <w:noWrap w:val="0"/>
            <w:vAlign w:val="center"/>
          </w:tcPr>
          <w:p>
            <w:pPr>
              <w:pStyle w:val="10"/>
              <w:shd w:val="clear" w:color="auto" w:fill="auto"/>
              <w:spacing w:line="240" w:lineRule="auto"/>
              <w:ind w:firstLine="0" w:firstLineChars="0"/>
              <w:rPr>
                <w:rFonts w:hint="default" w:ascii="Times New Roman" w:hAnsi="Times New Roman" w:eastAsia="黑体" w:cs="Times New Roman"/>
                <w:color w:val="000000"/>
                <w:sz w:val="21"/>
                <w:shd w:val="clear" w:color="auto" w:fill="auto"/>
              </w:rPr>
            </w:pPr>
            <w:r>
              <w:rPr>
                <w:rFonts w:hint="default" w:ascii="Times New Roman" w:hAnsi="Times New Roman" w:eastAsia="黑体" w:cs="Times New Roman"/>
                <w:color w:val="000000"/>
                <w:sz w:val="21"/>
                <w:shd w:val="clear" w:color="auto" w:fill="auto"/>
              </w:rPr>
              <w:t>2020年绝对值</w:t>
            </w:r>
          </w:p>
        </w:tc>
        <w:tc>
          <w:tcPr>
            <w:tcW w:w="2045" w:type="dxa"/>
            <w:gridSpan w:val="2"/>
            <w:shd w:val="clear" w:color="auto" w:fill="92D050"/>
            <w:noWrap w:val="0"/>
            <w:vAlign w:val="center"/>
          </w:tcPr>
          <w:p>
            <w:pPr>
              <w:pStyle w:val="10"/>
              <w:shd w:val="clear" w:color="auto" w:fill="auto"/>
              <w:spacing w:line="240" w:lineRule="auto"/>
              <w:rPr>
                <w:rFonts w:hint="default" w:ascii="Times New Roman" w:hAnsi="Times New Roman" w:eastAsia="黑体" w:cs="Times New Roman"/>
                <w:color w:val="000000"/>
                <w:sz w:val="21"/>
                <w:shd w:val="clear" w:color="auto" w:fill="auto"/>
              </w:rPr>
            </w:pPr>
            <w:r>
              <w:rPr>
                <w:rFonts w:hint="default" w:ascii="Times New Roman" w:hAnsi="Times New Roman" w:eastAsia="黑体" w:cs="Times New Roman"/>
                <w:color w:val="000000"/>
                <w:sz w:val="21"/>
                <w:shd w:val="clear" w:color="auto" w:fill="auto"/>
              </w:rPr>
              <w:t xml:space="preserve">2025年规划                    </w:t>
            </w:r>
          </w:p>
        </w:tc>
        <w:tc>
          <w:tcPr>
            <w:tcW w:w="961" w:type="dxa"/>
            <w:vMerge w:val="restart"/>
            <w:shd w:val="clear" w:color="auto" w:fill="92D050"/>
            <w:noWrap w:val="0"/>
            <w:vAlign w:val="center"/>
          </w:tcPr>
          <w:p>
            <w:pPr>
              <w:shd w:val="clear" w:color="auto" w:fill="auto"/>
              <w:spacing w:line="240" w:lineRule="auto"/>
              <w:ind w:firstLine="210" w:firstLineChars="100"/>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指标</w:t>
            </w:r>
          </w:p>
          <w:p>
            <w:pPr>
              <w:shd w:val="clear" w:color="auto" w:fill="auto"/>
              <w:spacing w:line="240" w:lineRule="auto"/>
              <w:ind w:firstLine="210" w:firstLineChars="100"/>
              <w:rPr>
                <w:rFonts w:hint="default" w:ascii="Times New Roman" w:hAnsi="Times New Roman" w:eastAsia="仿宋_GB2312" w:cs="Times New Roman"/>
                <w:color w:val="000000"/>
                <w:sz w:val="21"/>
              </w:rPr>
            </w:pPr>
            <w:r>
              <w:rPr>
                <w:rFonts w:hint="default" w:ascii="Times New Roman" w:hAnsi="Times New Roman" w:eastAsia="黑体" w:cs="Times New Roman"/>
                <w:color w:val="000000"/>
                <w:sz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blHeader/>
        </w:trPr>
        <w:tc>
          <w:tcPr>
            <w:tcW w:w="570" w:type="dxa"/>
            <w:vMerge w:val="continue"/>
            <w:shd w:val="clear" w:color="auto" w:fill="92D050"/>
            <w:noWrap w:val="0"/>
            <w:vAlign w:val="top"/>
          </w:tcPr>
          <w:p>
            <w:pPr>
              <w:shd w:val="clear" w:color="auto" w:fill="auto"/>
              <w:rPr>
                <w:rFonts w:hint="default" w:ascii="Times New Roman" w:hAnsi="Times New Roman" w:cs="Times New Roman"/>
                <w:color w:val="000000"/>
                <w:sz w:val="24"/>
                <w:szCs w:val="24"/>
                <w:shd w:val="clear" w:color="auto" w:fill="auto"/>
                <w:rPrChange w:id="0" w:author="Mrs.小葵" w:date="2021-06-10T16:14:00Z">
                  <w:rPr>
                    <w:rFonts w:hint="default" w:ascii="Times New Roman" w:hAnsi="Times New Roman" w:cs="Times New Roman"/>
                    <w:color w:val="000000"/>
                    <w:sz w:val="24"/>
                    <w:szCs w:val="24"/>
                  </w:rPr>
                </w:rPrChange>
              </w:rPr>
            </w:pPr>
          </w:p>
        </w:tc>
        <w:tc>
          <w:tcPr>
            <w:tcW w:w="571" w:type="dxa"/>
            <w:vMerge w:val="continue"/>
            <w:shd w:val="clear" w:color="auto" w:fill="92D050"/>
            <w:noWrap w:val="0"/>
            <w:vAlign w:val="top"/>
          </w:tcPr>
          <w:p>
            <w:pPr>
              <w:shd w:val="clear" w:color="auto" w:fill="auto"/>
              <w:rPr>
                <w:rFonts w:hint="default" w:ascii="Times New Roman" w:hAnsi="Times New Roman" w:cs="Times New Roman"/>
                <w:color w:val="000000"/>
                <w:sz w:val="24"/>
                <w:szCs w:val="24"/>
                <w:shd w:val="clear" w:color="auto" w:fill="auto"/>
                <w:rPrChange w:id="1" w:author="Mrs.小葵" w:date="2021-06-10T16:14:00Z">
                  <w:rPr>
                    <w:rFonts w:hint="default" w:ascii="Times New Roman" w:hAnsi="Times New Roman" w:cs="Times New Roman"/>
                    <w:color w:val="000000"/>
                    <w:sz w:val="24"/>
                    <w:szCs w:val="24"/>
                  </w:rPr>
                </w:rPrChange>
              </w:rPr>
            </w:pPr>
          </w:p>
        </w:tc>
        <w:tc>
          <w:tcPr>
            <w:tcW w:w="3787" w:type="dxa"/>
            <w:gridSpan w:val="2"/>
            <w:vMerge w:val="continue"/>
            <w:shd w:val="clear" w:color="auto" w:fill="92D050"/>
            <w:noWrap w:val="0"/>
            <w:vAlign w:val="top"/>
          </w:tcPr>
          <w:p>
            <w:pPr>
              <w:shd w:val="clear" w:color="auto" w:fill="auto"/>
              <w:rPr>
                <w:rFonts w:hint="default" w:ascii="Times New Roman" w:hAnsi="Times New Roman" w:eastAsia="黑体" w:cs="Times New Roman"/>
                <w:color w:val="000000"/>
                <w:sz w:val="24"/>
                <w:szCs w:val="24"/>
                <w:shd w:val="clear" w:color="auto" w:fill="auto"/>
                <w:rPrChange w:id="2" w:author="Mrs.小葵" w:date="2021-06-10T16:14:00Z">
                  <w:rPr>
                    <w:rFonts w:hint="default" w:ascii="Times New Roman" w:hAnsi="Times New Roman" w:eastAsia="黑体" w:cs="Times New Roman"/>
                    <w:color w:val="000000"/>
                    <w:sz w:val="24"/>
                    <w:szCs w:val="24"/>
                  </w:rPr>
                </w:rPrChange>
              </w:rPr>
            </w:pPr>
          </w:p>
        </w:tc>
        <w:tc>
          <w:tcPr>
            <w:tcW w:w="803" w:type="dxa"/>
            <w:vMerge w:val="continue"/>
            <w:shd w:val="clear" w:color="auto" w:fill="92D050"/>
            <w:noWrap w:val="0"/>
            <w:vAlign w:val="top"/>
          </w:tcPr>
          <w:p>
            <w:pPr>
              <w:shd w:val="clear" w:color="auto" w:fill="auto"/>
              <w:rPr>
                <w:rFonts w:hint="default" w:ascii="Times New Roman" w:hAnsi="Times New Roman" w:eastAsia="黑体" w:cs="Times New Roman"/>
                <w:color w:val="000000"/>
                <w:sz w:val="24"/>
                <w:szCs w:val="24"/>
                <w:shd w:val="clear" w:color="auto" w:fill="auto"/>
                <w:rPrChange w:id="3" w:author="Mrs.小葵" w:date="2021-06-10T16:14:00Z">
                  <w:rPr>
                    <w:rFonts w:hint="default" w:ascii="Times New Roman" w:hAnsi="Times New Roman" w:eastAsia="黑体" w:cs="Times New Roman"/>
                    <w:color w:val="000000"/>
                    <w:sz w:val="24"/>
                    <w:szCs w:val="24"/>
                  </w:rPr>
                </w:rPrChange>
              </w:rPr>
            </w:pPr>
          </w:p>
        </w:tc>
        <w:tc>
          <w:tcPr>
            <w:tcW w:w="876" w:type="dxa"/>
            <w:shd w:val="clear" w:color="auto" w:fill="92D050"/>
            <w:noWrap w:val="0"/>
            <w:vAlign w:val="center"/>
          </w:tcPr>
          <w:p>
            <w:pPr>
              <w:pStyle w:val="10"/>
              <w:shd w:val="clear" w:color="auto" w:fill="auto"/>
              <w:spacing w:line="240" w:lineRule="auto"/>
              <w:ind w:firstLine="0" w:firstLineChars="0"/>
              <w:rPr>
                <w:rFonts w:hint="default" w:ascii="Times New Roman" w:hAnsi="Times New Roman" w:eastAsia="黑体" w:cs="Times New Roman"/>
                <w:color w:val="000000"/>
                <w:sz w:val="21"/>
                <w:shd w:val="clear" w:color="auto" w:fill="auto"/>
                <w:rPrChange w:id="4" w:author="Mrs.小葵" w:date="2021-06-10T16:14:00Z">
                  <w:rPr>
                    <w:rFonts w:hint="default" w:ascii="Times New Roman" w:hAnsi="Times New Roman" w:eastAsia="黑体" w:cs="Times New Roman"/>
                    <w:color w:val="000000"/>
                    <w:sz w:val="21"/>
                  </w:rPr>
                </w:rPrChange>
              </w:rPr>
            </w:pPr>
            <w:r>
              <w:rPr>
                <w:rFonts w:hint="default" w:ascii="Times New Roman" w:hAnsi="Times New Roman" w:eastAsia="黑体" w:cs="Times New Roman"/>
                <w:color w:val="000000"/>
                <w:sz w:val="21"/>
                <w:shd w:val="clear" w:color="auto" w:fill="auto"/>
                <w:rPrChange w:id="5" w:author="Mrs.小葵" w:date="2021-06-10T16:14:00Z">
                  <w:rPr>
                    <w:rFonts w:hint="default" w:ascii="Times New Roman" w:hAnsi="Times New Roman" w:eastAsia="黑体" w:cs="Times New Roman"/>
                    <w:color w:val="000000"/>
                    <w:sz w:val="21"/>
                  </w:rPr>
                </w:rPrChange>
              </w:rPr>
              <w:t>绝对值</w:t>
            </w:r>
          </w:p>
        </w:tc>
        <w:tc>
          <w:tcPr>
            <w:tcW w:w="1169" w:type="dxa"/>
            <w:shd w:val="clear" w:color="auto" w:fill="92D050"/>
            <w:noWrap w:val="0"/>
            <w:vAlign w:val="center"/>
          </w:tcPr>
          <w:p>
            <w:pPr>
              <w:pStyle w:val="10"/>
              <w:shd w:val="clear" w:color="auto" w:fill="auto"/>
              <w:spacing w:line="240" w:lineRule="auto"/>
              <w:ind w:firstLine="0" w:firstLineChars="0"/>
              <w:rPr>
                <w:rFonts w:hint="default" w:ascii="Times New Roman" w:hAnsi="Times New Roman" w:eastAsia="黑体" w:cs="Times New Roman"/>
                <w:color w:val="000000"/>
                <w:sz w:val="21"/>
                <w:shd w:val="clear" w:color="auto" w:fill="auto"/>
                <w:rPrChange w:id="6" w:author="Mrs.小葵" w:date="2021-06-10T16:14:00Z">
                  <w:rPr>
                    <w:rFonts w:hint="default" w:ascii="Times New Roman" w:hAnsi="Times New Roman" w:eastAsia="黑体" w:cs="Times New Roman"/>
                    <w:color w:val="000000"/>
                    <w:sz w:val="21"/>
                  </w:rPr>
                </w:rPrChange>
              </w:rPr>
            </w:pPr>
            <w:r>
              <w:rPr>
                <w:rFonts w:hint="default" w:ascii="Times New Roman" w:hAnsi="Times New Roman" w:eastAsia="黑体" w:cs="Times New Roman"/>
                <w:color w:val="000000"/>
                <w:sz w:val="21"/>
                <w:shd w:val="clear" w:color="auto" w:fill="auto"/>
                <w:rPrChange w:id="7" w:author="Mrs.小葵" w:date="2021-06-10T16:14:00Z">
                  <w:rPr>
                    <w:rFonts w:hint="default" w:ascii="Times New Roman" w:hAnsi="Times New Roman" w:eastAsia="黑体" w:cs="Times New Roman"/>
                    <w:color w:val="000000"/>
                    <w:sz w:val="21"/>
                  </w:rPr>
                </w:rPrChange>
              </w:rPr>
              <w:t>年均增长%</w:t>
            </w:r>
          </w:p>
        </w:tc>
        <w:tc>
          <w:tcPr>
            <w:tcW w:w="961" w:type="dxa"/>
            <w:vMerge w:val="continue"/>
            <w:shd w:val="clear" w:color="auto" w:fill="FFFFFF"/>
            <w:noWrap w:val="0"/>
            <w:vAlign w:val="top"/>
          </w:tcPr>
          <w:p>
            <w:pPr>
              <w:shd w:val="clear" w:color="auto" w:fil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570" w:type="dxa"/>
            <w:vMerge w:val="restart"/>
            <w:shd w:val="clear" w:color="auto" w:fill="FFFFFF"/>
            <w:noWrap w:val="0"/>
            <w:vAlign w:val="center"/>
          </w:tcPr>
          <w:p>
            <w:pPr>
              <w:shd w:val="clear" w:color="auto" w:fill="auto"/>
              <w:spacing w:line="240" w:lineRule="auto"/>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经济发展</w:t>
            </w: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地区生产总值（亿元）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226.1</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317.12</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固定资产投资（亿元）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44.8</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72.15</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地方本级财政总收入（亿元）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6.67</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8.92</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社会消费品零售总额（亿元）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58</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77.6</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进出口总额（亿美元）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0.65</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0.83</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规模工业总产值（亿元）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62</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105</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7</w:t>
            </w:r>
          </w:p>
        </w:tc>
        <w:tc>
          <w:tcPr>
            <w:tcW w:w="3787" w:type="dxa"/>
            <w:gridSpan w:val="2"/>
            <w:shd w:val="clear" w:color="auto" w:fill="FFFFFF"/>
            <w:noWrap w:val="0"/>
            <w:vAlign w:val="center"/>
          </w:tcPr>
          <w:p>
            <w:pPr>
              <w:shd w:val="clear" w:color="auto" w:fill="auto"/>
              <w:spacing w:line="240" w:lineRule="auto"/>
              <w:ind w:firstLine="0" w:firstLineChars="0"/>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第三产业增加值占GDP比重（%）</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51.6</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53</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8</w:t>
            </w:r>
          </w:p>
        </w:tc>
        <w:tc>
          <w:tcPr>
            <w:tcW w:w="3787" w:type="dxa"/>
            <w:gridSpan w:val="2"/>
            <w:shd w:val="clear" w:color="auto" w:fill="auto"/>
            <w:noWrap w:val="0"/>
            <w:vAlign w:val="center"/>
          </w:tcPr>
          <w:p>
            <w:pPr>
              <w:shd w:val="clear" w:color="auto" w:fill="auto"/>
              <w:spacing w:line="360" w:lineRule="exact"/>
              <w:ind w:firstLine="0" w:firstLineChars="0"/>
              <w:jc w:val="left"/>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sz w:val="24"/>
                <w:szCs w:val="24"/>
                <w:highlight w:val="none"/>
                <w:shd w:val="clear" w:color="auto" w:fill="FFFFFF"/>
                <w:lang w:val="en-US" w:eastAsia="zh-CN"/>
              </w:rPr>
              <w:t>常住人口城镇化率</w:t>
            </w:r>
          </w:p>
        </w:tc>
        <w:tc>
          <w:tcPr>
            <w:tcW w:w="803" w:type="dxa"/>
            <w:shd w:val="clear" w:color="auto" w:fill="auto"/>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45</w:t>
            </w:r>
          </w:p>
        </w:tc>
        <w:tc>
          <w:tcPr>
            <w:tcW w:w="876" w:type="dxa"/>
            <w:shd w:val="clear" w:color="auto" w:fill="auto"/>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55</w:t>
            </w:r>
          </w:p>
        </w:tc>
        <w:tc>
          <w:tcPr>
            <w:tcW w:w="1169" w:type="dxa"/>
            <w:shd w:val="clear" w:color="auto" w:fill="auto"/>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9</w:t>
            </w:r>
          </w:p>
        </w:tc>
        <w:tc>
          <w:tcPr>
            <w:tcW w:w="3787" w:type="dxa"/>
            <w:gridSpan w:val="2"/>
            <w:shd w:val="clear" w:color="auto" w:fill="auto"/>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sz w:val="24"/>
                <w:szCs w:val="24"/>
                <w:highlight w:val="none"/>
                <w:lang w:val="en-US" w:eastAsia="zh-CN"/>
              </w:rPr>
              <w:t>全员劳动生产率</w:t>
            </w:r>
          </w:p>
        </w:tc>
        <w:tc>
          <w:tcPr>
            <w:tcW w:w="803" w:type="dxa"/>
            <w:shd w:val="clear" w:color="auto" w:fill="auto"/>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p>
        </w:tc>
        <w:tc>
          <w:tcPr>
            <w:tcW w:w="876" w:type="dxa"/>
            <w:shd w:val="clear" w:color="auto" w:fill="auto"/>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p>
        </w:tc>
        <w:tc>
          <w:tcPr>
            <w:tcW w:w="1169" w:type="dxa"/>
            <w:shd w:val="clear" w:color="auto" w:fill="auto"/>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宋体" w:hAnsi="宋体" w:cs="宋体"/>
                <w:color w:val="000000"/>
                <w:kern w:val="0"/>
                <w:sz w:val="22"/>
                <w:highlight w:val="none"/>
                <w:lang w:bidi="ar"/>
              </w:rPr>
              <w:t>&gt;7</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restart"/>
            <w:shd w:val="clear" w:color="auto" w:fill="FFFFFF"/>
            <w:noWrap w:val="0"/>
            <w:vAlign w:val="center"/>
          </w:tcPr>
          <w:p>
            <w:pPr>
              <w:shd w:val="clear" w:color="auto" w:fill="auto"/>
              <w:spacing w:line="240" w:lineRule="auto"/>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文化教育</w:t>
            </w: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九年义务教育普及率（%）</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95.6</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98</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0.48</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11</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高中阶段教育毛入学率（%）</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91.2</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98</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1.15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劳动年龄人口平均受教育年限</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12</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13.5</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rPr>
            </w:pP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每千人人口拥有3岁以下婴幼儿托位数</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8.26</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20.8</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2.5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14</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highlight w:val="none"/>
                <w:lang w:val="en-US"/>
              </w:rPr>
            </w:pPr>
            <w:r>
              <w:rPr>
                <w:rFonts w:hint="eastAsia" w:ascii="Times New Roman" w:hAnsi="Times New Roman" w:eastAsia="仿宋_GB2312" w:cs="Times New Roman"/>
                <w:color w:val="000000"/>
                <w:sz w:val="24"/>
                <w:szCs w:val="24"/>
                <w:highlight w:val="none"/>
                <w:lang w:val="en-US" w:eastAsia="zh-CN"/>
              </w:rPr>
              <w:t>每千人人口拥有执业（助理）医师数</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1.89</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2.08</w:t>
            </w:r>
          </w:p>
        </w:tc>
        <w:tc>
          <w:tcPr>
            <w:tcW w:w="1169" w:type="dxa"/>
            <w:shd w:val="clear" w:color="auto" w:fill="FFFFFF"/>
            <w:noWrap w:val="0"/>
            <w:vAlign w:val="center"/>
          </w:tcPr>
          <w:p>
            <w:pPr>
              <w:shd w:val="clear" w:color="auto" w:fill="auto"/>
              <w:spacing w:line="360" w:lineRule="exact"/>
              <w:ind w:firstLine="0"/>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人均公共文化财政支出（元）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9.75</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12.75</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16</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有线广播电视入户率（%）</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17</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单位GDP水耗（立方米/万元）</w:t>
            </w:r>
          </w:p>
        </w:tc>
        <w:tc>
          <w:tcPr>
            <w:tcW w:w="803" w:type="dxa"/>
            <w:shd w:val="clear" w:color="auto" w:fill="FFFFFF"/>
            <w:noWrap w:val="0"/>
            <w:vAlign w:val="center"/>
          </w:tcPr>
          <w:p>
            <w:pPr>
              <w:shd w:val="clear" w:color="auto" w:fill="auto"/>
              <w:spacing w:line="360" w:lineRule="exact"/>
              <w:ind w:firstLine="0" w:firstLineChars="0"/>
              <w:jc w:val="both"/>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1"/>
                <w:szCs w:val="21"/>
              </w:rPr>
              <w:t>119.27</w:t>
            </w:r>
          </w:p>
        </w:tc>
        <w:tc>
          <w:tcPr>
            <w:tcW w:w="876" w:type="dxa"/>
            <w:shd w:val="clear" w:color="auto" w:fill="FFFFFF"/>
            <w:noWrap w:val="0"/>
            <w:vAlign w:val="center"/>
          </w:tcPr>
          <w:p>
            <w:pPr>
              <w:shd w:val="clear" w:color="auto" w:fill="auto"/>
              <w:spacing w:line="360" w:lineRule="exact"/>
              <w:ind w:firstLine="0" w:firstLineChars="0"/>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107.88</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18</w:t>
            </w:r>
          </w:p>
        </w:tc>
        <w:tc>
          <w:tcPr>
            <w:tcW w:w="3787" w:type="dxa"/>
            <w:gridSpan w:val="2"/>
            <w:shd w:val="clear" w:color="auto" w:fill="auto"/>
            <w:noWrap w:val="0"/>
            <w:vAlign w:val="center"/>
          </w:tcPr>
          <w:p>
            <w:pPr>
              <w:shd w:val="clear" w:color="auto" w:fill="auto"/>
              <w:spacing w:line="360" w:lineRule="exact"/>
              <w:ind w:firstLine="0" w:firstLineChars="0"/>
              <w:rPr>
                <w:rFonts w:hint="eastAsia" w:ascii="Times New Roman" w:hAnsi="Times New Roman" w:eastAsia="仿宋_GB2312" w:cs="Times New Roman"/>
                <w:color w:val="auto"/>
                <w:kern w:val="2"/>
                <w:sz w:val="24"/>
                <w:szCs w:val="24"/>
                <w:highlight w:val="yellow"/>
                <w:lang w:val="en-US" w:eastAsia="zh-CN" w:bidi="ar-SA"/>
              </w:rPr>
            </w:pPr>
            <w:r>
              <w:rPr>
                <w:rFonts w:hint="eastAsia" w:ascii="Times New Roman" w:hAnsi="Times New Roman" w:eastAsia="仿宋_GB2312" w:cs="Times New Roman"/>
                <w:i w:val="0"/>
                <w:caps w:val="0"/>
                <w:color w:val="auto"/>
                <w:spacing w:val="0"/>
                <w:sz w:val="24"/>
                <w:szCs w:val="24"/>
                <w:highlight w:val="none"/>
                <w:shd w:val="clear" w:color="auto" w:fill="auto"/>
                <w:lang w:eastAsia="zh-CN"/>
              </w:rPr>
              <w:t>单</w:t>
            </w:r>
            <w:r>
              <w:rPr>
                <w:rFonts w:hint="eastAsia" w:ascii="Times New Roman" w:hAnsi="Times New Roman" w:eastAsia="仿宋_GB2312" w:cs="Times New Roman"/>
                <w:i w:val="0"/>
                <w:caps w:val="0"/>
                <w:color w:val="auto"/>
                <w:spacing w:val="0"/>
                <w:sz w:val="24"/>
                <w:szCs w:val="24"/>
                <w:highlight w:val="none"/>
                <w:shd w:val="clear" w:color="auto" w:fill="auto"/>
              </w:rPr>
              <w:t>位GDP能耗</w:t>
            </w:r>
            <w:r>
              <w:rPr>
                <w:rFonts w:hint="eastAsia" w:ascii="Times New Roman" w:hAnsi="Times New Roman" w:eastAsia="仿宋_GB2312" w:cs="Times New Roman"/>
                <w:i w:val="0"/>
                <w:caps w:val="0"/>
                <w:color w:val="auto"/>
                <w:spacing w:val="0"/>
                <w:sz w:val="24"/>
                <w:szCs w:val="24"/>
                <w:highlight w:val="none"/>
                <w:shd w:val="clear" w:color="auto" w:fill="auto"/>
                <w:lang w:val="en-US" w:eastAsia="zh-CN"/>
              </w:rPr>
              <w:t>降低</w:t>
            </w:r>
          </w:p>
        </w:tc>
        <w:tc>
          <w:tcPr>
            <w:tcW w:w="803" w:type="dxa"/>
            <w:shd w:val="clear" w:color="auto" w:fill="auto"/>
            <w:noWrap w:val="0"/>
            <w:vAlign w:val="center"/>
          </w:tcPr>
          <w:p>
            <w:pPr>
              <w:shd w:val="clear" w:color="auto" w:fill="auto"/>
              <w:spacing w:line="360" w:lineRule="exact"/>
              <w:ind w:firstLine="0" w:firstLineChars="0"/>
              <w:jc w:val="center"/>
              <w:rPr>
                <w:rFonts w:hint="eastAsia" w:ascii="Times New Roman" w:hAnsi="Times New Roman" w:eastAsia="仿宋_GB2312" w:cs="Times New Roman"/>
                <w:color w:val="000000"/>
                <w:kern w:val="2"/>
                <w:sz w:val="24"/>
                <w:szCs w:val="24"/>
                <w:highlight w:val="yellow"/>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yellow"/>
                <w:lang w:val="en-US" w:eastAsia="zh-CN" w:bidi="ar-SA"/>
              </w:rPr>
            </w:pPr>
            <w:r>
              <w:rPr>
                <w:rFonts w:hint="default" w:ascii="Times New Roman" w:hAnsi="Times New Roman" w:eastAsia="仿宋_GB2312" w:cs="Times New Roman"/>
                <w:color w:val="000000"/>
                <w:sz w:val="24"/>
                <w:szCs w:val="24"/>
                <w:highlight w:val="none"/>
              </w:rPr>
              <w:t>——</w:t>
            </w:r>
          </w:p>
        </w:tc>
        <w:tc>
          <w:tcPr>
            <w:tcW w:w="1169" w:type="dxa"/>
            <w:shd w:val="clear" w:color="auto" w:fill="auto"/>
            <w:noWrap w:val="0"/>
            <w:vAlign w:val="center"/>
          </w:tcPr>
          <w:p>
            <w:pPr>
              <w:shd w:val="clear" w:color="auto" w:fill="auto"/>
              <w:spacing w:line="360" w:lineRule="exact"/>
              <w:ind w:firstLine="0" w:firstLineChars="0"/>
              <w:jc w:val="center"/>
              <w:rPr>
                <w:rFonts w:hint="eastAsia" w:ascii="Times New Roman" w:hAnsi="Times New Roman" w:eastAsia="仿宋_GB2312" w:cs="Times New Roman"/>
                <w:color w:val="000000"/>
                <w:kern w:val="2"/>
                <w:sz w:val="24"/>
                <w:szCs w:val="24"/>
                <w:highlight w:val="yellow"/>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按省市要求</w:t>
            </w:r>
          </w:p>
        </w:tc>
        <w:tc>
          <w:tcPr>
            <w:tcW w:w="961" w:type="dxa"/>
            <w:shd w:val="clear" w:color="auto" w:fill="FFFFFF"/>
            <w:noWrap w:val="0"/>
            <w:vAlign w:val="center"/>
          </w:tcPr>
          <w:p>
            <w:pPr>
              <w:shd w:val="clear" w:color="auto" w:fill="auto"/>
              <w:spacing w:line="360" w:lineRule="exact"/>
              <w:ind w:firstLine="0" w:firstLineChars="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19</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森林覆盖率（%）</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5.15</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5.4</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w:t>
            </w:r>
          </w:p>
        </w:tc>
        <w:tc>
          <w:tcPr>
            <w:tcW w:w="3787" w:type="dxa"/>
            <w:gridSpan w:val="2"/>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重点工业企业污染物排放稳定达标率（%）</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jc w:val="center"/>
              <w:rPr>
                <w:rFonts w:hint="eastAsia"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约束性</w:t>
            </w:r>
            <w:r>
              <w:rPr>
                <w:rFonts w:hint="eastAsia" w:ascii="Times New Roman" w:hAnsi="Times New Roman" w:eastAsia="仿宋_GB2312" w:cs="Times New Roman"/>
                <w:color w:val="000000"/>
                <w:sz w:val="24"/>
                <w:szCs w:val="24"/>
                <w:lang w:val="en-US" w:eastAsia="zh-CN"/>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3787" w:type="dxa"/>
            <w:gridSpan w:val="2"/>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规模化畜禽养殖污染物排放达标率（%）</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vMerge w:val="restart"/>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w:t>
            </w:r>
          </w:p>
        </w:tc>
        <w:tc>
          <w:tcPr>
            <w:tcW w:w="869" w:type="dxa"/>
            <w:vMerge w:val="restart"/>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主要污染物排放强度指数</w:t>
            </w:r>
          </w:p>
        </w:tc>
        <w:tc>
          <w:tcPr>
            <w:tcW w:w="2918" w:type="dxa"/>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单位GDP化学需氧量排放强度（吨/亿元）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16.43</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1"/>
                <w:szCs w:val="21"/>
              </w:rPr>
              <w:t>15.61</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－1.02</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vMerge w:val="continue"/>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p>
        </w:tc>
        <w:tc>
          <w:tcPr>
            <w:tcW w:w="869" w:type="dxa"/>
            <w:vMerge w:val="continue"/>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p>
        </w:tc>
        <w:tc>
          <w:tcPr>
            <w:tcW w:w="2918" w:type="dxa"/>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单位GDP二氧化硫排放强度（吨/亿元）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21.6</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1"/>
                <w:szCs w:val="21"/>
              </w:rPr>
              <w:t>19.87</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vMerge w:val="continue"/>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p>
        </w:tc>
        <w:tc>
          <w:tcPr>
            <w:tcW w:w="869" w:type="dxa"/>
            <w:vMerge w:val="continue"/>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p>
        </w:tc>
        <w:tc>
          <w:tcPr>
            <w:tcW w:w="2918" w:type="dxa"/>
            <w:shd w:val="clear" w:color="auto" w:fill="FFFFFF"/>
            <w:noWrap w:val="0"/>
            <w:vAlign w:val="center"/>
          </w:tcPr>
          <w:p>
            <w:pPr>
              <w:shd w:val="clear" w:color="auto" w:fill="auto"/>
              <w:spacing w:line="300" w:lineRule="exact"/>
              <w:ind w:firstLine="0"/>
              <w:rPr>
                <w:rFonts w:hint="eastAsia"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单位GDP二氧化碳排放降低</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p>
        </w:tc>
        <w:tc>
          <w:tcPr>
            <w:tcW w:w="1169" w:type="dxa"/>
            <w:shd w:val="clear" w:color="auto" w:fill="FFFFFF"/>
            <w:noWrap w:val="0"/>
            <w:vAlign w:val="center"/>
          </w:tcPr>
          <w:p>
            <w:pPr>
              <w:shd w:val="clear" w:color="auto" w:fill="auto"/>
              <w:spacing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按省市要求</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vMerge w:val="continue"/>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p>
        </w:tc>
        <w:tc>
          <w:tcPr>
            <w:tcW w:w="869" w:type="dxa"/>
            <w:vMerge w:val="continue"/>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p>
        </w:tc>
        <w:tc>
          <w:tcPr>
            <w:tcW w:w="2918" w:type="dxa"/>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单位GDP氨氮排放强度（吨/亿元）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2.07</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1.97</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－1.02</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vMerge w:val="continue"/>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p>
        </w:tc>
        <w:tc>
          <w:tcPr>
            <w:tcW w:w="869" w:type="dxa"/>
            <w:vMerge w:val="continue"/>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p>
        </w:tc>
        <w:tc>
          <w:tcPr>
            <w:tcW w:w="2918" w:type="dxa"/>
            <w:shd w:val="clear" w:color="auto" w:fill="FFFFFF"/>
            <w:noWrap w:val="0"/>
            <w:vAlign w:val="center"/>
          </w:tcPr>
          <w:p>
            <w:pPr>
              <w:shd w:val="clear" w:color="auto" w:fill="auto"/>
              <w:spacing w:line="30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单位GPD氮氧化物排放强度（吨/亿元）</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36</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33.12</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23</w:t>
            </w:r>
          </w:p>
        </w:tc>
        <w:tc>
          <w:tcPr>
            <w:tcW w:w="3787" w:type="dxa"/>
            <w:gridSpan w:val="2"/>
            <w:shd w:val="clear" w:color="auto" w:fill="FFFFFF"/>
            <w:noWrap w:val="0"/>
            <w:vAlign w:val="center"/>
          </w:tcPr>
          <w:p>
            <w:pPr>
              <w:shd w:val="clear" w:color="auto" w:fill="auto"/>
              <w:spacing w:line="360" w:lineRule="exact"/>
              <w:ind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城市空气质量二级天数占全年比例（%）</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80</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82</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0.5</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24</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城市水环境功能区水质达标率（%）</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66.7</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66.7</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25</w:t>
            </w:r>
          </w:p>
        </w:tc>
        <w:tc>
          <w:tcPr>
            <w:tcW w:w="3787" w:type="dxa"/>
            <w:gridSpan w:val="2"/>
            <w:shd w:val="clear" w:color="auto" w:fill="FFFFFF"/>
            <w:noWrap w:val="0"/>
            <w:vAlign w:val="center"/>
          </w:tcPr>
          <w:p>
            <w:pPr>
              <w:shd w:val="clear" w:color="auto" w:fill="auto"/>
              <w:spacing w:line="360" w:lineRule="exact"/>
              <w:ind w:firstLine="0"/>
              <w:rPr>
                <w:rFonts w:hint="default" w:ascii="仿宋_GB2312" w:hAnsi="仿宋_GB2312" w:eastAsia="仿宋_GB2312" w:cs="仿宋_GB2312"/>
                <w:color w:val="auto"/>
                <w:sz w:val="24"/>
                <w:szCs w:val="24"/>
                <w:lang w:val="en-US" w:eastAsia="zh-CN"/>
              </w:rPr>
            </w:pPr>
            <w:r>
              <w:rPr>
                <w:rFonts w:hint="eastAsia" w:ascii="Times New Roman" w:hAnsi="Times New Roman" w:eastAsia="仿宋_GB2312" w:cs="Times New Roman"/>
                <w:color w:val="auto"/>
                <w:sz w:val="24"/>
                <w:szCs w:val="24"/>
                <w:lang w:val="en-US" w:eastAsia="zh-CN"/>
              </w:rPr>
              <w:t>地表水达到或好于</w:t>
            </w:r>
            <w:r>
              <w:rPr>
                <w:rFonts w:hint="eastAsia" w:ascii="仿宋_GB2312" w:hAnsi="仿宋_GB2312" w:eastAsia="仿宋_GB2312" w:cs="仿宋_GB2312"/>
                <w:color w:val="auto"/>
                <w:sz w:val="24"/>
                <w:szCs w:val="24"/>
                <w:lang w:val="en-US" w:eastAsia="zh-CN"/>
              </w:rPr>
              <w:t>Ⅲ类水体比例％</w:t>
            </w:r>
          </w:p>
        </w:tc>
        <w:tc>
          <w:tcPr>
            <w:tcW w:w="803"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33.3％</w:t>
            </w:r>
          </w:p>
        </w:tc>
        <w:tc>
          <w:tcPr>
            <w:tcW w:w="876"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66.7</w:t>
            </w:r>
          </w:p>
        </w:tc>
        <w:tc>
          <w:tcPr>
            <w:tcW w:w="1169"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6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restart"/>
            <w:shd w:val="clear" w:color="auto" w:fill="FFFFFF"/>
            <w:noWrap w:val="0"/>
            <w:vAlign w:val="center"/>
          </w:tcPr>
          <w:p>
            <w:pPr>
              <w:shd w:val="clear" w:color="auto" w:fill="auto"/>
              <w:spacing w:line="240" w:lineRule="auto"/>
              <w:ind w:firstLine="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民生改善</w:t>
            </w: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26</w:t>
            </w:r>
          </w:p>
        </w:tc>
        <w:tc>
          <w:tcPr>
            <w:tcW w:w="3787" w:type="dxa"/>
            <w:gridSpan w:val="2"/>
            <w:shd w:val="clear" w:color="auto" w:fill="FFFFFF"/>
            <w:noWrap w:val="0"/>
            <w:vAlign w:val="center"/>
          </w:tcPr>
          <w:p>
            <w:pPr>
              <w:shd w:val="clear" w:color="auto" w:fill="auto"/>
              <w:spacing w:line="360" w:lineRule="exact"/>
              <w:ind w:firstLine="0" w:firstLineChars="0"/>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城镇登记失业率（%）</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3.</w:t>
            </w:r>
            <w:r>
              <w:rPr>
                <w:rFonts w:hint="eastAsia" w:ascii="Times New Roman" w:hAnsi="Times New Roman" w:eastAsia="仿宋_GB2312" w:cs="Times New Roman"/>
                <w:color w:val="auto"/>
                <w:sz w:val="24"/>
                <w:szCs w:val="24"/>
                <w:lang w:val="en-US" w:eastAsia="zh-CN"/>
              </w:rPr>
              <w:t>18</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4.00</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27</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基本养老保险参保率</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90</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95</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1.0</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28</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sz w:val="24"/>
                <w:szCs w:val="24"/>
                <w:highlight w:val="none"/>
                <w:lang w:val="en-US" w:eastAsia="zh-CN"/>
              </w:rPr>
              <w:t>人均预期寿命</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76</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sz w:val="24"/>
                <w:szCs w:val="24"/>
                <w:highlight w:val="none"/>
                <w:lang w:val="en-US" w:eastAsia="zh-CN"/>
              </w:rPr>
              <w:t>78</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29</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城镇居民人均可支配收入（元）</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27400</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38500</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7</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570" w:type="dxa"/>
            <w:vMerge w:val="continue"/>
            <w:shd w:val="clear" w:color="auto" w:fill="FFFFFF"/>
            <w:noWrap w:val="0"/>
            <w:vAlign w:val="center"/>
          </w:tcPr>
          <w:p>
            <w:pPr>
              <w:shd w:val="clear" w:color="auto" w:fill="auto"/>
              <w:ind w:firstLine="0"/>
              <w:jc w:val="center"/>
              <w:rPr>
                <w:rFonts w:hint="default" w:ascii="Times New Roman" w:hAnsi="Times New Roman" w:eastAsia="仿宋_GB2312" w:cs="Times New Roman"/>
                <w:color w:val="000000"/>
                <w:sz w:val="24"/>
                <w:szCs w:val="24"/>
              </w:rPr>
            </w:pP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农村居民人均可支配收入（元）</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15850</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23300</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8</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trPr>
        <w:tc>
          <w:tcPr>
            <w:tcW w:w="570" w:type="dxa"/>
            <w:shd w:val="clear" w:color="auto" w:fill="FFFFFF"/>
            <w:noWrap w:val="0"/>
            <w:vAlign w:val="center"/>
          </w:tcPr>
          <w:p>
            <w:pPr>
              <w:shd w:val="clear" w:color="auto" w:fill="auto"/>
              <w:spacing w:line="240" w:lineRule="auto"/>
              <w:ind w:firstLine="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安全保</w:t>
            </w:r>
            <w:r>
              <w:rPr>
                <w:rFonts w:hint="eastAsia" w:ascii="Times New Roman" w:hAnsi="Times New Roman" w:eastAsia="仿宋_GB2312" w:cs="Times New Roman"/>
                <w:color w:val="000000"/>
                <w:sz w:val="24"/>
                <w:szCs w:val="24"/>
                <w:lang w:val="en-US" w:eastAsia="zh-CN"/>
              </w:rPr>
              <w:t>障</w:t>
            </w:r>
          </w:p>
        </w:tc>
        <w:tc>
          <w:tcPr>
            <w:tcW w:w="571" w:type="dxa"/>
            <w:shd w:val="clear" w:color="auto" w:fill="FFFFFF"/>
            <w:noWrap w:val="0"/>
            <w:vAlign w:val="center"/>
          </w:tcPr>
          <w:p>
            <w:pPr>
              <w:shd w:val="clear" w:color="auto" w:fill="auto"/>
              <w:spacing w:line="360" w:lineRule="exact"/>
              <w:ind w:firstLine="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31</w:t>
            </w:r>
          </w:p>
        </w:tc>
        <w:tc>
          <w:tcPr>
            <w:tcW w:w="3787" w:type="dxa"/>
            <w:gridSpan w:val="2"/>
            <w:shd w:val="clear" w:color="auto" w:fill="FFFFFF"/>
            <w:noWrap w:val="0"/>
            <w:vAlign w:val="center"/>
          </w:tcPr>
          <w:p>
            <w:pPr>
              <w:shd w:val="clear" w:color="auto" w:fill="auto"/>
              <w:spacing w:line="360" w:lineRule="exact"/>
              <w:ind w:firstLine="0" w:firstLineChars="0"/>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sz w:val="24"/>
                <w:szCs w:val="24"/>
                <w:highlight w:val="none"/>
                <w:lang w:val="en-US" w:eastAsia="zh-CN"/>
              </w:rPr>
              <w:t>粮食综合生产能力（亿斤）</w:t>
            </w:r>
          </w:p>
        </w:tc>
        <w:tc>
          <w:tcPr>
            <w:tcW w:w="803"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59.31</w:t>
            </w:r>
          </w:p>
        </w:tc>
        <w:tc>
          <w:tcPr>
            <w:tcW w:w="876"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70</w:t>
            </w:r>
          </w:p>
        </w:tc>
        <w:tc>
          <w:tcPr>
            <w:tcW w:w="1169"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sz w:val="24"/>
                <w:szCs w:val="24"/>
                <w:highlight w:val="none"/>
                <w:lang w:val="en-US" w:eastAsia="zh-CN"/>
              </w:rPr>
              <w:t>3.3</w:t>
            </w:r>
          </w:p>
        </w:tc>
        <w:tc>
          <w:tcPr>
            <w:tcW w:w="961" w:type="dxa"/>
            <w:shd w:val="clear" w:color="auto" w:fill="FFFFFF"/>
            <w:noWrap w:val="0"/>
            <w:vAlign w:val="center"/>
          </w:tcPr>
          <w:p>
            <w:pPr>
              <w:shd w:val="clear" w:color="auto" w:fill="auto"/>
              <w:spacing w:line="360" w:lineRule="exact"/>
              <w:ind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约束</w:t>
            </w:r>
            <w:r>
              <w:rPr>
                <w:rFonts w:hint="default" w:ascii="Times New Roman" w:hAnsi="Times New Roman" w:eastAsia="仿宋_GB2312" w:cs="Times New Roman"/>
                <w:color w:val="000000"/>
                <w:sz w:val="24"/>
                <w:szCs w:val="24"/>
              </w:rPr>
              <w:t>性</w:t>
            </w:r>
          </w:p>
        </w:tc>
      </w:tr>
    </w:tbl>
    <w:p>
      <w:pPr>
        <w:shd w:val="clear" w:color="auto" w:fill="auto"/>
        <w:ind w:left="0" w:leftChars="0" w:firstLine="1280" w:firstLineChars="400"/>
        <w:rPr>
          <w:rFonts w:hint="default" w:ascii="Times New Roman" w:hAnsi="Times New Roman" w:eastAsia="黑体" w:cs="Times New Roman"/>
          <w:b w:val="0"/>
          <w:bCs w:val="0"/>
          <w:sz w:val="32"/>
          <w:szCs w:val="32"/>
        </w:rPr>
      </w:pPr>
      <w:bookmarkStart w:id="139" w:name="_Toc20647"/>
      <w:bookmarkStart w:id="140" w:name="_Toc29052"/>
    </w:p>
    <w:p>
      <w:pPr>
        <w:shd w:val="clear" w:color="auto" w:fill="auto"/>
        <w:ind w:left="0" w:leftChars="0" w:firstLine="1280" w:firstLineChars="400"/>
        <w:rPr>
          <w:rFonts w:hint="default" w:ascii="Times New Roman" w:hAnsi="Times New Roman" w:eastAsia="宋体" w:cs="Times New Roman"/>
          <w:b/>
          <w:bCs/>
          <w:sz w:val="32"/>
          <w:szCs w:val="32"/>
        </w:rPr>
      </w:pPr>
      <w:r>
        <w:rPr>
          <w:rFonts w:hint="default" w:ascii="Times New Roman" w:hAnsi="Times New Roman" w:eastAsia="黑体" w:cs="Times New Roman"/>
          <w:b w:val="0"/>
          <w:bCs w:val="0"/>
          <w:sz w:val="32"/>
          <w:szCs w:val="32"/>
        </w:rPr>
        <w:t>第三</w:t>
      </w:r>
      <w:bookmarkStart w:id="141" w:name="_Toc27509"/>
      <w:bookmarkStart w:id="142" w:name="_Toc18223"/>
      <w:r>
        <w:rPr>
          <w:rFonts w:hint="default" w:ascii="Times New Roman" w:hAnsi="Times New Roman" w:eastAsia="黑体" w:cs="Times New Roman"/>
          <w:b w:val="0"/>
          <w:bCs w:val="0"/>
          <w:sz w:val="32"/>
          <w:szCs w:val="32"/>
        </w:rPr>
        <w:t xml:space="preserve">篇  </w:t>
      </w:r>
      <w:r>
        <w:rPr>
          <w:rFonts w:hint="default" w:ascii="Times New Roman" w:hAnsi="Times New Roman" w:eastAsia="黑体" w:cs="Times New Roman"/>
          <w:sz w:val="32"/>
          <w:szCs w:val="32"/>
        </w:rPr>
        <w:t xml:space="preserve">坚决扛起责任 </w:t>
      </w:r>
      <w:r>
        <w:rPr>
          <w:rFonts w:hint="default" w:ascii="Times New Roman" w:hAnsi="Times New Roman" w:eastAsia="黑体" w:cs="Times New Roman"/>
          <w:b w:val="0"/>
          <w:bCs w:val="0"/>
          <w:sz w:val="32"/>
          <w:szCs w:val="32"/>
        </w:rPr>
        <w:t xml:space="preserve"> 全面推进乡村振兴</w:t>
      </w:r>
      <w:bookmarkEnd w:id="139"/>
      <w:bookmarkEnd w:id="140"/>
    </w:p>
    <w:p>
      <w:pPr>
        <w:ind w:right="72" w:rightChars="24" w:firstLine="640" w:firstLineChars="200"/>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w:t>
      </w:r>
      <w:bookmarkEnd w:id="141"/>
      <w:bookmarkEnd w:id="142"/>
      <w:r>
        <w:rPr>
          <w:rFonts w:hint="default" w:ascii="Times New Roman" w:hAnsi="Times New Roman" w:eastAsia="仿宋_GB2312" w:cs="Times New Roman"/>
          <w:sz w:val="32"/>
          <w:szCs w:val="32"/>
        </w:rPr>
        <w:t>升保障国家粮食安全能力，加快构建现代农业产业体系、生产体系和经营体系，筑牢粮食安全的“压舱石”。落实“藏粮于地、藏粮于技”要求，以“六提高”为目标，以“六大工程”为抓手，聚力建设国家农业高质量发展示范区，努力实现由粮食生产大市向农业经济强市的转变，全面推进乡村振兴，争当全省农业农村现代化排头兵。</w:t>
      </w:r>
    </w:p>
    <w:p>
      <w:pPr>
        <w:spacing w:line="240" w:lineRule="auto"/>
        <w:ind w:right="72" w:rightChars="24"/>
        <w:rPr>
          <w:rFonts w:hint="default" w:ascii="Times New Roman" w:hAnsi="Times New Roman" w:eastAsia="仿宋_GB2312" w:cs="Times New Roman"/>
          <w:sz w:val="32"/>
          <w:szCs w:val="32"/>
        </w:rPr>
      </w:pPr>
    </w:p>
    <w:p>
      <w:pPr>
        <w:spacing w:line="240" w:lineRule="auto"/>
        <w:ind w:right="72" w:rightChars="24" w:firstLine="0"/>
        <w:jc w:val="center"/>
        <w:outlineLvl w:val="1"/>
        <w:rPr>
          <w:rFonts w:hint="default" w:ascii="Times New Roman" w:hAnsi="Times New Roman" w:eastAsia="仿宋_GB2312" w:cs="Times New Roman"/>
          <w:sz w:val="32"/>
          <w:szCs w:val="32"/>
        </w:rPr>
      </w:pPr>
      <w:bookmarkStart w:id="143" w:name="_Toc11359"/>
      <w:bookmarkStart w:id="144" w:name="_Toc19511"/>
      <w:r>
        <w:rPr>
          <w:rFonts w:hint="default" w:ascii="Times New Roman" w:hAnsi="Times New Roman" w:eastAsia="仿宋_GB2312" w:cs="Times New Roman"/>
          <w:b/>
          <w:bCs/>
          <w:sz w:val="32"/>
          <w:szCs w:val="32"/>
        </w:rPr>
        <w:t>第六章</w:t>
      </w:r>
      <w:bookmarkStart w:id="145" w:name="_Toc24955"/>
      <w:bookmarkStart w:id="146" w:name="_Toc3095"/>
      <w:r>
        <w:rPr>
          <w:rFonts w:hint="default" w:ascii="Times New Roman" w:hAnsi="Times New Roman" w:eastAsia="仿宋_GB2312" w:cs="Times New Roman"/>
          <w:b/>
          <w:bCs/>
          <w:sz w:val="32"/>
          <w:szCs w:val="32"/>
        </w:rPr>
        <w:t xml:space="preserve">  维护保障国家粮食安全</w:t>
      </w:r>
      <w:bookmarkEnd w:id="143"/>
      <w:bookmarkEnd w:id="144"/>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w:t>
      </w:r>
      <w:bookmarkEnd w:id="145"/>
      <w:bookmarkEnd w:id="146"/>
      <w:r>
        <w:rPr>
          <w:rFonts w:hint="default" w:ascii="Times New Roman" w:hAnsi="Times New Roman" w:eastAsia="仿宋_GB2312" w:cs="Times New Roman"/>
          <w:sz w:val="32"/>
          <w:szCs w:val="32"/>
        </w:rPr>
        <w:t>坚决扛起保障国家粮食安全重任为统领，深入实施全域黑土地保护利用战略工程、优质粮食工程、水利兴农工程，努力走出一条集约、高效、安全、持续的现代化农业道路。</w:t>
      </w:r>
    </w:p>
    <w:p>
      <w:pPr>
        <w:ind w:right="72" w:rightChars="24" w:firstLine="0"/>
        <w:jc w:val="center"/>
        <w:outlineLvl w:val="2"/>
        <w:rPr>
          <w:rFonts w:hint="default" w:ascii="Times New Roman" w:hAnsi="Times New Roman" w:eastAsia="仿宋_GB2312" w:cs="Times New Roman"/>
          <w:b/>
          <w:bCs/>
          <w:sz w:val="32"/>
          <w:szCs w:val="32"/>
        </w:rPr>
      </w:pPr>
      <w:bookmarkStart w:id="147" w:name="_Toc19104"/>
      <w:bookmarkStart w:id="148" w:name="_Toc9392"/>
      <w:r>
        <w:rPr>
          <w:rFonts w:hint="default" w:ascii="Times New Roman" w:hAnsi="Times New Roman" w:eastAsia="楷体_GB2312" w:cs="Times New Roman"/>
          <w:b/>
          <w:bCs/>
          <w:sz w:val="32"/>
          <w:szCs w:val="32"/>
        </w:rPr>
        <w:t>第一节</w:t>
      </w:r>
      <w:bookmarkStart w:id="149" w:name="_Toc4961"/>
      <w:bookmarkStart w:id="150" w:name="_Toc25967"/>
      <w:r>
        <w:rPr>
          <w:rFonts w:hint="default" w:ascii="Times New Roman" w:hAnsi="Times New Roman" w:eastAsia="楷体_GB2312" w:cs="Times New Roman"/>
          <w:b/>
          <w:bCs/>
          <w:sz w:val="32"/>
          <w:szCs w:val="32"/>
        </w:rPr>
        <w:t xml:space="preserve">  坚决扛起保障国家粮食安全重任</w:t>
      </w:r>
      <w:bookmarkEnd w:id="147"/>
      <w:bookmarkEnd w:id="148"/>
    </w:p>
    <w:p>
      <w:pPr>
        <w:ind w:right="72" w:rightChars="24"/>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以稳</w:t>
      </w:r>
      <w:bookmarkEnd w:id="149"/>
      <w:bookmarkEnd w:id="150"/>
      <w:r>
        <w:rPr>
          <w:rFonts w:hint="default" w:ascii="Times New Roman" w:hAnsi="Times New Roman" w:eastAsia="仿宋_GB2312" w:cs="Times New Roman"/>
          <w:sz w:val="32"/>
          <w:szCs w:val="32"/>
        </w:rPr>
        <w:t>定粮食作物播种面积为立足点，落实最严格的耕地保护制度，坚决守住550万亩耕地红线。以优化粮食种植结构为切入点，深入推进优质粮食工程，加快推进粮食生产功能区建设，积极落实玉米“粮经饲”三元种植面积，着重发展绿色有机水稻、优质大豆、特色杂粮等，保障国家粮食安全和市场需求。以提高粮食单产增加效益为着力点，种好“旱田”和“水田”，建成高产、高效、高科技的乡村振兴新示范。大力开展粮食高产创建活动，打造五棵树镇广隆村旱田、延和乡水田为科技增收示范试点，带动其他乡镇、村屯高效种植作物，提高粮食单产能力，加快形成以点带面、以域谋全的发展局面。增强农业综合生产能力和抗风险能力，</w:t>
      </w:r>
      <w:r>
        <w:rPr>
          <w:rFonts w:hint="default" w:ascii="Times New Roman" w:hAnsi="Times New Roman" w:eastAsia="仿宋_GB2312" w:cs="Times New Roman"/>
          <w:sz w:val="32"/>
          <w:szCs w:val="32"/>
          <w:lang w:val="zh-CN"/>
        </w:rPr>
        <w:t>创建全国粮食应急仓储基地，以云计算、“互联网+”等技术手段构建线上线下融合仓储管理平台，建设新型智慧标准粮仓</w:t>
      </w:r>
      <w:r>
        <w:rPr>
          <w:rFonts w:hint="default" w:ascii="Times New Roman" w:hAnsi="Times New Roman" w:eastAsia="仿宋_GB2312" w:cs="Times New Roman"/>
          <w:sz w:val="32"/>
          <w:szCs w:val="32"/>
        </w:rPr>
        <w:t>。到2025年，全市粮食总产量稳定在70亿斤左右。</w:t>
      </w:r>
    </w:p>
    <w:p>
      <w:pPr>
        <w:ind w:right="72" w:rightChars="24" w:firstLine="0"/>
        <w:jc w:val="center"/>
        <w:outlineLvl w:val="2"/>
        <w:rPr>
          <w:rFonts w:hint="default" w:ascii="Times New Roman" w:hAnsi="Times New Roman" w:eastAsia="楷体_GB2312" w:cs="Times New Roman"/>
          <w:b/>
          <w:bCs/>
          <w:sz w:val="32"/>
          <w:szCs w:val="32"/>
        </w:rPr>
      </w:pPr>
      <w:bookmarkStart w:id="151" w:name="_Toc22292"/>
      <w:bookmarkStart w:id="152" w:name="_Toc23096"/>
      <w:r>
        <w:rPr>
          <w:rFonts w:hint="default" w:ascii="Times New Roman" w:hAnsi="Times New Roman" w:eastAsia="楷体_GB2312" w:cs="Times New Roman"/>
          <w:b/>
          <w:bCs/>
          <w:sz w:val="32"/>
          <w:szCs w:val="32"/>
        </w:rPr>
        <w:t>第二节</w:t>
      </w:r>
      <w:bookmarkStart w:id="153" w:name="_Toc19322"/>
      <w:bookmarkStart w:id="154" w:name="_Toc7200"/>
      <w:r>
        <w:rPr>
          <w:rFonts w:hint="default" w:ascii="Times New Roman" w:hAnsi="Times New Roman" w:eastAsia="楷体_GB2312" w:cs="Times New Roman"/>
          <w:b/>
          <w:bCs/>
          <w:sz w:val="32"/>
          <w:szCs w:val="32"/>
        </w:rPr>
        <w:t xml:space="preserve">  加强黑土地保护利用</w:t>
      </w:r>
      <w:bookmarkEnd w:id="151"/>
      <w:bookmarkEnd w:id="15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w:t>
      </w:r>
      <w:bookmarkEnd w:id="153"/>
      <w:bookmarkEnd w:id="154"/>
      <w:r>
        <w:rPr>
          <w:rFonts w:hint="default" w:ascii="Times New Roman" w:hAnsi="Times New Roman" w:eastAsia="仿宋_GB2312" w:cs="Times New Roman"/>
          <w:sz w:val="32"/>
          <w:szCs w:val="32"/>
        </w:rPr>
        <w:t>全域黑土地保护利用战略。整合各类涉农资金，全力推进黑土地保护利用综合整治行动。推广“土地托管”模式，整村推进土地集中连片经营，提高农业经营“五化”水平。重点采取持续实施粮豆间作、粮豆轮作、测土配方施肥、增施有机肥、秸秆全量还田、化肥农药减量行动和深翻整地等保护性耕作措施，促进土壤结构改良和地力的提升。到2025年末，全市保护耕作增加到260万亩，土壤有机质含量提高3%，对标国际标准，打造全国黑土地保护利用样板。</w:t>
      </w:r>
    </w:p>
    <w:p>
      <w:pPr>
        <w:ind w:right="72" w:rightChars="24" w:firstLine="0"/>
        <w:jc w:val="center"/>
        <w:outlineLvl w:val="2"/>
        <w:rPr>
          <w:rFonts w:hint="default" w:ascii="Times New Roman" w:hAnsi="Times New Roman" w:eastAsia="仿宋_GB2312" w:cs="Times New Roman"/>
          <w:b/>
          <w:bCs/>
          <w:sz w:val="32"/>
          <w:szCs w:val="32"/>
        </w:rPr>
      </w:pPr>
      <w:bookmarkStart w:id="155" w:name="_Toc20981"/>
      <w:bookmarkStart w:id="156" w:name="_Toc18881"/>
      <w:r>
        <w:rPr>
          <w:rFonts w:hint="default" w:ascii="Times New Roman" w:hAnsi="Times New Roman" w:eastAsia="楷体_GB2312" w:cs="Times New Roman"/>
          <w:b/>
          <w:bCs/>
          <w:sz w:val="32"/>
          <w:szCs w:val="32"/>
        </w:rPr>
        <w:t>第三节</w:t>
      </w:r>
      <w:bookmarkStart w:id="157" w:name="_Toc22396"/>
      <w:bookmarkStart w:id="158" w:name="_Toc17489"/>
      <w:r>
        <w:rPr>
          <w:rFonts w:hint="default" w:ascii="Times New Roman" w:hAnsi="Times New Roman" w:eastAsia="楷体_GB2312" w:cs="Times New Roman"/>
          <w:b/>
          <w:bCs/>
          <w:sz w:val="32"/>
          <w:szCs w:val="32"/>
        </w:rPr>
        <w:t xml:space="preserve">  加强水利兴农设施建设</w:t>
      </w:r>
      <w:bookmarkEnd w:id="155"/>
      <w:bookmarkEnd w:id="15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w:t>
      </w:r>
      <w:bookmarkEnd w:id="157"/>
      <w:bookmarkEnd w:id="158"/>
      <w:r>
        <w:rPr>
          <w:rFonts w:hint="default" w:ascii="Times New Roman" w:hAnsi="Times New Roman" w:eastAsia="仿宋_GB2312" w:cs="Times New Roman"/>
          <w:sz w:val="32"/>
          <w:szCs w:val="32"/>
        </w:rPr>
        <w:t>水利是农业发展的根本命脉，大力实施水利兴农工程，集中建设一批大中型水利骨干项目。重点推动“引松济卡”等重大水利项目建设，加强引水工程和灌区工程齐头并进。积极通过塘坝修建、排水沟整治、农村河道疏浚等项目实施农业高效节水灌溉工程，建设一批现代化农业节水灌区，重点实施大中型灌区续建配套及现代化改造项目，对全市10座大中型水库灌区进行基础设施及信息化改造。争取移民工程项目，加强移民村基础设施及生态环境建设。</w:t>
      </w:r>
    </w:p>
    <w:p>
      <w:pPr>
        <w:spacing w:before="240" w:beforeLines="100" w:after="240" w:afterLines="100" w:line="240" w:lineRule="auto"/>
        <w:ind w:left="300" w:leftChars="100" w:right="300" w:rightChars="100"/>
        <w:jc w:val="center"/>
        <w:outlineLvl w:val="1"/>
        <w:rPr>
          <w:rFonts w:hint="default" w:ascii="Times New Roman" w:hAnsi="Times New Roman" w:eastAsia="仿宋_GB2312" w:cs="Times New Roman"/>
          <w:sz w:val="32"/>
          <w:szCs w:val="32"/>
        </w:rPr>
      </w:pPr>
      <w:bookmarkStart w:id="159" w:name="_Toc144"/>
      <w:bookmarkStart w:id="160" w:name="_Toc25133"/>
      <w:r>
        <w:rPr>
          <w:rFonts w:hint="default" w:ascii="Times New Roman" w:hAnsi="Times New Roman" w:eastAsia="仿宋_GB2312" w:cs="Times New Roman"/>
          <w:b/>
          <w:bCs/>
          <w:sz w:val="32"/>
          <w:szCs w:val="32"/>
        </w:rPr>
        <w:t>第七章</w:t>
      </w:r>
      <w:bookmarkStart w:id="161" w:name="_Toc5847"/>
      <w:bookmarkStart w:id="162" w:name="_Toc20561"/>
      <w:r>
        <w:rPr>
          <w:rFonts w:hint="default" w:ascii="Times New Roman" w:hAnsi="Times New Roman" w:eastAsia="仿宋_GB2312" w:cs="Times New Roman"/>
          <w:b/>
          <w:bCs/>
          <w:sz w:val="32"/>
          <w:szCs w:val="32"/>
        </w:rPr>
        <w:t xml:space="preserve">  加快现代农业“三大体系”建设</w:t>
      </w:r>
      <w:bookmarkEnd w:id="159"/>
      <w:bookmarkEnd w:id="16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w:t>
      </w:r>
      <w:bookmarkEnd w:id="161"/>
      <w:bookmarkEnd w:id="162"/>
      <w:r>
        <w:rPr>
          <w:rFonts w:hint="default" w:ascii="Times New Roman" w:hAnsi="Times New Roman" w:eastAsia="仿宋_GB2312" w:cs="Times New Roman"/>
          <w:sz w:val="32"/>
          <w:szCs w:val="32"/>
        </w:rPr>
        <w:t>步调整现代农业的规模、结构，深入实施高标准农田工程、精品畜牧工程、秸秆变肉工程，积极发展设施农业、观光农业，不断提升现代化大农业的质量和效益。</w:t>
      </w:r>
    </w:p>
    <w:p>
      <w:pPr>
        <w:ind w:right="72" w:rightChars="24" w:firstLine="0"/>
        <w:jc w:val="center"/>
        <w:outlineLvl w:val="2"/>
        <w:rPr>
          <w:rFonts w:hint="default" w:ascii="Times New Roman" w:hAnsi="Times New Roman" w:eastAsia="楷体_GB2312" w:cs="Times New Roman"/>
          <w:b/>
          <w:bCs/>
          <w:sz w:val="32"/>
          <w:szCs w:val="32"/>
        </w:rPr>
      </w:pPr>
      <w:bookmarkStart w:id="163" w:name="_Toc27348"/>
      <w:bookmarkStart w:id="164" w:name="_Toc3467"/>
      <w:r>
        <w:rPr>
          <w:rFonts w:hint="default" w:ascii="Times New Roman" w:hAnsi="Times New Roman" w:eastAsia="楷体_GB2312" w:cs="Times New Roman"/>
          <w:b/>
          <w:bCs/>
          <w:sz w:val="32"/>
          <w:szCs w:val="32"/>
        </w:rPr>
        <w:t>第一节</w:t>
      </w:r>
      <w:bookmarkStart w:id="165" w:name="_Toc8706"/>
      <w:bookmarkStart w:id="166" w:name="_Toc28242"/>
      <w:r>
        <w:rPr>
          <w:rFonts w:hint="default" w:ascii="Times New Roman" w:hAnsi="Times New Roman" w:eastAsia="楷体_GB2312" w:cs="Times New Roman"/>
          <w:b/>
          <w:bCs/>
          <w:sz w:val="32"/>
          <w:szCs w:val="32"/>
        </w:rPr>
        <w:t xml:space="preserve">  优化提升现代农业生产体系</w:t>
      </w:r>
      <w:bookmarkEnd w:id="163"/>
      <w:bookmarkEnd w:id="16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加强</w:t>
      </w:r>
      <w:bookmarkEnd w:id="165"/>
      <w:bookmarkEnd w:id="166"/>
      <w:r>
        <w:rPr>
          <w:rFonts w:hint="default" w:ascii="Times New Roman" w:hAnsi="Times New Roman" w:eastAsia="仿宋_GB2312" w:cs="Times New Roman"/>
          <w:b/>
          <w:bCs/>
          <w:sz w:val="32"/>
          <w:szCs w:val="32"/>
        </w:rPr>
        <w:t>高标准农田建设。</w:t>
      </w:r>
      <w:r>
        <w:rPr>
          <w:rFonts w:hint="default" w:ascii="Times New Roman" w:hAnsi="Times New Roman" w:eastAsia="仿宋_GB2312" w:cs="Times New Roman"/>
          <w:sz w:val="32"/>
          <w:szCs w:val="32"/>
        </w:rPr>
        <w:t>继续实施高标准农田建设工程，建设高标准农田集中连片区，形成旱涝稳产、绿色生态、适合全程机械化作业的现代粮食生产核心基地，每年新增高标准农田20万亩，打造一处高标准农田核心示范区。积极引导社会力量参与高标准农田建设，支持新型农业经营主体建设高标准农田。到2025年，累计建成高标准农田300万亩，占耕地总面积的52.8%。</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加快农业科技推广应用。</w:t>
      </w:r>
      <w:r>
        <w:rPr>
          <w:rFonts w:hint="default" w:ascii="Times New Roman" w:hAnsi="Times New Roman" w:eastAsia="仿宋_GB2312" w:cs="Times New Roman"/>
          <w:sz w:val="32"/>
          <w:szCs w:val="32"/>
        </w:rPr>
        <w:t>培育适合本地的稳产高产优良品种，强化良种良法配套技术引进和培育</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旱田重点推广降解地膜覆盖水肥药一体化技术，水田重点推广水稻绿色优质高效综合栽培技术。积极与省农科院合作对接，建立种子繁育基地</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创建农业科技示范园区，重点打造新品种试验区、肥料试验区、三大主推作物综合高产栽培技术展示区、都市农业示范园（瓜果采摘园）区。</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加快</w:t>
      </w:r>
      <w:r>
        <w:rPr>
          <w:rFonts w:hint="default" w:ascii="Times New Roman" w:hAnsi="Times New Roman" w:eastAsia="仿宋_GB2312" w:cs="Times New Roman"/>
          <w:b/>
          <w:bCs/>
          <w:sz w:val="32"/>
          <w:szCs w:val="32"/>
          <w:lang w:val="zh-CN"/>
        </w:rPr>
        <w:t>农业机械化进程。</w:t>
      </w:r>
      <w:r>
        <w:rPr>
          <w:rFonts w:hint="default" w:ascii="Times New Roman" w:hAnsi="Times New Roman" w:eastAsia="仿宋_GB2312" w:cs="Times New Roman"/>
          <w:sz w:val="32"/>
          <w:szCs w:val="32"/>
          <w:lang w:val="zh-CN"/>
        </w:rPr>
        <w:t>推进国家全程机械化示范区建设，着力提升农机装备智能化水平，推进主要农作物全程机械化生产。</w:t>
      </w:r>
      <w:r>
        <w:rPr>
          <w:rFonts w:hint="default" w:ascii="Times New Roman" w:hAnsi="Times New Roman" w:eastAsia="仿宋_GB2312" w:cs="Times New Roman"/>
          <w:sz w:val="32"/>
          <w:szCs w:val="32"/>
        </w:rPr>
        <w:t>构建以农机大户为主体、农机服务协作组织为龙头、农机中介组织为纽带的新型农机化服务体系。到2025年，全市农机总动力由目前的252万千瓦发展到320万千瓦，主要农作物耕、种、收综合机械化水平达到95％。全市耕种土地200公顷以上的规模化农机合作社发展到500个。</w:t>
      </w:r>
    </w:p>
    <w:p>
      <w:pPr>
        <w:pStyle w:val="10"/>
        <w:ind w:firstLine="640" w:firstLineChars="0"/>
        <w:jc w:val="center"/>
        <w:outlineLvl w:val="2"/>
        <w:rPr>
          <w:rFonts w:hint="default" w:ascii="Times New Roman" w:hAnsi="Times New Roman" w:eastAsia="仿宋_GB2312" w:cs="Times New Roman"/>
          <w:sz w:val="32"/>
          <w:szCs w:val="32"/>
        </w:rPr>
      </w:pPr>
      <w:bookmarkStart w:id="167" w:name="_Toc18015"/>
      <w:bookmarkStart w:id="168" w:name="_Toc3684"/>
      <w:r>
        <w:rPr>
          <w:rFonts w:hint="default" w:ascii="Times New Roman" w:hAnsi="Times New Roman" w:eastAsia="楷体_GB2312" w:cs="Times New Roman"/>
          <w:b/>
          <w:bCs/>
          <w:sz w:val="32"/>
          <w:szCs w:val="32"/>
        </w:rPr>
        <w:t>第二节</w:t>
      </w:r>
      <w:bookmarkStart w:id="169" w:name="_Toc399"/>
      <w:bookmarkStart w:id="170" w:name="_Toc10282"/>
      <w:r>
        <w:rPr>
          <w:rFonts w:hint="default" w:ascii="Times New Roman" w:hAnsi="Times New Roman" w:eastAsia="楷体_GB2312" w:cs="Times New Roman"/>
          <w:b/>
          <w:bCs/>
          <w:sz w:val="32"/>
          <w:szCs w:val="32"/>
        </w:rPr>
        <w:t xml:space="preserve">  优化提升现代农业产业体系</w:t>
      </w:r>
      <w:bookmarkEnd w:id="167"/>
      <w:bookmarkEnd w:id="168"/>
    </w:p>
    <w:p>
      <w:pPr>
        <w:pStyle w:val="10"/>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积极</w:t>
      </w:r>
      <w:bookmarkEnd w:id="169"/>
      <w:bookmarkEnd w:id="170"/>
      <w:r>
        <w:rPr>
          <w:rFonts w:hint="default" w:ascii="Times New Roman" w:hAnsi="Times New Roman" w:eastAsia="仿宋_GB2312" w:cs="Times New Roman"/>
          <w:b/>
          <w:bCs/>
          <w:sz w:val="32"/>
          <w:szCs w:val="32"/>
        </w:rPr>
        <w:t>发展特色农业。</w:t>
      </w:r>
      <w:r>
        <w:rPr>
          <w:rFonts w:hint="default" w:ascii="Times New Roman" w:hAnsi="Times New Roman" w:eastAsia="仿宋_GB2312" w:cs="Times New Roman"/>
          <w:sz w:val="32"/>
          <w:szCs w:val="32"/>
        </w:rPr>
        <w:t>全力培育壮大棚膜产业，以八号镇北沟村为“菜田”示范试点，重点沿102线、榆松线、黑大线、榆陶线、线等交通干线两侧，以五棵树、弓棚、八号、太安等乡镇为重点，打造5条棚膜蔬菜产业带。加快老旧棚室改造利用，新建棚室布点扩面，拓展高标准棚室功能，鼓励发展棚室采摘业，推广山野菜棚室栽培技术。到2025年，全市温室大棚面积发展到8万亩，棚膜园区发展到125个，棚膜蔬菜产值实现35亿元左右。</w:t>
      </w:r>
    </w:p>
    <w:p>
      <w:pPr>
        <w:pStyle w:val="10"/>
        <w:ind w:firstLine="643"/>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rPr>
        <w:t>突出抓好畜牧优势产业发展。</w:t>
      </w:r>
      <w:r>
        <w:rPr>
          <w:rFonts w:hint="default" w:ascii="Times New Roman" w:hAnsi="Times New Roman" w:eastAsia="仿宋_GB2312" w:cs="Times New Roman"/>
          <w:sz w:val="32"/>
          <w:szCs w:val="32"/>
        </w:rPr>
        <w:t>以龙头企业、合作社为主体，采取“公司+专业合作社+农户”、农户联营等多种方式，推进特色养殖业规模化经营，普及推广先进养殖技术。重点实施精品畜牧工程，大力推进“两链”建设，加强</w:t>
      </w:r>
      <w:r>
        <w:rPr>
          <w:rFonts w:hint="default" w:ascii="Times New Roman" w:hAnsi="Times New Roman" w:eastAsia="仿宋_GB2312" w:cs="Times New Roman"/>
          <w:sz w:val="32"/>
          <w:szCs w:val="32"/>
          <w:lang w:val="zh-CN"/>
        </w:rPr>
        <w:t>生猪</w:t>
      </w:r>
      <w:r>
        <w:rPr>
          <w:rFonts w:hint="default" w:ascii="Times New Roman" w:hAnsi="Times New Roman" w:eastAsia="仿宋_GB2312" w:cs="Times New Roman"/>
          <w:sz w:val="32"/>
          <w:szCs w:val="32"/>
        </w:rPr>
        <w:t>优质安全养殖基地建设和能繁母猪引进，建成榆树百万头生猪循环产业链；以正大</w:t>
      </w:r>
      <w:r>
        <w:rPr>
          <w:rFonts w:hint="default" w:ascii="Times New Roman" w:hAnsi="Times New Roman" w:eastAsia="仿宋_GB2312" w:cs="Times New Roman"/>
          <w:sz w:val="32"/>
          <w:szCs w:val="32"/>
          <w:lang w:val="zh-CN"/>
        </w:rPr>
        <w:t>肉鸡生产基地</w:t>
      </w:r>
      <w:r>
        <w:rPr>
          <w:rFonts w:hint="default" w:ascii="Times New Roman" w:hAnsi="Times New Roman" w:eastAsia="仿宋_GB2312" w:cs="Times New Roman"/>
          <w:sz w:val="32"/>
          <w:szCs w:val="32"/>
        </w:rPr>
        <w:t>为统领，建设榆树亿只肉鸡全产业链</w:t>
      </w:r>
      <w:r>
        <w:rPr>
          <w:rFonts w:hint="default" w:ascii="Times New Roman" w:hAnsi="Times New Roman" w:eastAsia="仿宋_GB2312" w:cs="Times New Roman"/>
          <w:sz w:val="32"/>
          <w:szCs w:val="32"/>
          <w:lang w:val="zh-CN"/>
        </w:rPr>
        <w:t>。深入实</w:t>
      </w:r>
      <w:r>
        <w:rPr>
          <w:rFonts w:hint="default" w:ascii="Times New Roman" w:hAnsi="Times New Roman" w:eastAsia="仿宋_GB2312" w:cs="Times New Roman"/>
          <w:sz w:val="32"/>
          <w:szCs w:val="32"/>
        </w:rPr>
        <w:t>施“秸秆变肉”工程，鼓励养殖大户购置秸秆饲料机械，发展标准化青贮、黄贮，支持龙头企业发展规模化秸秆饲料加工项目。以</w:t>
      </w:r>
      <w:r>
        <w:rPr>
          <w:rFonts w:hint="default" w:ascii="Times New Roman" w:hAnsi="Times New Roman" w:eastAsia="仿宋_GB2312" w:cs="Times New Roman"/>
          <w:sz w:val="32"/>
          <w:szCs w:val="32"/>
          <w:lang w:val="zh-CN"/>
        </w:rPr>
        <w:t>五棵树、大坡黄牛全程绿色标准化生产示范基地建设</w:t>
      </w:r>
      <w:r>
        <w:rPr>
          <w:rFonts w:hint="default" w:ascii="Times New Roman" w:hAnsi="Times New Roman" w:eastAsia="仿宋_GB2312" w:cs="Times New Roman"/>
          <w:sz w:val="32"/>
          <w:szCs w:val="32"/>
        </w:rPr>
        <w:t>为样板，全力推动“三个五”工程</w:t>
      </w:r>
      <w:r>
        <w:rPr>
          <w:rFonts w:hint="default" w:ascii="Times New Roman" w:hAnsi="Times New Roman" w:eastAsia="仿宋_GB2312" w:cs="Times New Roman"/>
          <w:sz w:val="32"/>
          <w:szCs w:val="32"/>
          <w:lang w:val="zh-CN"/>
        </w:rPr>
        <w:t>：到2025年，发展</w:t>
      </w:r>
      <w:r>
        <w:rPr>
          <w:rFonts w:hint="default" w:ascii="Times New Roman" w:hAnsi="Times New Roman" w:eastAsia="仿宋_GB2312" w:cs="Times New Roman"/>
          <w:sz w:val="32"/>
          <w:szCs w:val="32"/>
        </w:rPr>
        <w:t>5个乡镇</w:t>
      </w:r>
      <w:r>
        <w:rPr>
          <w:rFonts w:hint="default" w:ascii="Times New Roman" w:hAnsi="Times New Roman" w:eastAsia="仿宋_GB2312" w:cs="Times New Roman"/>
          <w:sz w:val="32"/>
          <w:szCs w:val="32"/>
          <w:lang w:val="zh-CN"/>
        </w:rPr>
        <w:t>50个一品养牛村，全市肉牛</w:t>
      </w:r>
      <w:r>
        <w:rPr>
          <w:rFonts w:hint="default" w:ascii="Times New Roman" w:hAnsi="Times New Roman" w:eastAsia="仿宋_GB2312" w:cs="Times New Roman"/>
          <w:sz w:val="32"/>
          <w:szCs w:val="32"/>
        </w:rPr>
        <w:t>年发展</w:t>
      </w:r>
      <w:r>
        <w:rPr>
          <w:rFonts w:hint="default" w:ascii="Times New Roman" w:hAnsi="Times New Roman" w:eastAsia="仿宋_GB2312" w:cs="Times New Roman"/>
          <w:sz w:val="32"/>
          <w:szCs w:val="32"/>
          <w:lang w:val="zh-CN"/>
        </w:rPr>
        <w:t>达到50万头。</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推进一二三产深度融合。</w:t>
      </w:r>
      <w:r>
        <w:rPr>
          <w:rFonts w:hint="default" w:ascii="Times New Roman" w:hAnsi="Times New Roman" w:eastAsia="仿宋_GB2312" w:cs="Times New Roman"/>
          <w:sz w:val="32"/>
          <w:szCs w:val="32"/>
        </w:rPr>
        <w:t>围绕肉鸡、肉牛、生猪、玉米、稻米等重点板块及玉米化工等重点产业，以发展精深农产品加工为方向，以延长产业链为路径，以提高产品附加值为目标，谋划一批科技含量高、带动能力强的高端农产品加工项目。积极发展休闲农业、乡村旅游、农村电商等新业态，扶持一批龙头企业和成长型企业，推动“粮经饲”统筹、农林牧渔结合、种养加一体，全力打造全省三产融合样板区。</w:t>
      </w:r>
    </w:p>
    <w:p>
      <w:pPr>
        <w:pStyle w:val="10"/>
        <w:ind w:firstLine="640" w:firstLineChars="0"/>
        <w:jc w:val="center"/>
        <w:outlineLvl w:val="2"/>
        <w:rPr>
          <w:rFonts w:hint="default" w:ascii="Times New Roman" w:hAnsi="Times New Roman" w:eastAsia="仿宋_GB2312" w:cs="Times New Roman"/>
          <w:b/>
          <w:bCs/>
          <w:sz w:val="32"/>
          <w:szCs w:val="32"/>
        </w:rPr>
      </w:pPr>
      <w:bookmarkStart w:id="171" w:name="_Toc17152"/>
      <w:bookmarkStart w:id="172" w:name="_Toc4426"/>
      <w:r>
        <w:rPr>
          <w:rFonts w:hint="default" w:ascii="Times New Roman" w:hAnsi="Times New Roman" w:eastAsia="楷体_GB2312" w:cs="Times New Roman"/>
          <w:b/>
          <w:bCs/>
          <w:sz w:val="32"/>
          <w:szCs w:val="32"/>
        </w:rPr>
        <w:t>第三节</w:t>
      </w:r>
      <w:bookmarkStart w:id="173" w:name="_Toc2429"/>
      <w:bookmarkStart w:id="174" w:name="_Toc29043"/>
      <w:r>
        <w:rPr>
          <w:rFonts w:hint="default" w:ascii="Times New Roman" w:hAnsi="Times New Roman" w:eastAsia="楷体_GB2312" w:cs="Times New Roman"/>
          <w:b/>
          <w:bCs/>
          <w:sz w:val="32"/>
          <w:szCs w:val="32"/>
        </w:rPr>
        <w:t xml:space="preserve">  优化提升现代农业经营体系</w:t>
      </w:r>
      <w:bookmarkEnd w:id="171"/>
      <w:bookmarkEnd w:id="172"/>
    </w:p>
    <w:bookmarkEnd w:id="173"/>
    <w:bookmarkEnd w:id="174"/>
    <w:p>
      <w:pPr>
        <w:ind w:right="72" w:rightChars="24"/>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rPr>
        <w:t>培育新型农业经营主体。</w:t>
      </w:r>
      <w:r>
        <w:rPr>
          <w:rFonts w:hint="default" w:ascii="Times New Roman" w:hAnsi="Times New Roman" w:eastAsia="仿宋_GB2312" w:cs="Times New Roman"/>
          <w:sz w:val="32"/>
          <w:szCs w:val="32"/>
        </w:rPr>
        <w:t>坚持适度规模经营，连片发展、合作发展，发挥从事粮食生产的种粮大户、家庭农场、农民合作社等经营主体的带动作用。鼓励创建以农机化为主导的专业合作社和联合社，构建利益共同体。持续加大新型职业农民培训力度，每年培训新型职业农民</w:t>
      </w:r>
      <w:r>
        <w:rPr>
          <w:rFonts w:hint="default" w:ascii="Times New Roman" w:hAnsi="Times New Roman" w:eastAsia="仿宋_GB2312" w:cs="Times New Roman"/>
          <w:sz w:val="32"/>
          <w:szCs w:val="32"/>
          <w:u w:val="none"/>
        </w:rPr>
        <w:t>1000人以上</w:t>
      </w:r>
      <w:r>
        <w:rPr>
          <w:rFonts w:hint="default" w:ascii="Times New Roman" w:hAnsi="Times New Roman" w:eastAsia="仿宋_GB2312" w:cs="Times New Roman"/>
          <w:sz w:val="32"/>
          <w:szCs w:val="32"/>
        </w:rPr>
        <w:t>。</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zh-CN"/>
        </w:rPr>
        <w:t>健全现代农业生产服务体系。</w:t>
      </w:r>
      <w:r>
        <w:rPr>
          <w:rFonts w:hint="default" w:ascii="Times New Roman" w:hAnsi="Times New Roman" w:eastAsia="仿宋_GB2312" w:cs="Times New Roman"/>
          <w:sz w:val="32"/>
          <w:szCs w:val="32"/>
        </w:rPr>
        <w:t>完善</w:t>
      </w:r>
      <w:r>
        <w:rPr>
          <w:rFonts w:hint="default" w:ascii="Times New Roman" w:hAnsi="Times New Roman" w:eastAsia="仿宋_GB2312" w:cs="Times New Roman"/>
          <w:sz w:val="32"/>
          <w:szCs w:val="32"/>
          <w:lang w:val="zh-CN"/>
        </w:rPr>
        <w:t>农业科技推广服务体系，强化农业科技创新的助推器作用，以科技创新推动农业结构优化升级。完善社会化服务体系，以专业农户为主要</w:t>
      </w:r>
      <w:r>
        <w:rPr>
          <w:rFonts w:hint="default" w:ascii="Times New Roman" w:hAnsi="Times New Roman" w:eastAsia="仿宋_GB2312" w:cs="Times New Roman"/>
          <w:sz w:val="32"/>
          <w:szCs w:val="32"/>
        </w:rPr>
        <w:t>服务对象，以新型农业经营主体为重点扶持对象，通过机制创新、主体培育、领域拓展，促进农业社会化服务全面快速发展。完善农业信息化服务体系，实施“互联网+农业”行动计划，建立县级农业互联网信息服务平台，大力推进信息技术农业生产经营决策中的应用，提高农业信息化水平。</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大力发展品牌农业。</w:t>
      </w:r>
      <w:r>
        <w:rPr>
          <w:rFonts w:hint="default" w:ascii="Times New Roman" w:hAnsi="Times New Roman" w:eastAsia="仿宋_GB2312" w:cs="Times New Roman"/>
          <w:sz w:val="32"/>
          <w:szCs w:val="32"/>
        </w:rPr>
        <w:t>提升榆树玉米、大米、农特产品“三金”名片知名度。打造榆树玉米“黄金”品牌，借助中国好粮油区域公用品牌优势，继续提升玉米主产区影响力。打造榆树大米“白金”品牌，探索实行统一包装、统一标识，采取精准的宣传方式，进一步提高吉裕牌、乾蕴牌、碧江雪玉牌等榆树品牌大米的宣传效果。打造榆树农特产品“纯金”品牌，对区域特色农产品采用绿色、生态、安全的生产方式，加强绿色食品、有机农产品、农产品地理标志的论证与监管，持续加大推介力度，真正打响榆树牌、拓宽销售路、提高附加值，使之成为促进农业增效、农民增收的重要途径。</w:t>
      </w:r>
    </w:p>
    <w:p>
      <w:pPr>
        <w:spacing w:before="206" w:beforeLines="50" w:after="206" w:afterLines="50" w:line="360" w:lineRule="auto"/>
        <w:ind w:right="72" w:rightChars="24"/>
        <w:jc w:val="center"/>
        <w:outlineLvl w:val="1"/>
        <w:rPr>
          <w:rFonts w:hint="default" w:ascii="Times New Roman" w:hAnsi="Times New Roman" w:eastAsia="仿宋_GB2312" w:cs="Times New Roman"/>
          <w:sz w:val="32"/>
          <w:szCs w:val="32"/>
        </w:rPr>
      </w:pPr>
      <w:bookmarkStart w:id="175" w:name="_Toc8158"/>
      <w:bookmarkStart w:id="176" w:name="_Toc16834"/>
      <w:r>
        <w:rPr>
          <w:rFonts w:hint="default" w:ascii="Times New Roman" w:hAnsi="Times New Roman" w:eastAsia="仿宋_GB2312" w:cs="Times New Roman"/>
          <w:b/>
          <w:bCs/>
          <w:sz w:val="32"/>
          <w:szCs w:val="32"/>
        </w:rPr>
        <w:t>第八章</w:t>
      </w:r>
      <w:bookmarkStart w:id="177" w:name="_Toc20644"/>
      <w:bookmarkStart w:id="178" w:name="_Toc18964"/>
      <w:r>
        <w:rPr>
          <w:rFonts w:hint="default" w:ascii="Times New Roman" w:hAnsi="Times New Roman" w:eastAsia="仿宋_GB2312" w:cs="Times New Roman"/>
          <w:b/>
          <w:bCs/>
          <w:sz w:val="32"/>
          <w:szCs w:val="32"/>
        </w:rPr>
        <w:t xml:space="preserve">  深入实施乡村振兴战略</w:t>
      </w:r>
      <w:bookmarkEnd w:id="175"/>
      <w:bookmarkEnd w:id="17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w:t>
      </w:r>
      <w:bookmarkEnd w:id="177"/>
      <w:bookmarkEnd w:id="178"/>
      <w:r>
        <w:rPr>
          <w:rFonts w:hint="default" w:ascii="Times New Roman" w:hAnsi="Times New Roman" w:eastAsia="仿宋_GB2312" w:cs="Times New Roman"/>
          <w:sz w:val="32"/>
          <w:szCs w:val="32"/>
        </w:rPr>
        <w:t>快推进全省乡村振兴新动能培育试验区建设，着眼绿起来、美起来、富起来，全力打造产业支撑、绿色发展、生态宜居的美丽乡村。</w:t>
      </w:r>
    </w:p>
    <w:p>
      <w:pPr>
        <w:pStyle w:val="10"/>
        <w:ind w:firstLine="640" w:firstLineChars="0"/>
        <w:jc w:val="center"/>
        <w:outlineLvl w:val="2"/>
        <w:rPr>
          <w:rFonts w:hint="default" w:ascii="Times New Roman" w:hAnsi="Times New Roman" w:eastAsia="仿宋_GB2312" w:cs="Times New Roman"/>
          <w:b/>
          <w:bCs/>
          <w:sz w:val="32"/>
          <w:szCs w:val="32"/>
        </w:rPr>
      </w:pPr>
      <w:bookmarkStart w:id="179" w:name="_Toc16145"/>
      <w:bookmarkStart w:id="180" w:name="_Toc18483"/>
      <w:r>
        <w:rPr>
          <w:rFonts w:hint="default" w:ascii="Times New Roman" w:hAnsi="Times New Roman" w:eastAsia="楷体_GB2312" w:cs="Times New Roman"/>
          <w:b/>
          <w:bCs/>
          <w:sz w:val="32"/>
          <w:szCs w:val="32"/>
        </w:rPr>
        <w:t>第一节</w:t>
      </w:r>
      <w:bookmarkStart w:id="181" w:name="_Toc6127"/>
      <w:bookmarkStart w:id="182" w:name="_Toc9804"/>
      <w:r>
        <w:rPr>
          <w:rFonts w:hint="default" w:ascii="Times New Roman" w:hAnsi="Times New Roman" w:eastAsia="楷体_GB2312" w:cs="Times New Roman"/>
          <w:b/>
          <w:bCs/>
          <w:sz w:val="32"/>
          <w:szCs w:val="32"/>
        </w:rPr>
        <w:t xml:space="preserve">  深化农村“三变”改革</w:t>
      </w:r>
      <w:bookmarkEnd w:id="179"/>
      <w:bookmarkEnd w:id="18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bookmarkEnd w:id="181"/>
      <w:bookmarkEnd w:id="182"/>
      <w:r>
        <w:rPr>
          <w:rFonts w:hint="default" w:ascii="Times New Roman" w:hAnsi="Times New Roman" w:eastAsia="仿宋_GB2312" w:cs="Times New Roman"/>
          <w:sz w:val="32"/>
          <w:szCs w:val="32"/>
        </w:rPr>
        <w:t>资源变资产、资金变股金、农民变股东，推进农村集体产权制度改革，探索宅基地改革，激活农民内生动力，盘活农村土地资源，明晰选择经营性资产归属，探索股份量化到集体经济组织成员的操作方法。探索完善集体资产股份抵押担保办法，合理开发利用资源。鼓励村集体和农民以土地、资产、资金、技术、劳动力等要素形式入股到经营主体或工商企业合作经营，发展多种形式的股份合作。</w:t>
      </w:r>
    </w:p>
    <w:p>
      <w:pPr>
        <w:pStyle w:val="10"/>
        <w:ind w:firstLine="640" w:firstLineChars="0"/>
        <w:jc w:val="center"/>
        <w:outlineLvl w:val="2"/>
        <w:rPr>
          <w:rFonts w:hint="default" w:ascii="Times New Roman" w:hAnsi="Times New Roman" w:eastAsia="仿宋_GB2312" w:cs="Times New Roman"/>
          <w:b/>
          <w:bCs/>
          <w:sz w:val="32"/>
          <w:szCs w:val="32"/>
        </w:rPr>
      </w:pPr>
      <w:bookmarkStart w:id="183" w:name="_Toc11379"/>
      <w:bookmarkStart w:id="184" w:name="_Toc28438"/>
      <w:r>
        <w:rPr>
          <w:rFonts w:hint="default" w:ascii="Times New Roman" w:hAnsi="Times New Roman" w:eastAsia="楷体_GB2312" w:cs="Times New Roman"/>
          <w:b/>
          <w:bCs/>
          <w:sz w:val="32"/>
          <w:szCs w:val="32"/>
        </w:rPr>
        <w:t>第二节</w:t>
      </w:r>
      <w:bookmarkStart w:id="185" w:name="_Toc3118"/>
      <w:bookmarkStart w:id="186" w:name="_Toc1942"/>
      <w:r>
        <w:rPr>
          <w:rFonts w:hint="default" w:ascii="Times New Roman" w:hAnsi="Times New Roman" w:eastAsia="楷体_GB2312" w:cs="Times New Roman"/>
          <w:b/>
          <w:bCs/>
          <w:sz w:val="32"/>
          <w:szCs w:val="32"/>
        </w:rPr>
        <w:t xml:space="preserve">  实施乡村建设行动</w:t>
      </w:r>
      <w:bookmarkEnd w:id="183"/>
      <w:bookmarkEnd w:id="18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w:t>
      </w:r>
      <w:bookmarkEnd w:id="185"/>
      <w:bookmarkEnd w:id="186"/>
      <w:r>
        <w:rPr>
          <w:rFonts w:hint="default" w:ascii="Times New Roman" w:hAnsi="Times New Roman" w:eastAsia="仿宋_GB2312" w:cs="Times New Roman"/>
          <w:sz w:val="32"/>
          <w:szCs w:val="32"/>
        </w:rPr>
        <w:t>村屯绿化美化和农村人居环境整治提升。重点实施街道植绿城市化、路边植绿林荫化、庭院植绿花园化、广场植绿景观化、路肩植绿草坪化的“绿色五化”工程。主要落实“四项”乡村绿化任务，按时限要求，分别完成绿化精品示范屯、绿化乡镇政府及原所在地街道、绿化街道全覆盖重点示范屯、绿化一般村屯道路任务。围绕榆松、舒陶、黑大、五通国省干道和主城周边，打造生态景观村，带动美丽乡村环境整体跃升。重点开展农村人居环境整治三年提升工程，深入开展村庄清洁行动，开展美丽庭院、干净人家创建、公共空间和残垣断壁清理等活动。扎实推进农村厕所革命，统筹推进农村生活垃圾污水治理及收转运体系建设。加快推进农村路、水、电、讯等基础设施建设，补齐乡村建设短板。</w:t>
      </w:r>
    </w:p>
    <w:p>
      <w:pPr>
        <w:pStyle w:val="10"/>
        <w:ind w:firstLine="640" w:firstLineChars="0"/>
        <w:jc w:val="center"/>
        <w:outlineLvl w:val="2"/>
        <w:rPr>
          <w:rFonts w:hint="default" w:ascii="Times New Roman" w:hAnsi="Times New Roman" w:eastAsia="楷体_GB2312" w:cs="Times New Roman"/>
          <w:b/>
          <w:bCs/>
          <w:sz w:val="32"/>
          <w:szCs w:val="32"/>
        </w:rPr>
      </w:pPr>
      <w:bookmarkStart w:id="187" w:name="_Toc17590"/>
      <w:bookmarkStart w:id="188" w:name="_Toc16398"/>
      <w:r>
        <w:rPr>
          <w:rFonts w:hint="default" w:ascii="Times New Roman" w:hAnsi="Times New Roman" w:eastAsia="楷体_GB2312" w:cs="Times New Roman"/>
          <w:b/>
          <w:bCs/>
          <w:sz w:val="32"/>
          <w:szCs w:val="32"/>
        </w:rPr>
        <w:t>第三节</w:t>
      </w:r>
      <w:bookmarkStart w:id="189" w:name="_Toc10818"/>
      <w:bookmarkStart w:id="190" w:name="_Toc11623"/>
      <w:r>
        <w:rPr>
          <w:rFonts w:hint="default" w:ascii="Times New Roman" w:hAnsi="Times New Roman" w:eastAsia="楷体_GB2312" w:cs="Times New Roman"/>
          <w:b/>
          <w:bCs/>
          <w:sz w:val="32"/>
          <w:szCs w:val="32"/>
        </w:rPr>
        <w:t xml:space="preserve">  培育发展乡村特色产业</w:t>
      </w:r>
      <w:bookmarkEnd w:id="187"/>
      <w:bookmarkEnd w:id="18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以榆</w:t>
      </w:r>
      <w:bookmarkEnd w:id="189"/>
      <w:bookmarkEnd w:id="190"/>
      <w:r>
        <w:rPr>
          <w:rFonts w:hint="default" w:ascii="Times New Roman" w:hAnsi="Times New Roman" w:eastAsia="仿宋_GB2312" w:cs="Times New Roman"/>
          <w:sz w:val="32"/>
          <w:szCs w:val="32"/>
        </w:rPr>
        <w:t>陶公路为主轴，以现代化养殖场、各类农业示范基地、农民合作组织、农产品加工企业为依托，打造三产融合示范带。重点发展肉葫芦、林果、食用菌、珠葱圆葱、花卉、“两瓜”、烤烟、鲜食玉米、爆裂玉米等特色种植业，以点带面，逐步形成由“一村一品”到“一乡一品”、“一乡多品”的特色产业格局。到2025年，全市特色经济作物面积发展到59万亩，特色产业村发展到20个。</w:t>
      </w:r>
    </w:p>
    <w:p>
      <w:pPr>
        <w:pStyle w:val="10"/>
        <w:ind w:firstLine="640" w:firstLineChars="0"/>
        <w:jc w:val="center"/>
        <w:outlineLvl w:val="2"/>
        <w:rPr>
          <w:rFonts w:hint="default" w:ascii="Times New Roman" w:hAnsi="Times New Roman" w:eastAsia="仿宋_GB2312" w:cs="Times New Roman"/>
          <w:b/>
          <w:bCs/>
          <w:sz w:val="32"/>
          <w:szCs w:val="32"/>
          <w:lang w:val="zh-TW"/>
        </w:rPr>
      </w:pPr>
      <w:bookmarkStart w:id="191" w:name="_Toc3815"/>
      <w:bookmarkStart w:id="192" w:name="_Toc10022"/>
      <w:r>
        <w:rPr>
          <w:rFonts w:hint="default" w:ascii="Times New Roman" w:hAnsi="Times New Roman" w:eastAsia="楷体_GB2312" w:cs="Times New Roman"/>
          <w:b/>
          <w:bCs/>
          <w:sz w:val="32"/>
          <w:szCs w:val="32"/>
        </w:rPr>
        <w:t>第四节</w:t>
      </w:r>
      <w:bookmarkStart w:id="193" w:name="_Toc31440"/>
      <w:bookmarkStart w:id="194" w:name="_Toc8743"/>
      <w:r>
        <w:rPr>
          <w:rFonts w:hint="default" w:ascii="Times New Roman" w:hAnsi="Times New Roman" w:eastAsia="楷体_GB2312" w:cs="Times New Roman"/>
          <w:b/>
          <w:bCs/>
          <w:sz w:val="32"/>
          <w:szCs w:val="32"/>
        </w:rPr>
        <w:t xml:space="preserve">  持续巩固</w:t>
      </w:r>
      <w:r>
        <w:rPr>
          <w:rFonts w:hint="default" w:ascii="Times New Roman" w:hAnsi="Times New Roman" w:eastAsia="楷体_GB2312" w:cs="Times New Roman"/>
          <w:b/>
          <w:bCs/>
          <w:sz w:val="32"/>
          <w:szCs w:val="32"/>
          <w:lang w:val="zh-TW"/>
        </w:rPr>
        <w:t>脱贫攻坚</w:t>
      </w:r>
      <w:r>
        <w:rPr>
          <w:rFonts w:hint="default" w:ascii="Times New Roman" w:hAnsi="Times New Roman" w:eastAsia="楷体_GB2312" w:cs="Times New Roman"/>
          <w:b/>
          <w:bCs/>
          <w:sz w:val="32"/>
          <w:szCs w:val="32"/>
        </w:rPr>
        <w:t>成果</w:t>
      </w:r>
      <w:bookmarkEnd w:id="191"/>
      <w:bookmarkEnd w:id="192"/>
    </w:p>
    <w:p>
      <w:pPr>
        <w:keepNext w:val="0"/>
        <w:keepLines w:val="0"/>
        <w:pageBreakBefore w:val="0"/>
        <w:widowControl w:val="0"/>
        <w:kinsoku/>
        <w:wordWrap/>
        <w:overflowPunct/>
        <w:topLinePunct w:val="0"/>
        <w:autoSpaceDE/>
        <w:autoSpaceDN/>
        <w:bidi w:val="0"/>
        <w:adjustRightInd/>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w:t>
      </w:r>
      <w:bookmarkEnd w:id="193"/>
      <w:bookmarkEnd w:id="194"/>
      <w:r>
        <w:rPr>
          <w:rFonts w:hint="default" w:ascii="Times New Roman" w:hAnsi="Times New Roman" w:eastAsia="仿宋_GB2312" w:cs="Times New Roman"/>
          <w:sz w:val="32"/>
          <w:szCs w:val="32"/>
        </w:rPr>
        <w:t>脱贫攻坚与乡村振兴有效衔接和做好协同推进，巩固脱贫攻坚成果，做到摘帽不摘责任、不摘政策、不摘帮扶、不摘监管，培育长效脱贫机制，推动乡村全面振兴。做好事前预防，动态管理监测对象，提前发现并识别存在返贫致贫风险的人口，采取针对性帮扶措施。针对出现返贫和新致贫的监测对象，因人因户精准施策，采取产业帮扶、就业帮扶、综合保障、扶志扶智等帮扶措施，确保帮扶效果。强化勤劳致富导向，注重培养贫困群众和监测对象艰苦奋斗意识，加强培训引导，培育自我发展能力，提升脱贫增收本领。</w:t>
      </w:r>
    </w:p>
    <w:p>
      <w:pPr>
        <w:pStyle w:val="10"/>
        <w:keepNext w:val="0"/>
        <w:keepLines w:val="0"/>
        <w:pageBreakBefore w:val="0"/>
        <w:widowControl w:val="0"/>
        <w:kinsoku/>
        <w:wordWrap/>
        <w:overflowPunct/>
        <w:topLinePunct w:val="0"/>
        <w:autoSpaceDE/>
        <w:autoSpaceDN/>
        <w:bidi w:val="0"/>
        <w:adjustRightInd/>
        <w:snapToGrid w:val="0"/>
        <w:spacing w:line="580" w:lineRule="exact"/>
        <w:ind w:firstLine="640" w:firstLineChars="0"/>
        <w:jc w:val="center"/>
        <w:textAlignment w:val="auto"/>
        <w:outlineLvl w:val="2"/>
        <w:rPr>
          <w:rFonts w:hint="default" w:ascii="Times New Roman" w:hAnsi="Times New Roman" w:eastAsia="楷体_GB2312" w:cs="Times New Roman"/>
          <w:b/>
          <w:bCs/>
          <w:sz w:val="32"/>
          <w:szCs w:val="32"/>
        </w:rPr>
      </w:pPr>
      <w:bookmarkStart w:id="195" w:name="_Toc20312"/>
      <w:bookmarkStart w:id="196" w:name="_Toc28305"/>
      <w:r>
        <w:rPr>
          <w:rFonts w:hint="default" w:ascii="Times New Roman" w:hAnsi="Times New Roman" w:eastAsia="楷体_GB2312" w:cs="Times New Roman"/>
          <w:b/>
          <w:bCs/>
          <w:sz w:val="32"/>
          <w:szCs w:val="32"/>
        </w:rPr>
        <w:t>第五节</w:t>
      </w:r>
      <w:bookmarkStart w:id="197" w:name="_Toc16968"/>
      <w:bookmarkStart w:id="198" w:name="_Toc748"/>
      <w:r>
        <w:rPr>
          <w:rFonts w:hint="default" w:ascii="Times New Roman" w:hAnsi="Times New Roman" w:eastAsia="楷体_GB2312" w:cs="Times New Roman"/>
          <w:b/>
          <w:bCs/>
          <w:sz w:val="32"/>
          <w:szCs w:val="32"/>
        </w:rPr>
        <w:t xml:space="preserve">  加快发展智慧农业</w:t>
      </w:r>
      <w:bookmarkEnd w:id="195"/>
      <w:bookmarkEnd w:id="196"/>
    </w:p>
    <w:p>
      <w:pPr>
        <w:keepNext w:val="0"/>
        <w:keepLines w:val="0"/>
        <w:pageBreakBefore w:val="0"/>
        <w:widowControl w:val="0"/>
        <w:kinsoku/>
        <w:wordWrap/>
        <w:overflowPunct/>
        <w:topLinePunct w:val="0"/>
        <w:autoSpaceDE/>
        <w:autoSpaceDN/>
        <w:bidi w:val="0"/>
        <w:adjustRightInd/>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加强</w:t>
      </w:r>
      <w:bookmarkEnd w:id="197"/>
      <w:bookmarkEnd w:id="198"/>
      <w:r>
        <w:rPr>
          <w:rFonts w:hint="default" w:ascii="Times New Roman" w:hAnsi="Times New Roman" w:eastAsia="仿宋_GB2312" w:cs="Times New Roman"/>
          <w:b/>
          <w:sz w:val="32"/>
          <w:szCs w:val="32"/>
        </w:rPr>
        <w:t>农村信息化基础设施建设。</w:t>
      </w:r>
      <w:r>
        <w:rPr>
          <w:rFonts w:hint="default" w:ascii="Times New Roman" w:hAnsi="Times New Roman" w:eastAsia="仿宋_GB2312" w:cs="Times New Roman"/>
          <w:sz w:val="32"/>
          <w:szCs w:val="32"/>
        </w:rPr>
        <w:t>推进农机作业管理信息化，深入实施信息进村入户工程，充分发挥388个村级益农信息社作用，推进农业生产数据化应用和数字技术在农产品领域应用，加强农产品质量安全在线追溯、监管、监测、评估和执法工作，重点推进秀水镇榆树模式智慧型田园综合体项目建设。</w:t>
      </w:r>
    </w:p>
    <w:p>
      <w:pPr>
        <w:keepNext w:val="0"/>
        <w:keepLines w:val="0"/>
        <w:pageBreakBefore w:val="0"/>
        <w:widowControl w:val="0"/>
        <w:kinsoku/>
        <w:wordWrap/>
        <w:overflowPunct/>
        <w:topLinePunct w:val="0"/>
        <w:autoSpaceDE/>
        <w:autoSpaceDN/>
        <w:bidi w:val="0"/>
        <w:adjustRightInd/>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加快智慧农业（玉米）示范基地建设。</w:t>
      </w:r>
      <w:r>
        <w:rPr>
          <w:rFonts w:hint="default" w:ascii="Times New Roman" w:hAnsi="Times New Roman" w:eastAsia="仿宋_GB2312" w:cs="Times New Roman"/>
          <w:sz w:val="32"/>
          <w:szCs w:val="32"/>
        </w:rPr>
        <w:t>在五棵树广隆村建设智慧农业示范基地，以水肥一体化滴灌技术为主要方式，按照玉米生长需求滴灌水肥，提高水肥的利用率。建设智能化控制室、参观平台、观摩通道及水肥一体化滴灌设施。到2025年，智慧农业示范基地发展到2300亩，打造全国智慧农业样板。</w:t>
      </w:r>
    </w:p>
    <w:p>
      <w:pPr>
        <w:keepNext w:val="0"/>
        <w:keepLines w:val="0"/>
        <w:pageBreakBefore w:val="0"/>
        <w:widowControl w:val="0"/>
        <w:kinsoku/>
        <w:wordWrap/>
        <w:overflowPunct/>
        <w:topLinePunct w:val="0"/>
        <w:autoSpaceDE/>
        <w:autoSpaceDN/>
        <w:bidi w:val="0"/>
        <w:adjustRightInd/>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推进数字农业（水稻）示范基地建设。</w:t>
      </w:r>
      <w:r>
        <w:rPr>
          <w:rFonts w:hint="default" w:ascii="Times New Roman" w:hAnsi="Times New Roman" w:eastAsia="仿宋_GB2312" w:cs="Times New Roman"/>
          <w:sz w:val="32"/>
          <w:szCs w:val="32"/>
        </w:rPr>
        <w:t>在秀水镇治江村建设现代化水稻种植与休闲观光相结合的示范基地，在延和乡建设集自动喷灌、生产过程全程溯源、全程可视等功能于一体的智慧控制室、玻璃观光廊道和木质观光栈道，发挥现代农业展示和休闲观光功能。</w:t>
      </w:r>
    </w:p>
    <w:p>
      <w:pPr>
        <w:keepNext w:val="0"/>
        <w:keepLines w:val="0"/>
        <w:pageBreakBefore w:val="0"/>
        <w:widowControl w:val="0"/>
        <w:kinsoku/>
        <w:wordWrap/>
        <w:overflowPunct/>
        <w:topLinePunct w:val="0"/>
        <w:autoSpaceDE/>
        <w:autoSpaceDN/>
        <w:bidi w:val="0"/>
        <w:adjustRightInd/>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推动“互联网+农业”应用进程。</w:t>
      </w:r>
      <w:r>
        <w:rPr>
          <w:rFonts w:hint="default" w:ascii="Times New Roman" w:hAnsi="Times New Roman" w:eastAsia="仿宋_GB2312" w:cs="Times New Roman"/>
          <w:sz w:val="32"/>
          <w:szCs w:val="32"/>
        </w:rPr>
        <w:t>谋划建设集农产品溯源、科技推广、优质农产品展示、优秀农产品企业推介、电子商务等功能于一体的特色农产品的线上平台。到2025年，农业技术推广服务网络数字化实现全覆盖。</w:t>
      </w:r>
    </w:p>
    <w:p>
      <w:pPr>
        <w:pStyle w:val="2"/>
        <w:rPr>
          <w:rFonts w:hint="default" w:ascii="Times New Roman" w:hAnsi="Times New Roman" w:eastAsia="仿宋_GB2312" w:cs="Times New Roman"/>
          <w:sz w:val="32"/>
          <w:szCs w:val="32"/>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92D050"/>
            <w:noWrap w:val="0"/>
            <w:vAlign w:val="center"/>
          </w:tcPr>
          <w:p>
            <w:pPr>
              <w:ind w:right="72" w:rightChars="24"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专栏1：农业农村重点项目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ind w:right="72" w:rightChars="24" w:firstLine="0"/>
              <w:rPr>
                <w:rFonts w:hint="default"/>
              </w:rPr>
            </w:pPr>
            <w:r>
              <w:rPr>
                <w:rFonts w:hint="default"/>
              </w:rPr>
              <w:t>1.榆树市黑土地保护项目：总投资57.5亿元，分5年连续实施，保护面积160万亩，建设内容：一是秸秆全量翻压还田；二是增施优质农家肥、有机肥；三是粮豆轮作。</w:t>
            </w:r>
          </w:p>
          <w:p>
            <w:pPr>
              <w:ind w:right="72" w:rightChars="24" w:firstLine="0"/>
              <w:rPr>
                <w:rFonts w:hint="default"/>
              </w:rPr>
            </w:pPr>
            <w:r>
              <w:rPr>
                <w:rFonts w:hint="default"/>
              </w:rPr>
              <w:t>2.榆树市引松济卡工程：总投资11.7亿元，分为引水工程和灌区工程两部分，其中引水工程包含取水口及引水渠道，灌区工程分为骨干工程和田间工程。</w:t>
            </w:r>
          </w:p>
          <w:p>
            <w:pPr>
              <w:ind w:right="72" w:rightChars="24" w:firstLine="0"/>
              <w:rPr>
                <w:rFonts w:hint="default"/>
              </w:rPr>
            </w:pPr>
            <w:r>
              <w:rPr>
                <w:rFonts w:hint="default"/>
              </w:rPr>
              <w:t>3.大中型灌区续建配套及现代化改造项目：总投资4亿元，对10座大中型水库灌区进行改造，完成新建、改造渠首及渠系建筑物249座。</w:t>
            </w:r>
          </w:p>
          <w:p>
            <w:pPr>
              <w:ind w:right="72" w:rightChars="24" w:firstLine="0"/>
              <w:rPr>
                <w:rFonts w:hint="default"/>
              </w:rPr>
            </w:pPr>
            <w:r>
              <w:rPr>
                <w:rFonts w:hint="default"/>
              </w:rPr>
              <w:t>4.移民工程：对库区移民发放补助资金，对移民村基础设施和生态环境及美丽移民村建设等。</w:t>
            </w:r>
          </w:p>
          <w:p>
            <w:pPr>
              <w:ind w:right="72" w:rightChars="24" w:firstLine="0"/>
              <w:rPr>
                <w:rFonts w:hint="default"/>
              </w:rPr>
            </w:pPr>
            <w:r>
              <w:rPr>
                <w:rFonts w:hint="default"/>
              </w:rPr>
              <w:t>5.榆树市高标准农田建设项目：总投资15亿元，积极推进田、林、水、电、路等基础设施建设，分5年连续实施，每年计划建设20万亩，到2025年全市高标准农田总面积达到300万亩。</w:t>
            </w:r>
          </w:p>
          <w:p>
            <w:pPr>
              <w:ind w:right="72" w:rightChars="24" w:firstLine="0"/>
              <w:rPr>
                <w:rFonts w:hint="default"/>
              </w:rPr>
            </w:pPr>
            <w:r>
              <w:rPr>
                <w:rFonts w:hint="default"/>
              </w:rPr>
              <w:t>6.棚膜蔬菜发展项目：总投资2亿元，分5年连续实施，新建设施蔬菜10000亩，年均新建设施蔬菜面积2000亩。2025年，全市设施蔬菜面积达到8万亩。</w:t>
            </w:r>
          </w:p>
          <w:p>
            <w:pPr>
              <w:ind w:right="72" w:rightChars="24" w:firstLine="0"/>
              <w:rPr>
                <w:rFonts w:hint="default"/>
              </w:rPr>
            </w:pPr>
            <w:r>
              <w:rPr>
                <w:rFonts w:hint="default"/>
              </w:rPr>
              <w:t>7.优势特色产业发展项目：总投资2.9亿元，新建温室1000亩，大棚5000亩。</w:t>
            </w:r>
          </w:p>
          <w:p>
            <w:pPr>
              <w:pStyle w:val="2"/>
              <w:ind w:firstLine="0"/>
              <w:rPr>
                <w:rFonts w:hint="default" w:eastAsia="仿宋_GB2312"/>
                <w:lang w:val="en-US" w:eastAsia="zh-CN"/>
              </w:rPr>
            </w:pPr>
            <w:r>
              <w:rPr>
                <w:rFonts w:hint="eastAsia" w:ascii="Times New Roman" w:hAnsi="Times New Roman" w:eastAsia="楷体" w:cs="Times New Roman"/>
                <w:bCs/>
                <w:sz w:val="28"/>
                <w:szCs w:val="28"/>
                <w:lang w:val="en-US" w:eastAsia="zh-CN"/>
              </w:rPr>
              <w:t>8</w:t>
            </w:r>
            <w:r>
              <w:rPr>
                <w:rFonts w:hint="default" w:ascii="Times New Roman" w:hAnsi="Times New Roman" w:eastAsia="仿宋" w:cs="Times New Roman"/>
                <w:bCs w:val="0"/>
                <w:sz w:val="30"/>
                <w:szCs w:val="21"/>
                <w:lang w:val="en-US" w:eastAsia="zh-CN"/>
              </w:rPr>
              <w:t>.</w:t>
            </w:r>
            <w:r>
              <w:rPr>
                <w:rFonts w:hint="default" w:ascii="Times New Roman" w:hAnsi="Times New Roman" w:eastAsia="仿宋" w:cs="Times New Roman"/>
                <w:sz w:val="30"/>
                <w:szCs w:val="21"/>
              </w:rPr>
              <w:t>榆树模式智慧型田园综合体项目</w:t>
            </w:r>
            <w:r>
              <w:rPr>
                <w:rFonts w:hint="default" w:ascii="Times New Roman" w:hAnsi="Times New Roman" w:eastAsia="仿宋" w:cs="Times New Roman"/>
                <w:sz w:val="30"/>
                <w:szCs w:val="21"/>
                <w:lang w:eastAsia="zh-CN"/>
              </w:rPr>
              <w:t>：</w:t>
            </w:r>
            <w:r>
              <w:rPr>
                <w:rFonts w:hint="default" w:ascii="Times New Roman" w:hAnsi="Times New Roman" w:eastAsia="仿宋" w:cs="Times New Roman"/>
                <w:sz w:val="30"/>
                <w:szCs w:val="21"/>
                <w:lang w:val="en-US" w:eastAsia="zh-CN"/>
              </w:rPr>
              <w:t>总投资11</w:t>
            </w:r>
            <w:r>
              <w:rPr>
                <w:rFonts w:hint="eastAsia" w:ascii="Times New Roman" w:hAnsi="Times New Roman" w:eastAsia="仿宋" w:cs="Times New Roman"/>
                <w:sz w:val="30"/>
                <w:szCs w:val="21"/>
                <w:lang w:val="en-US" w:eastAsia="zh-CN"/>
              </w:rPr>
              <w:t>7.</w:t>
            </w:r>
            <w:r>
              <w:rPr>
                <w:rFonts w:hint="default" w:ascii="Times New Roman" w:hAnsi="Times New Roman" w:eastAsia="仿宋" w:cs="Times New Roman"/>
                <w:sz w:val="30"/>
                <w:szCs w:val="21"/>
                <w:lang w:val="en-US" w:eastAsia="zh-CN"/>
              </w:rPr>
              <w:t>8亿元，建设功效健康食品加工区、智慧物流中心、生物质能源及环保中心和生态有机复合肥加工区两区两中心。</w:t>
            </w:r>
          </w:p>
        </w:tc>
      </w:tr>
    </w:tbl>
    <w:p>
      <w:pPr>
        <w:ind w:firstLine="0"/>
        <w:rPr>
          <w:rFonts w:hint="default"/>
        </w:rPr>
      </w:pPr>
    </w:p>
    <w:p>
      <w:pPr>
        <w:pStyle w:val="77"/>
        <w:ind w:firstLine="0" w:firstLineChars="0"/>
        <w:jc w:val="center"/>
        <w:outlineLvl w:val="0"/>
        <w:rPr>
          <w:rFonts w:hint="default" w:ascii="Times New Roman" w:hAnsi="Times New Roman" w:eastAsia="黑体" w:cs="Times New Roman"/>
          <w:b w:val="0"/>
          <w:bCs w:val="0"/>
          <w:color w:val="auto"/>
          <w:sz w:val="32"/>
          <w:szCs w:val="32"/>
        </w:rPr>
      </w:pPr>
      <w:r>
        <w:rPr>
          <w:rFonts w:hint="default" w:ascii="Times New Roman" w:hAnsi="Times New Roman" w:cs="Times New Roman"/>
        </w:rPr>
        <w:br w:type="page"/>
      </w:r>
      <w:bookmarkStart w:id="199" w:name="_Toc28512"/>
      <w:bookmarkStart w:id="200" w:name="_Toc15343"/>
      <w:r>
        <w:rPr>
          <w:rFonts w:hint="default" w:ascii="Times New Roman" w:hAnsi="Times New Roman" w:eastAsia="黑体" w:cs="Times New Roman"/>
          <w:b w:val="0"/>
          <w:bCs w:val="0"/>
          <w:color w:val="auto"/>
          <w:sz w:val="32"/>
          <w:szCs w:val="32"/>
        </w:rPr>
        <w:t>第四篇</w:t>
      </w:r>
      <w:bookmarkStart w:id="201" w:name="_Toc21492"/>
      <w:bookmarkStart w:id="202" w:name="_Toc15607"/>
      <w:r>
        <w:rPr>
          <w:rFonts w:hint="default" w:ascii="Times New Roman" w:hAnsi="Times New Roman" w:eastAsia="黑体" w:cs="Times New Roman"/>
          <w:b w:val="0"/>
          <w:bCs w:val="0"/>
          <w:color w:val="auto"/>
          <w:sz w:val="32"/>
          <w:szCs w:val="32"/>
        </w:rPr>
        <w:t xml:space="preserve">  </w:t>
      </w:r>
      <w:r>
        <w:rPr>
          <w:rFonts w:hint="default" w:ascii="Times New Roman" w:hAnsi="Times New Roman" w:eastAsia="黑体" w:cs="Times New Roman"/>
          <w:color w:val="auto"/>
          <w:sz w:val="32"/>
          <w:szCs w:val="32"/>
        </w:rPr>
        <w:t>加快动力变革  推动</w:t>
      </w:r>
      <w:r>
        <w:rPr>
          <w:rFonts w:hint="default" w:ascii="Times New Roman" w:hAnsi="Times New Roman" w:eastAsia="黑体" w:cs="Times New Roman"/>
          <w:b w:val="0"/>
          <w:bCs w:val="0"/>
          <w:color w:val="auto"/>
          <w:sz w:val="32"/>
          <w:szCs w:val="32"/>
        </w:rPr>
        <w:t>产业转型升级</w:t>
      </w:r>
      <w:bookmarkEnd w:id="199"/>
      <w:bookmarkEnd w:id="200"/>
      <w:r>
        <w:rPr>
          <w:rFonts w:hint="default" w:ascii="Times New Roman" w:hAnsi="Times New Roman" w:eastAsia="黑体" w:cs="Times New Roman"/>
          <w:b w:val="0"/>
          <w:bCs w:val="0"/>
          <w:color w:val="auto"/>
          <w:sz w:val="32"/>
          <w:szCs w:val="32"/>
        </w:rPr>
        <w:t xml:space="preserve">  </w:t>
      </w:r>
    </w:p>
    <w:p>
      <w:pPr>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遵</w:t>
      </w:r>
      <w:bookmarkEnd w:id="201"/>
      <w:bookmarkEnd w:id="202"/>
      <w:r>
        <w:rPr>
          <w:rFonts w:hint="default" w:ascii="Times New Roman" w:hAnsi="Times New Roman" w:eastAsia="仿宋_GB2312" w:cs="Times New Roman"/>
          <w:sz w:val="32"/>
          <w:szCs w:val="32"/>
          <w:lang w:val="zh-CN"/>
        </w:rPr>
        <w:t>循国家产业发展导向，紧紧把握数字经济、健康经济、共享经济、平台经济等趋势，抢抓经济发展新旧动能转换机遇，促进产业集聚发展、集约发展、规模发展，打造一二三产融合发展的现代化经济体系。</w:t>
      </w:r>
    </w:p>
    <w:p>
      <w:pPr>
        <w:spacing w:line="240" w:lineRule="auto"/>
        <w:ind w:right="72" w:rightChars="24"/>
        <w:rPr>
          <w:rFonts w:hint="default" w:ascii="Times New Roman" w:hAnsi="Times New Roman" w:eastAsia="仿宋_GB2312" w:cs="Times New Roman"/>
          <w:sz w:val="32"/>
          <w:szCs w:val="32"/>
          <w:lang w:val="zh-CN"/>
        </w:rPr>
      </w:pPr>
    </w:p>
    <w:p>
      <w:pPr>
        <w:spacing w:line="240" w:lineRule="auto"/>
        <w:ind w:right="72" w:rightChars="24"/>
        <w:jc w:val="center"/>
        <w:outlineLvl w:val="1"/>
        <w:rPr>
          <w:rFonts w:hint="default" w:ascii="Times New Roman" w:hAnsi="Times New Roman" w:eastAsia="仿宋_GB2312" w:cs="Times New Roman"/>
          <w:b/>
          <w:bCs/>
          <w:sz w:val="32"/>
          <w:szCs w:val="32"/>
          <w:lang w:val="zh-CN"/>
        </w:rPr>
      </w:pPr>
      <w:bookmarkStart w:id="203" w:name="_Toc16443"/>
      <w:bookmarkStart w:id="204" w:name="_Toc2966"/>
      <w:r>
        <w:rPr>
          <w:rFonts w:hint="default" w:ascii="Times New Roman" w:hAnsi="Times New Roman" w:eastAsia="仿宋_GB2312" w:cs="Times New Roman"/>
          <w:b/>
          <w:bCs/>
          <w:sz w:val="32"/>
          <w:szCs w:val="32"/>
          <w:lang w:val="zh-CN"/>
        </w:rPr>
        <w:t>第</w:t>
      </w:r>
      <w:r>
        <w:rPr>
          <w:rFonts w:hint="default" w:ascii="Times New Roman" w:hAnsi="Times New Roman" w:eastAsia="仿宋_GB2312" w:cs="Times New Roman"/>
          <w:b/>
          <w:bCs/>
          <w:sz w:val="32"/>
          <w:szCs w:val="32"/>
        </w:rPr>
        <w:t>九</w:t>
      </w:r>
      <w:r>
        <w:rPr>
          <w:rFonts w:hint="default" w:ascii="Times New Roman" w:hAnsi="Times New Roman" w:eastAsia="仿宋_GB2312" w:cs="Times New Roman"/>
          <w:b/>
          <w:bCs/>
          <w:sz w:val="32"/>
          <w:szCs w:val="32"/>
          <w:lang w:val="zh-CN"/>
        </w:rPr>
        <w:t>章</w:t>
      </w:r>
      <w:bookmarkStart w:id="205" w:name="_Toc6323"/>
      <w:bookmarkStart w:id="206" w:name="_Toc16676"/>
      <w:r>
        <w:rPr>
          <w:rFonts w:hint="default" w:ascii="Times New Roman" w:hAnsi="Times New Roman" w:eastAsia="仿宋_GB2312" w:cs="Times New Roman"/>
          <w:b/>
          <w:bCs/>
          <w:sz w:val="32"/>
          <w:szCs w:val="32"/>
          <w:lang w:val="zh-CN"/>
        </w:rPr>
        <w:t xml:space="preserve">  增强</w:t>
      </w:r>
      <w:r>
        <w:rPr>
          <w:rFonts w:hint="default" w:ascii="Times New Roman" w:hAnsi="Times New Roman" w:eastAsia="仿宋_GB2312" w:cs="Times New Roman"/>
          <w:b/>
          <w:bCs/>
          <w:sz w:val="32"/>
          <w:szCs w:val="32"/>
        </w:rPr>
        <w:t>特色</w:t>
      </w:r>
      <w:r>
        <w:rPr>
          <w:rFonts w:hint="default" w:ascii="Times New Roman" w:hAnsi="Times New Roman" w:eastAsia="仿宋_GB2312" w:cs="Times New Roman"/>
          <w:b/>
          <w:bCs/>
          <w:sz w:val="32"/>
          <w:szCs w:val="32"/>
          <w:lang w:val="zh-CN"/>
        </w:rPr>
        <w:t>工业竞争力</w:t>
      </w:r>
      <w:bookmarkEnd w:id="203"/>
      <w:bookmarkEnd w:id="204"/>
    </w:p>
    <w:p>
      <w:pPr>
        <w:spacing w:line="240" w:lineRule="auto"/>
        <w:ind w:right="72" w:rightChars="24"/>
        <w:rPr>
          <w:rFonts w:hint="default" w:ascii="Times New Roman" w:hAnsi="Times New Roman" w:eastAsia="仿宋_GB2312" w:cs="Times New Roman"/>
          <w:sz w:val="32"/>
          <w:szCs w:val="32"/>
          <w:lang w:val="zh-CN"/>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稳</w:t>
      </w:r>
      <w:bookmarkEnd w:id="205"/>
      <w:bookmarkEnd w:id="206"/>
      <w:r>
        <w:rPr>
          <w:rFonts w:hint="default" w:ascii="Times New Roman" w:hAnsi="Times New Roman" w:eastAsia="仿宋_GB2312" w:cs="Times New Roman"/>
          <w:sz w:val="32"/>
          <w:szCs w:val="32"/>
          <w:lang w:val="zh-CN"/>
        </w:rPr>
        <w:t>固长春五棵树经济开发区、榆树环城工业集中区的产业优势，把“两区”作为全市工业发展的主战场</w:t>
      </w:r>
      <w:r>
        <w:rPr>
          <w:rFonts w:hint="default" w:ascii="Times New Roman" w:hAnsi="Times New Roman" w:eastAsia="仿宋_GB2312" w:cs="Times New Roman"/>
          <w:sz w:val="32"/>
          <w:szCs w:val="32"/>
        </w:rPr>
        <w:t>，提升原有产业规模，并在做深做细做实上下功夫，构建主导优势产业协调发展的特色工业体系，提高特色工业竞争力。</w:t>
      </w:r>
    </w:p>
    <w:p>
      <w:pPr>
        <w:ind w:right="72" w:rightChars="24" w:firstLine="0"/>
        <w:jc w:val="center"/>
        <w:outlineLvl w:val="2"/>
        <w:rPr>
          <w:rFonts w:hint="default" w:ascii="Times New Roman" w:hAnsi="Times New Roman" w:eastAsia="仿宋_GB2312" w:cs="Times New Roman"/>
          <w:b/>
          <w:bCs/>
          <w:sz w:val="32"/>
          <w:szCs w:val="32"/>
        </w:rPr>
      </w:pPr>
      <w:bookmarkStart w:id="207" w:name="_Toc31679"/>
      <w:bookmarkStart w:id="208" w:name="_Toc19856"/>
      <w:r>
        <w:rPr>
          <w:rFonts w:hint="default" w:ascii="Times New Roman" w:hAnsi="Times New Roman" w:eastAsia="楷体_GB2312" w:cs="Times New Roman"/>
          <w:b/>
          <w:bCs/>
          <w:sz w:val="32"/>
          <w:szCs w:val="32"/>
        </w:rPr>
        <w:t>第一节</w:t>
      </w:r>
      <w:bookmarkStart w:id="209" w:name="_Toc17320"/>
      <w:bookmarkStart w:id="210" w:name="_Toc19220"/>
      <w:r>
        <w:rPr>
          <w:rFonts w:hint="default" w:ascii="Times New Roman" w:hAnsi="Times New Roman" w:eastAsia="楷体_GB2312" w:cs="Times New Roman"/>
          <w:b/>
          <w:bCs/>
          <w:sz w:val="32"/>
          <w:szCs w:val="32"/>
        </w:rPr>
        <w:t xml:space="preserve">  全力打造支柱优势产业</w:t>
      </w:r>
      <w:bookmarkEnd w:id="207"/>
      <w:bookmarkEnd w:id="20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以争</w:t>
      </w:r>
      <w:bookmarkEnd w:id="209"/>
      <w:bookmarkEnd w:id="210"/>
      <w:r>
        <w:rPr>
          <w:rFonts w:hint="default" w:ascii="Times New Roman" w:hAnsi="Times New Roman" w:eastAsia="仿宋_GB2312" w:cs="Times New Roman"/>
          <w:sz w:val="32"/>
          <w:szCs w:val="32"/>
        </w:rPr>
        <w:t>创国家农产品精深加工基地为目标，聚焦“粮头食尾”、“农头工尾”，在支柱产业发展上重点打造农产品精深加工产业集群，发展玉米化工、非粮生物质加工、稻米加工三大主导产业，培育健康食品、酒品酿造、畜禽加工、生物制药四大优势产业。</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玉米化工：</w:t>
      </w:r>
      <w:r>
        <w:rPr>
          <w:rFonts w:hint="default" w:ascii="Times New Roman" w:hAnsi="Times New Roman" w:eastAsia="仿宋_GB2312" w:cs="Times New Roman"/>
          <w:sz w:val="32"/>
          <w:szCs w:val="32"/>
        </w:rPr>
        <w:t>积极争取</w:t>
      </w:r>
      <w:r>
        <w:rPr>
          <w:rStyle w:val="64"/>
          <w:rFonts w:hint="default" w:ascii="Times New Roman" w:hAnsi="Times New Roman" w:eastAsia="仿宋_GB2312" w:cs="Times New Roman"/>
          <w:kern w:val="0"/>
          <w:sz w:val="32"/>
          <w:szCs w:val="32"/>
        </w:rPr>
        <w:t>长春五棵树</w:t>
      </w:r>
      <w:r>
        <w:rPr>
          <w:rStyle w:val="64"/>
          <w:rFonts w:hint="default" w:ascii="Times New Roman" w:hAnsi="Times New Roman" w:eastAsia="仿宋_GB2312" w:cs="Times New Roman"/>
          <w:kern w:val="0"/>
          <w:sz w:val="32"/>
          <w:szCs w:val="32"/>
          <w:lang w:val="zh-CN"/>
        </w:rPr>
        <w:t>生物化工园区</w:t>
      </w:r>
      <w:r>
        <w:rPr>
          <w:rStyle w:val="64"/>
          <w:rFonts w:hint="default" w:ascii="Times New Roman" w:hAnsi="Times New Roman" w:eastAsia="仿宋_GB2312" w:cs="Times New Roman"/>
          <w:kern w:val="0"/>
          <w:sz w:val="32"/>
          <w:szCs w:val="32"/>
        </w:rPr>
        <w:t>获批，</w:t>
      </w:r>
      <w:r>
        <w:rPr>
          <w:rFonts w:hint="default" w:ascii="Times New Roman" w:hAnsi="Times New Roman" w:eastAsia="仿宋_GB2312" w:cs="Times New Roman"/>
          <w:sz w:val="32"/>
          <w:szCs w:val="32"/>
        </w:rPr>
        <w:t>积极引进丰原聚乳酸，中粮柠檬酸钠、丙交酯、PHA加工等项目，推动</w:t>
      </w:r>
      <w:r>
        <w:rPr>
          <w:rStyle w:val="64"/>
          <w:rFonts w:hint="default" w:ascii="Times New Roman" w:hAnsi="Times New Roman" w:eastAsia="仿宋_GB2312" w:cs="Times New Roman"/>
          <w:kern w:val="0"/>
          <w:sz w:val="32"/>
          <w:szCs w:val="32"/>
          <w:lang w:val="zh-CN"/>
        </w:rPr>
        <w:t>生物基材料</w:t>
      </w:r>
      <w:r>
        <w:rPr>
          <w:rStyle w:val="64"/>
          <w:rFonts w:hint="default" w:ascii="Times New Roman" w:hAnsi="Times New Roman" w:eastAsia="仿宋_GB2312" w:cs="Times New Roman"/>
          <w:kern w:val="0"/>
          <w:sz w:val="32"/>
          <w:szCs w:val="32"/>
        </w:rPr>
        <w:t>产业</w:t>
      </w:r>
      <w:r>
        <w:rPr>
          <w:rStyle w:val="64"/>
          <w:rFonts w:hint="default" w:ascii="Times New Roman" w:hAnsi="Times New Roman" w:eastAsia="仿宋_GB2312" w:cs="Times New Roman"/>
          <w:kern w:val="0"/>
          <w:sz w:val="32"/>
          <w:szCs w:val="32"/>
          <w:lang w:val="zh-CN"/>
        </w:rPr>
        <w:t>发展转型，</w:t>
      </w:r>
      <w:r>
        <w:rPr>
          <w:rFonts w:hint="default" w:ascii="Times New Roman" w:hAnsi="Times New Roman" w:eastAsia="仿宋_GB2312" w:cs="Times New Roman"/>
          <w:sz w:val="32"/>
          <w:szCs w:val="32"/>
        </w:rPr>
        <w:t>延伸玉米生物制造产业链，打造东北生物基新材料产业基地。重点推进安徽丰原集团100万吨聚乳酸项目建设。</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非粮生物质加工：</w:t>
      </w:r>
      <w:r>
        <w:rPr>
          <w:rFonts w:hint="default" w:ascii="Times New Roman" w:hAnsi="Times New Roman" w:eastAsia="仿宋_GB2312" w:cs="Times New Roman"/>
          <w:sz w:val="32"/>
          <w:szCs w:val="32"/>
        </w:rPr>
        <w:t>充分利用农业废弃可再生或循环的有机质为原料，制造生物能源和生物基产品。积极发展秸秆燃料、秸秆饲料、秸秆纤维、秸秆化工产业。确保大连汇能、绿洁泰能生物质热电联产项目投产达效。重点谋划推进总投资2亿元的五棵树经济开发区30万吨秸秆饲料项目建设。</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稻米加工：</w:t>
      </w:r>
      <w:r>
        <w:rPr>
          <w:rFonts w:hint="default" w:ascii="Times New Roman" w:hAnsi="Times New Roman" w:eastAsia="仿宋_GB2312" w:cs="Times New Roman"/>
          <w:sz w:val="32"/>
          <w:szCs w:val="32"/>
        </w:rPr>
        <w:t>发挥稻米资源优势，积极引进大型稻米加工企业，以京粮集团古船米业、榆树天丰米业等大米加工企业为依托，大力发展精制米加工，打造榆树大米“白金”品牌，推动稻米产业向精品化、品牌化方向发展。大力支持稻米精深化加工发展，开发高规格淀粉糖、小包装大米、食品加工专用米、营养米、大米淀粉、大米蛋白等。重点谋划推进正大集团100万吨稻米加工项目建设。</w:t>
      </w:r>
    </w:p>
    <w:p>
      <w:pPr>
        <w:ind w:right="72" w:rightChars="24"/>
        <w:rPr>
          <w:rFonts w:hint="default" w:ascii="Times New Roman" w:hAnsi="Times New Roman" w:cs="Times New Roman"/>
        </w:rPr>
      </w:pPr>
      <w:r>
        <w:rPr>
          <w:rFonts w:hint="default" w:ascii="Times New Roman" w:hAnsi="Times New Roman" w:eastAsia="仿宋_GB2312" w:cs="Times New Roman"/>
          <w:b/>
          <w:bCs/>
          <w:sz w:val="32"/>
          <w:szCs w:val="32"/>
        </w:rPr>
        <w:t>健康食品：</w:t>
      </w:r>
      <w:r>
        <w:rPr>
          <w:rFonts w:hint="default" w:ascii="Times New Roman" w:hAnsi="Times New Roman" w:eastAsia="仿宋_GB2312" w:cs="Times New Roman"/>
          <w:sz w:val="32"/>
          <w:szCs w:val="32"/>
        </w:rPr>
        <w:t>积极引进豆制品、蔬菜制品、方便米饭、鲜食玉米、玉米饮料等项目，推动产业链向绿色食品、餐桌食品、休闲食品、多元化食品供给方向延伸。支持重点龙头企业发展壮大，</w:t>
      </w:r>
      <w:r>
        <w:rPr>
          <w:rFonts w:hint="default" w:ascii="Times New Roman" w:hAnsi="Times New Roman" w:eastAsia="仿宋_GB2312" w:cs="Times New Roman"/>
          <w:color w:val="000000"/>
          <w:sz w:val="32"/>
          <w:szCs w:val="32"/>
        </w:rPr>
        <w:t>通过规模扩张、自创品牌、特色延伸和技术创新，提高市场竞争实力。</w:t>
      </w:r>
      <w:r>
        <w:rPr>
          <w:rFonts w:hint="default" w:ascii="Times New Roman" w:hAnsi="Times New Roman" w:eastAsia="仿宋_GB2312" w:cs="Times New Roman"/>
          <w:sz w:val="32"/>
          <w:szCs w:val="32"/>
        </w:rPr>
        <w:t>全力引进泰国正大速食品项目、中粮12万吨精炼油脂精炼加工项目，</w:t>
      </w:r>
      <w:r>
        <w:rPr>
          <w:rFonts w:hint="default" w:ascii="Times New Roman" w:hAnsi="Times New Roman" w:eastAsia="仿宋_GB2312" w:cs="Times New Roman"/>
          <w:color w:val="000000"/>
          <w:sz w:val="32"/>
          <w:szCs w:val="32"/>
        </w:rPr>
        <w:t>拓展食品精深加工领域。</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酒品酿造：</w:t>
      </w:r>
      <w:r>
        <w:rPr>
          <w:rFonts w:hint="default" w:ascii="Times New Roman" w:hAnsi="Times New Roman" w:eastAsia="仿宋_GB2312" w:cs="Times New Roman"/>
          <w:sz w:val="32"/>
          <w:szCs w:val="32"/>
        </w:rPr>
        <w:t>支持榆树钱酒业增产扩能，引进国内知名酒业入驻榆树，扶持榆树冰峰啤酒公司与国内知名企业合资合作、扩大产能，推进酒类酿造产业集聚发展，完善中国（榆树）北方酒业基地建设，以榆树钱体验式酿酒庄园4A级景区为基础，推动酿酒工业与酒文化、休闲旅游充分融合。重点谋划推进总投资15亿元的中酒（榆树）博物馆项目建设。</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畜禽加工：</w:t>
      </w:r>
      <w:r>
        <w:rPr>
          <w:rFonts w:hint="default" w:ascii="Times New Roman" w:hAnsi="Times New Roman" w:eastAsia="仿宋_GB2312" w:cs="Times New Roman"/>
          <w:sz w:val="32"/>
          <w:szCs w:val="32"/>
        </w:rPr>
        <w:t>采用国际、国内绿色制造和绿色食品生产先进标准，大力发展肉联加工，提升肉牛、生猪、肉鸡等精深加工水平。支持畜禽加工企业完善创新研发、质量检测、终端销售等环节，延伸产业链，提升附加值。推动正大1亿只肉鸡产业化项目扩大产能，尽快实现满负荷生产，推动东方希望100万头生猪屠宰加工项目落地建设。</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生物制药：</w:t>
      </w:r>
      <w:r>
        <w:rPr>
          <w:rFonts w:hint="default" w:ascii="Times New Roman" w:hAnsi="Times New Roman" w:eastAsia="仿宋_GB2312" w:cs="Times New Roman"/>
          <w:sz w:val="32"/>
          <w:szCs w:val="32"/>
        </w:rPr>
        <w:t>以灿盛、华威药业、真元药业等企业为龙头，力争在规模扩张与自主研发上再突破，确立行业领先优势。积极承接沿海发达地区医药企业梯度转移，以青霉素中间体6-APA产品为切入点，引进下游企业，延长</w:t>
      </w:r>
      <w:r>
        <w:rPr>
          <w:rFonts w:hint="default" w:ascii="Times New Roman" w:hAnsi="Times New Roman" w:eastAsia="仿宋_GB2312" w:cs="Times New Roman"/>
          <w:sz w:val="32"/>
          <w:szCs w:val="32"/>
          <w:lang w:val="zh-CN"/>
        </w:rPr>
        <w:t>玉米生物化工产业链</w:t>
      </w:r>
      <w:r>
        <w:rPr>
          <w:rFonts w:hint="default" w:ascii="Times New Roman" w:hAnsi="Times New Roman" w:eastAsia="仿宋_GB2312" w:cs="Times New Roman"/>
          <w:sz w:val="32"/>
          <w:szCs w:val="32"/>
        </w:rPr>
        <w:t>，加快培育从中间体到成品制剂的完整生产链条。重点推动真元药业主导的生物医药产业园建设。</w:t>
      </w:r>
    </w:p>
    <w:p>
      <w:pPr>
        <w:ind w:right="72" w:rightChars="24" w:firstLine="0"/>
        <w:jc w:val="center"/>
        <w:outlineLvl w:val="2"/>
        <w:rPr>
          <w:rFonts w:hint="default" w:ascii="Times New Roman" w:hAnsi="Times New Roman" w:eastAsia="楷体_GB2312" w:cs="Times New Roman"/>
          <w:b/>
          <w:bCs/>
          <w:sz w:val="32"/>
          <w:szCs w:val="32"/>
        </w:rPr>
      </w:pPr>
      <w:bookmarkStart w:id="211" w:name="_Toc24897"/>
      <w:bookmarkStart w:id="212" w:name="_Toc1832"/>
      <w:r>
        <w:rPr>
          <w:rFonts w:hint="default" w:ascii="Times New Roman" w:hAnsi="Times New Roman" w:eastAsia="楷体_GB2312" w:cs="Times New Roman"/>
          <w:b/>
          <w:bCs/>
          <w:sz w:val="32"/>
          <w:szCs w:val="32"/>
        </w:rPr>
        <w:t>第二节</w:t>
      </w:r>
      <w:bookmarkStart w:id="213" w:name="_Toc3028"/>
      <w:bookmarkStart w:id="214" w:name="_Toc31143"/>
      <w:r>
        <w:rPr>
          <w:rFonts w:hint="default" w:ascii="Times New Roman" w:hAnsi="Times New Roman" w:eastAsia="楷体_GB2312" w:cs="Times New Roman"/>
          <w:b/>
          <w:bCs/>
          <w:sz w:val="32"/>
          <w:szCs w:val="32"/>
        </w:rPr>
        <w:t xml:space="preserve">  改造提升传统产业</w:t>
      </w:r>
      <w:bookmarkEnd w:id="211"/>
      <w:bookmarkEnd w:id="212"/>
    </w:p>
    <w:p>
      <w:pPr>
        <w:keepNext w:val="0"/>
        <w:keepLines w:val="0"/>
        <w:pageBreakBefore w:val="0"/>
        <w:widowControl w:val="0"/>
        <w:kinsoku/>
        <w:wordWrap/>
        <w:overflowPunct/>
        <w:topLinePunct w:val="0"/>
        <w:autoSpaceDE/>
        <w:autoSpaceDN/>
        <w:bidi w:val="0"/>
        <w:adjustRightInd/>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用现</w:t>
      </w:r>
      <w:bookmarkEnd w:id="213"/>
      <w:bookmarkEnd w:id="214"/>
      <w:r>
        <w:rPr>
          <w:rFonts w:hint="default" w:ascii="Times New Roman" w:hAnsi="Times New Roman" w:eastAsia="仿宋_GB2312" w:cs="Times New Roman"/>
          <w:sz w:val="32"/>
          <w:szCs w:val="32"/>
        </w:rPr>
        <w:t>代科技和先进理念改造传统产业，引领企业通过技术革新、联合重组和品牌建设，通过开发高品质、高附加值的产品，优化壮大现有存量企业，力促传统产业重新焕发生机活力。以吉林省英驰锻造、长春福克斯机械制造等企业为依托，加快装备制造业传统工艺设备技术改造，扩大企业生产规模。以长春实德节能建材为核心，大力开发木塑板材、PVC塑材、塑钢型材等建筑材料，带动传统建材企业向新型建材企业转型。</w:t>
      </w:r>
    </w:p>
    <w:p>
      <w:pPr>
        <w:keepNext w:val="0"/>
        <w:keepLines w:val="0"/>
        <w:pageBreakBefore w:val="0"/>
        <w:widowControl w:val="0"/>
        <w:kinsoku/>
        <w:wordWrap/>
        <w:overflowPunct/>
        <w:topLinePunct w:val="0"/>
        <w:autoSpaceDE/>
        <w:autoSpaceDN/>
        <w:bidi w:val="0"/>
        <w:adjustRightInd/>
        <w:snapToGrid w:val="0"/>
        <w:spacing w:line="580" w:lineRule="exact"/>
        <w:ind w:right="72" w:rightChars="24" w:firstLine="0"/>
        <w:jc w:val="center"/>
        <w:textAlignment w:val="auto"/>
        <w:outlineLvl w:val="2"/>
        <w:rPr>
          <w:rFonts w:hint="default" w:ascii="Times New Roman" w:hAnsi="Times New Roman" w:eastAsia="仿宋_GB2312" w:cs="Times New Roman"/>
          <w:b/>
          <w:bCs/>
          <w:sz w:val="32"/>
          <w:szCs w:val="32"/>
        </w:rPr>
      </w:pPr>
      <w:bookmarkStart w:id="215" w:name="_Toc5122"/>
      <w:bookmarkStart w:id="216" w:name="_Toc4739"/>
      <w:r>
        <w:rPr>
          <w:rFonts w:hint="default" w:ascii="Times New Roman" w:hAnsi="Times New Roman" w:eastAsia="楷体_GB2312" w:cs="Times New Roman"/>
          <w:b/>
          <w:bCs/>
          <w:sz w:val="32"/>
          <w:szCs w:val="32"/>
        </w:rPr>
        <w:t>第三节</w:t>
      </w:r>
      <w:bookmarkStart w:id="217" w:name="_Toc31321"/>
      <w:bookmarkStart w:id="218" w:name="_Toc6519"/>
      <w:r>
        <w:rPr>
          <w:rFonts w:hint="default" w:ascii="Times New Roman" w:hAnsi="Times New Roman" w:eastAsia="楷体_GB2312" w:cs="Times New Roman"/>
          <w:b/>
          <w:bCs/>
          <w:sz w:val="32"/>
          <w:szCs w:val="32"/>
        </w:rPr>
        <w:t xml:space="preserve">  推动产业集聚发展</w:t>
      </w:r>
      <w:bookmarkEnd w:id="215"/>
      <w:bookmarkEnd w:id="216"/>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w:t>
      </w:r>
      <w:bookmarkEnd w:id="217"/>
      <w:bookmarkEnd w:id="218"/>
      <w:r>
        <w:rPr>
          <w:rFonts w:hint="default" w:ascii="Times New Roman" w:hAnsi="Times New Roman" w:eastAsia="仿宋_GB2312" w:cs="Times New Roman"/>
          <w:sz w:val="32"/>
          <w:szCs w:val="32"/>
        </w:rPr>
        <w:t>建设一批农产品精深加工项目，围绕延链补链强链丰链，打造一批“全链条、全循环、高质量、高效益”绿色循环现代农业产业化加工集群。重点打造以中粮生化能源为核心的100亿级玉米生物基新材料产业集群，以1亿只肉鸡和100万头生猪屠宰加工为核心的50亿级畜禽加工产业集群，以秸秆等非粮生物质为重点的30亿级生物质产业集群，以酿酒、健康食品等为重点的30亿级快消品产业集群，以环城工业集中区为核心的10亿级双创产业园。通过产业集群发展，带动相关企业集聚，有效整合基础设施及科技创新资源，提高集群的公共平台支撑能力。到2025年末，全市规模以上农产品加工企业发展到60家。</w:t>
      </w:r>
    </w:p>
    <w:p>
      <w:pPr>
        <w:pStyle w:val="29"/>
        <w:spacing w:line="240" w:lineRule="auto"/>
        <w:rPr>
          <w:rFonts w:hint="default" w:ascii="Times New Roman" w:hAnsi="Times New Roman" w:cs="Times New Roma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92D050"/>
            <w:noWrap w:val="0"/>
            <w:vAlign w:val="top"/>
          </w:tcPr>
          <w:p>
            <w:pPr>
              <w:ind w:right="72" w:rightChars="24"/>
              <w:jc w:val="center"/>
              <w:rPr>
                <w:rFonts w:hint="default" w:ascii="Times New Roman" w:hAnsi="Times New Roman" w:eastAsia="楷体" w:cs="Times New Roman"/>
                <w:sz w:val="28"/>
                <w:szCs w:val="28"/>
              </w:rPr>
            </w:pPr>
            <w:r>
              <w:rPr>
                <w:rFonts w:hint="default" w:ascii="Times New Roman" w:hAnsi="Times New Roman" w:eastAsia="仿宋_GB2312" w:cs="Times New Roman"/>
                <w:b/>
                <w:sz w:val="32"/>
                <w:szCs w:val="32"/>
              </w:rPr>
              <w:t>专栏2：工业重点项目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ind w:right="72" w:rightChars="24" w:firstLine="0"/>
              <w:rPr>
                <w:rFonts w:hint="default" w:ascii="Times New Roman" w:hAnsi="Times New Roman" w:eastAsia="楷体" w:cs="Times New Roman"/>
                <w:bCs/>
                <w:sz w:val="28"/>
                <w:szCs w:val="28"/>
              </w:rPr>
            </w:pPr>
          </w:p>
          <w:p>
            <w:pPr>
              <w:ind w:right="72" w:rightChars="24" w:firstLine="0"/>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1.东方希望100万头生猪产业化项目：总投资20亿元，总占地面积约275公顷，项目建设集生猪养殖、屠宰、生鲜肉深加工、冷链物流、有机农业为一体的绿色高效循环经济发展示范基地；年屠宰量100万头，年生产肉制品10万吨。</w:t>
            </w:r>
          </w:p>
          <w:p>
            <w:pPr>
              <w:ind w:right="72" w:rightChars="24" w:firstLine="0"/>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2.年产10万吨变性淀粉项目：占地5.5万平方米，年产变性淀粉10万吨（工业级变性淀粉6万吨、食品级4万吨），建设生产车间2个、库房4个、倒班宿舍楼及锅炉房等附属工程。</w:t>
            </w:r>
          </w:p>
          <w:p>
            <w:pPr>
              <w:ind w:right="72" w:rightChars="24" w:firstLine="0"/>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3.丰原集团100万吨聚乳酸项目：总投资150亿元，项目占地10万平方米，年产100万吨聚乳酸。主要建设办公楼、生产车间、辅助生产车间、公用工程及其它工程设施。</w:t>
            </w:r>
          </w:p>
          <w:p>
            <w:pPr>
              <w:ind w:right="72" w:rightChars="24" w:firstLine="0"/>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4.天裕集团年产15万吨化工醇项目：项目占地25万平方米，年产15万吨化工醇。主要建设办公楼、生产车间及辅助设施。</w:t>
            </w:r>
          </w:p>
          <w:p>
            <w:pPr>
              <w:ind w:right="72" w:rightChars="24" w:firstLine="0"/>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5. 中粮油脂年加工精炼油脂12万吨生产包装油500万箱项目：总投资4亿元，项目占地10万平方米。</w:t>
            </w:r>
          </w:p>
          <w:p>
            <w:pPr>
              <w:ind w:right="72" w:rightChars="24" w:firstLine="0"/>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6.榆树市秀水镇生物质热电联产项目：建设600吨/天农林桔杆等生物质废弃物处理能力，总装机容量30000千瓦，供热面积100万平方米左右的农林废弃物发电供热厂。</w:t>
            </w:r>
          </w:p>
          <w:p>
            <w:pPr>
              <w:ind w:right="72" w:rightChars="24" w:firstLine="0"/>
              <w:rPr>
                <w:rFonts w:hint="default" w:ascii="Times New Roman" w:hAnsi="Times New Roman" w:eastAsia="宋体" w:cs="Times New Roman"/>
              </w:rPr>
            </w:pPr>
            <w:r>
              <w:rPr>
                <w:rFonts w:hint="default" w:ascii="Times New Roman" w:hAnsi="Times New Roman" w:eastAsia="楷体" w:cs="Times New Roman"/>
                <w:bCs/>
                <w:sz w:val="28"/>
                <w:szCs w:val="28"/>
              </w:rPr>
              <w:t>7.大连汇能生物质热电联产项目：总投资3.2亿元，总装机容量30000千瓦。</w:t>
            </w:r>
          </w:p>
        </w:tc>
      </w:tr>
    </w:tbl>
    <w:p>
      <w:pPr>
        <w:spacing w:line="240" w:lineRule="auto"/>
        <w:ind w:right="72" w:rightChars="24"/>
        <w:jc w:val="center"/>
        <w:rPr>
          <w:rFonts w:hint="default" w:ascii="Times New Roman" w:hAnsi="Times New Roman" w:eastAsia="仿宋_GB2312" w:cs="Times New Roman"/>
          <w:b/>
          <w:bCs/>
          <w:sz w:val="32"/>
          <w:szCs w:val="32"/>
        </w:rPr>
      </w:pPr>
    </w:p>
    <w:p>
      <w:pPr>
        <w:spacing w:line="240" w:lineRule="auto"/>
        <w:ind w:right="72" w:rightChars="24"/>
        <w:jc w:val="center"/>
        <w:outlineLvl w:val="1"/>
        <w:rPr>
          <w:rFonts w:hint="default" w:ascii="Times New Roman" w:hAnsi="Times New Roman" w:eastAsia="仿宋_GB2312" w:cs="Times New Roman"/>
          <w:sz w:val="32"/>
          <w:szCs w:val="32"/>
        </w:rPr>
      </w:pPr>
      <w:bookmarkStart w:id="219" w:name="_Toc564"/>
      <w:bookmarkStart w:id="220" w:name="_Toc29022"/>
      <w:r>
        <w:rPr>
          <w:rFonts w:hint="default" w:ascii="Times New Roman" w:hAnsi="Times New Roman" w:eastAsia="仿宋_GB2312" w:cs="Times New Roman"/>
          <w:b/>
          <w:bCs/>
          <w:sz w:val="32"/>
          <w:szCs w:val="32"/>
        </w:rPr>
        <w:t>第十章</w:t>
      </w:r>
      <w:bookmarkStart w:id="221" w:name="_Toc30494"/>
      <w:bookmarkStart w:id="222" w:name="_Toc348"/>
      <w:r>
        <w:rPr>
          <w:rFonts w:hint="default" w:ascii="Times New Roman" w:hAnsi="Times New Roman" w:eastAsia="仿宋_GB2312" w:cs="Times New Roman"/>
          <w:b/>
          <w:bCs/>
          <w:sz w:val="32"/>
          <w:szCs w:val="32"/>
        </w:rPr>
        <w:t xml:space="preserve">  提升现代服务业发展水平</w:t>
      </w:r>
      <w:bookmarkEnd w:id="219"/>
      <w:bookmarkEnd w:id="220"/>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巩</w:t>
      </w:r>
      <w:bookmarkEnd w:id="221"/>
      <w:bookmarkEnd w:id="222"/>
      <w:r>
        <w:rPr>
          <w:rFonts w:hint="default" w:ascii="Times New Roman" w:hAnsi="Times New Roman" w:eastAsia="仿宋_GB2312" w:cs="Times New Roman"/>
          <w:sz w:val="32"/>
          <w:szCs w:val="32"/>
        </w:rPr>
        <w:t>固激发传统商贸业基础和活力，把握居民消费升级和工业转型升级机遇，积极培育新业态、新模式，实现现代服务业增量升级，成为榆树市经济发展的新动力和加速器。</w:t>
      </w:r>
    </w:p>
    <w:p>
      <w:pPr>
        <w:ind w:right="72" w:rightChars="24" w:firstLine="0"/>
        <w:jc w:val="center"/>
        <w:outlineLvl w:val="2"/>
        <w:rPr>
          <w:rFonts w:hint="default" w:ascii="Times New Roman" w:hAnsi="Times New Roman" w:eastAsia="仿宋_GB2312" w:cs="Times New Roman"/>
          <w:b/>
          <w:bCs/>
          <w:sz w:val="32"/>
          <w:szCs w:val="32"/>
        </w:rPr>
      </w:pPr>
      <w:bookmarkStart w:id="223" w:name="_Toc29805"/>
      <w:bookmarkStart w:id="224" w:name="_Toc29945"/>
      <w:r>
        <w:rPr>
          <w:rFonts w:hint="default" w:ascii="Times New Roman" w:hAnsi="Times New Roman" w:eastAsia="楷体_GB2312" w:cs="Times New Roman"/>
          <w:b/>
          <w:bCs/>
          <w:sz w:val="32"/>
          <w:szCs w:val="32"/>
        </w:rPr>
        <w:t>第一节</w:t>
      </w:r>
      <w:bookmarkStart w:id="225" w:name="_Toc21988"/>
      <w:bookmarkStart w:id="226" w:name="_Toc3966"/>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b/>
          <w:bCs/>
          <w:sz w:val="32"/>
          <w:szCs w:val="32"/>
        </w:rPr>
        <w:t>提升发展传统商贸业</w:t>
      </w:r>
      <w:bookmarkEnd w:id="223"/>
      <w:bookmarkEnd w:id="22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w:t>
      </w:r>
      <w:bookmarkEnd w:id="225"/>
      <w:bookmarkEnd w:id="226"/>
      <w:r>
        <w:rPr>
          <w:rFonts w:hint="default" w:ascii="Times New Roman" w:hAnsi="Times New Roman" w:eastAsia="仿宋_GB2312" w:cs="Times New Roman"/>
          <w:sz w:val="32"/>
          <w:szCs w:val="32"/>
        </w:rPr>
        <w:t>步推动传统商贸业提质增效，促进商贸业快速发展。加快发展商圈经济，以激发建成楼宇产生更高的经济效益为宗旨，着力培育一批知名度高、竞争力强的商贸企业，做大天悦城、365生活馆、凯购城“三大地标性区域商圈”。加快发展夜间经济，打造榆树大街、中心街、工农大街、繁荣大街“四大特色商业街”，利用好城区及周边新整理的土地资源，规划建设商业街区，促进新老城区商圈同步发展。发挥“</w:t>
      </w:r>
      <w:r>
        <w:rPr>
          <w:rFonts w:hint="default" w:ascii="Times New Roman" w:hAnsi="Times New Roman" w:eastAsia="仿宋_GB2312" w:cs="Times New Roman"/>
          <w:sz w:val="32"/>
          <w:szCs w:val="32"/>
          <w:lang w:val="zh-CN"/>
        </w:rPr>
        <w:t>八大专业市场”</w:t>
      </w:r>
      <w:r>
        <w:rPr>
          <w:rFonts w:hint="default" w:ascii="Times New Roman" w:hAnsi="Times New Roman" w:eastAsia="仿宋_GB2312" w:cs="Times New Roman"/>
          <w:sz w:val="32"/>
          <w:szCs w:val="32"/>
        </w:rPr>
        <w:t>作用，增强</w:t>
      </w:r>
      <w:r>
        <w:rPr>
          <w:rFonts w:hint="default" w:ascii="Times New Roman" w:hAnsi="Times New Roman" w:eastAsia="仿宋_GB2312" w:cs="Times New Roman"/>
          <w:sz w:val="32"/>
          <w:szCs w:val="32"/>
          <w:lang w:val="zh-CN"/>
        </w:rPr>
        <w:t>恒基时代购物广场、南门建材市场、五棵树汉夏黄牛交易市场、五棵树进步蔬菜批发市场、榆树市隆兴农机大市场、榆树市鑫海汽贸城、弓棚生猪市场、八号北沟村金土地蔬菜批发市场</w:t>
      </w:r>
      <w:r>
        <w:rPr>
          <w:rFonts w:hint="default" w:ascii="Times New Roman" w:hAnsi="Times New Roman" w:eastAsia="仿宋_GB2312" w:cs="Times New Roman"/>
          <w:sz w:val="32"/>
          <w:szCs w:val="32"/>
        </w:rPr>
        <w:t>等活力，带动区域性小商贸市场竞相发展</w:t>
      </w:r>
      <w:r>
        <w:rPr>
          <w:rFonts w:hint="default" w:ascii="Times New Roman" w:hAnsi="Times New Roman" w:eastAsia="仿宋_GB2312" w:cs="Times New Roman"/>
          <w:sz w:val="32"/>
          <w:szCs w:val="32"/>
          <w:lang w:val="zh-CN"/>
        </w:rPr>
        <w:t>。</w:t>
      </w:r>
    </w:p>
    <w:p>
      <w:pPr>
        <w:ind w:right="72" w:rightChars="24" w:firstLine="0"/>
        <w:jc w:val="center"/>
        <w:outlineLvl w:val="2"/>
        <w:rPr>
          <w:rFonts w:hint="default" w:ascii="Times New Roman" w:hAnsi="Times New Roman" w:eastAsia="仿宋_GB2312" w:cs="Times New Roman"/>
          <w:b/>
          <w:bCs/>
          <w:sz w:val="32"/>
          <w:szCs w:val="32"/>
        </w:rPr>
      </w:pPr>
      <w:bookmarkStart w:id="227" w:name="_Toc14025"/>
      <w:bookmarkStart w:id="228" w:name="_Toc24789"/>
      <w:r>
        <w:rPr>
          <w:rFonts w:hint="default" w:ascii="Times New Roman" w:hAnsi="Times New Roman" w:eastAsia="楷体_GB2312" w:cs="Times New Roman"/>
          <w:b/>
          <w:bCs/>
          <w:sz w:val="32"/>
          <w:szCs w:val="32"/>
        </w:rPr>
        <w:t>第二节</w:t>
      </w:r>
      <w:bookmarkStart w:id="229" w:name="_Toc9029"/>
      <w:bookmarkStart w:id="230" w:name="_Toc19732"/>
      <w:r>
        <w:rPr>
          <w:rFonts w:hint="default" w:ascii="Times New Roman" w:hAnsi="Times New Roman" w:eastAsia="楷体_GB2312" w:cs="Times New Roman"/>
          <w:b/>
          <w:bCs/>
          <w:sz w:val="32"/>
          <w:szCs w:val="32"/>
        </w:rPr>
        <w:t xml:space="preserve">  大力发展现代物流业</w:t>
      </w:r>
      <w:bookmarkEnd w:id="227"/>
      <w:bookmarkEnd w:id="22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w:t>
      </w:r>
      <w:bookmarkEnd w:id="229"/>
      <w:bookmarkEnd w:id="230"/>
      <w:r>
        <w:rPr>
          <w:rFonts w:hint="default" w:ascii="Times New Roman" w:hAnsi="Times New Roman" w:eastAsia="仿宋_GB2312" w:cs="Times New Roman"/>
          <w:sz w:val="32"/>
          <w:szCs w:val="32"/>
        </w:rPr>
        <w:t>打造中国北方农贸商业物流集散地，加快现代服务业发展。以五棵树经济开发区为重点，在完善五棵树黄牛市场的基础上，谋划建设粮食批发市场、畜禽产品批发市场、蔬菜批发市场等。围绕铁科高速公路、榆陶公路、榆舒铁路等交通优势，加快建设规模较大、专业性较强的多功能综合物流园、物流配送中心及综合物流停车场。围绕酒业、生物制药等优势产业建设酒类批发市场、药品批发市场，不断扩大市场的外向型功能，完善现代化物流服务设施。加快推进城乡高效配送项目，建设多功能于一体的县域综合物流中心、乡（镇）集中配送站、村级配送服务点。加快传统物流发展模式创新，积极发展畜产品冷链物流和蔬菜批发运输物流，重点推动八号镇北沟村蔬菜冷链物流交易中心建设。推动大型粮食仓储物流建设，加快形成布局合理、功能齐全、运作规范的现代流通服务体系，重点在弓棚镇建设集农产品贸易、物流、信息、中介、仓储、期货于一体的大型现代化农产品物流集散基地。</w:t>
      </w:r>
    </w:p>
    <w:p>
      <w:pPr>
        <w:ind w:right="72" w:rightChars="24" w:firstLine="0"/>
        <w:jc w:val="center"/>
        <w:outlineLvl w:val="2"/>
        <w:rPr>
          <w:rFonts w:hint="default" w:ascii="Times New Roman" w:hAnsi="Times New Roman" w:eastAsia="楷体_GB2312" w:cs="Times New Roman"/>
          <w:b/>
          <w:bCs/>
          <w:sz w:val="32"/>
          <w:szCs w:val="32"/>
        </w:rPr>
      </w:pPr>
      <w:bookmarkStart w:id="231" w:name="_Toc30282"/>
      <w:bookmarkStart w:id="232" w:name="_Toc29613"/>
      <w:r>
        <w:rPr>
          <w:rFonts w:hint="default" w:ascii="Times New Roman" w:hAnsi="Times New Roman" w:eastAsia="楷体_GB2312" w:cs="Times New Roman"/>
          <w:b/>
          <w:bCs/>
          <w:sz w:val="32"/>
          <w:szCs w:val="32"/>
        </w:rPr>
        <w:t>第三节</w:t>
      </w:r>
      <w:bookmarkStart w:id="233" w:name="_Toc30313"/>
      <w:bookmarkStart w:id="234" w:name="_Toc31961"/>
      <w:r>
        <w:rPr>
          <w:rFonts w:hint="default" w:ascii="Times New Roman" w:hAnsi="Times New Roman" w:eastAsia="楷体_GB2312" w:cs="Times New Roman"/>
          <w:b/>
          <w:bCs/>
          <w:sz w:val="32"/>
          <w:szCs w:val="32"/>
        </w:rPr>
        <w:t xml:space="preserve">  加快建设美丽榆树旅游圈</w:t>
      </w:r>
      <w:bookmarkEnd w:id="231"/>
      <w:bookmarkEnd w:id="23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bookmarkEnd w:id="233"/>
      <w:bookmarkEnd w:id="234"/>
      <w:r>
        <w:rPr>
          <w:rFonts w:hint="default" w:ascii="Times New Roman" w:hAnsi="Times New Roman" w:eastAsia="仿宋_GB2312" w:cs="Times New Roman"/>
          <w:sz w:val="32"/>
          <w:szCs w:val="32"/>
        </w:rPr>
        <w:t>“一江、两河、三山、四库”自然资源优势，多点布局、重点发展，全力打造美丽榆树全域旅游、过域游。大力发展以“农家乐”“林家乐”“渔家乐”“雪家乐”等为主的生态休闲旅游。积极引进社会资本，加强农业采摘园、观光园建设，开发石塘水库、玉皇庙水库等大型水库垂钓功能，打造以富越滑雪场、雷劈山滑雪度假区为主体的冰雪旅游胜地，开发建设榆树通航机场低空跳伞等旅游基地，加快推进五棵树滨江旅游区、花园山森林保护地、老干江湿地、霸家湖等景区建设进程。推动延和朝鲜族特色小镇建设规划，引导以特色农业、特色旅游、特色建筑、特色文化为核心的朝鲜族特色风情游。讲好“榆树景区故事”，赋予景区文化魅力，提升景区的文化底蕴和内涵。利用地域资源，打造多种形式的“以农造景、农旅结合”农业主题观光项目。以休闲农业观光、消夏避暑、冰雪休闲、健康养老等为重点，培育一批精品旅游线路，打造一批旅游功能区、休闲游憩区，重点打造开发五棵树滨江游、花园山小乡红色游等旅游路线，构建以榆陶公路、黑大公路为主线的过域游线路，参观体验国家4A级景区榆树钱酒文化酿酒技艺、农副产品加工工艺等多家旅游商品基地，积极引导广大群众利用节假日到域内景点休闲观光，感受田园风情，刺激拉动消费。到2025年，全市旅游景区（点）发展到30个，经营主体发展到25个，年接待游客600万人次。</w:t>
      </w:r>
    </w:p>
    <w:p>
      <w:pPr>
        <w:ind w:right="72" w:rightChars="24" w:firstLine="0"/>
        <w:jc w:val="center"/>
        <w:outlineLvl w:val="2"/>
        <w:rPr>
          <w:rFonts w:hint="default" w:ascii="Times New Roman" w:hAnsi="Times New Roman" w:eastAsia="仿宋_GB2312" w:cs="Times New Roman"/>
          <w:b/>
          <w:bCs/>
          <w:sz w:val="32"/>
          <w:szCs w:val="32"/>
        </w:rPr>
      </w:pPr>
      <w:bookmarkStart w:id="235" w:name="_Toc18574"/>
      <w:bookmarkStart w:id="236" w:name="_Toc28405"/>
      <w:r>
        <w:rPr>
          <w:rFonts w:hint="default" w:ascii="Times New Roman" w:hAnsi="Times New Roman" w:eastAsia="楷体_GB2312" w:cs="Times New Roman"/>
          <w:b/>
          <w:bCs/>
          <w:sz w:val="32"/>
          <w:szCs w:val="32"/>
        </w:rPr>
        <w:t>第四节</w:t>
      </w:r>
      <w:bookmarkStart w:id="237" w:name="_Toc32476"/>
      <w:bookmarkStart w:id="238" w:name="_Toc4733"/>
      <w:r>
        <w:rPr>
          <w:rFonts w:hint="default" w:ascii="Times New Roman" w:hAnsi="Times New Roman" w:eastAsia="楷体_GB2312" w:cs="Times New Roman"/>
          <w:b/>
          <w:bCs/>
          <w:sz w:val="32"/>
          <w:szCs w:val="32"/>
        </w:rPr>
        <w:t xml:space="preserve">  加快发展现代金融业</w:t>
      </w:r>
      <w:bookmarkEnd w:id="235"/>
      <w:bookmarkEnd w:id="23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w:t>
      </w:r>
      <w:bookmarkEnd w:id="237"/>
      <w:bookmarkEnd w:id="238"/>
      <w:r>
        <w:rPr>
          <w:rFonts w:hint="default" w:ascii="Times New Roman" w:hAnsi="Times New Roman" w:eastAsia="仿宋_GB2312" w:cs="Times New Roman"/>
          <w:sz w:val="32"/>
          <w:szCs w:val="32"/>
        </w:rPr>
        <w:t>步深化金融改革、加快金融创新、提高金融对外开放度，不断增强金融业对我市经济社会发展的支撑能力。加快发展银行业，构建新型地方金融体系，积极引进股份制商业银行、证券公司来榆树设立分支机构，规范发展小额信贷组织、村镇银行、融资性担保公司、政府融资平台公司、农村资金互助社等准金融机构和金融中介。加快发展保险业，鼓励保险公司创新产品和服务，吸引低成本保险资金支持我市建设，积极发展政策性农业保险，规范发展保险中介市场，建立健全保险服务体系。推行多样化融资模式，充分利用PPP模式的灵活性及能够盘活存量资产的特点，变政府承债为企业承债，改善政府资产负债结构；扩大有效信贷投入，支持中小微企业、“三农”融资；鼓励符合条件的企业发行企业债券、中期票据、短期融资券；鼓励支持科技小巨人企业和高新技术企业利用股权、产权进行质押融资。着力培育新兴金融业态，大力发展金融后援服务业，重点发展以金融数据采集、储存、过程记录为核心的金融大数据业务，积极发展互联网金融，鼓励传统金融机构通过互联网金融转型升级，充分利用互联网技术改造传统金融业务；通过“党建引领整村授信、双基共建乡村振兴”工程，探索“党建+金融”模式，打造服务乡村振兴、服务实体经济“金融生态圈”。</w:t>
      </w:r>
    </w:p>
    <w:p>
      <w:pPr>
        <w:ind w:right="72" w:rightChars="24" w:firstLine="0"/>
        <w:jc w:val="center"/>
        <w:outlineLvl w:val="2"/>
        <w:rPr>
          <w:rFonts w:hint="default" w:ascii="Times New Roman" w:hAnsi="Times New Roman" w:eastAsia="楷体_GB2312" w:cs="Times New Roman"/>
          <w:b/>
          <w:bCs/>
          <w:sz w:val="32"/>
          <w:szCs w:val="32"/>
        </w:rPr>
      </w:pPr>
      <w:bookmarkStart w:id="239" w:name="_Toc12187"/>
      <w:bookmarkStart w:id="240" w:name="_Toc16026"/>
      <w:r>
        <w:rPr>
          <w:rFonts w:hint="default" w:ascii="Times New Roman" w:hAnsi="Times New Roman" w:eastAsia="楷体_GB2312" w:cs="Times New Roman"/>
          <w:b/>
          <w:bCs/>
          <w:sz w:val="32"/>
          <w:szCs w:val="32"/>
        </w:rPr>
        <w:t>第五节</w:t>
      </w:r>
      <w:bookmarkStart w:id="241" w:name="_Toc7505"/>
      <w:bookmarkStart w:id="242" w:name="_Toc29672"/>
      <w:r>
        <w:rPr>
          <w:rFonts w:hint="default" w:ascii="Times New Roman" w:hAnsi="Times New Roman" w:eastAsia="楷体_GB2312" w:cs="Times New Roman"/>
          <w:b/>
          <w:bCs/>
          <w:sz w:val="32"/>
          <w:szCs w:val="32"/>
        </w:rPr>
        <w:t xml:space="preserve">  积极发展电子商务产业</w:t>
      </w:r>
      <w:bookmarkEnd w:id="239"/>
      <w:bookmarkEnd w:id="240"/>
    </w:p>
    <w:p>
      <w:pPr>
        <w:keepNext w:val="0"/>
        <w:keepLines w:val="0"/>
        <w:pageBreakBefore w:val="0"/>
        <w:widowControl w:val="0"/>
        <w:kinsoku/>
        <w:wordWrap/>
        <w:overflowPunct/>
        <w:topLinePunct w:val="0"/>
        <w:autoSpaceDE/>
        <w:autoSpaceDN/>
        <w:bidi w:val="0"/>
        <w:adjustRightInd/>
        <w:snapToGrid w:val="0"/>
        <w:spacing w:line="64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w:t>
      </w:r>
      <w:bookmarkEnd w:id="241"/>
      <w:bookmarkEnd w:id="242"/>
      <w:r>
        <w:rPr>
          <w:rFonts w:hint="default" w:ascii="Times New Roman" w:hAnsi="Times New Roman" w:eastAsia="仿宋_GB2312" w:cs="Times New Roman"/>
          <w:sz w:val="32"/>
          <w:szCs w:val="32"/>
        </w:rPr>
        <w:t>营造发展电子商务的良好环境，完善电子商务支撑体系建设，积极推进各类电子商务平台建设，大力实施电子商务示范工程。面向制造业、商贸业、农村、旅游和跨境等重点领域，着力打造一批行业垂直电子商务平台和大宗商品交易平台。鼓励本地电子商务服务企业与第三方知名电子商务平台合作，借助长春兴隆保税区政策优势，加快发展跨境电子商务及国际商品直销业务。重点推动坤泰电商产业园发展，鼓励骨干企业按产业链带动上下游企业建立电子商务关系，推动企业间积极开展电子商务合作。加快乡村电商公共服务站点建设，全面提高榆树特色农产品线上销售能力。在全市24个乡镇建设电商公共服务站，具备条件的行政村建设电子商务公共服务点，具备条件的行政村建设电子商务公共服务点。支持“产地直供”电商基地建设，重点提升农业电商平台服务功能，推动农超、农社、农企、农校等产销对接，鼓励新型农业经营主体在城市社区设立鲜活农产品直销网点。到2025年，全市电子商务交易总额超过20亿元。</w:t>
      </w:r>
    </w:p>
    <w:p>
      <w:pPr>
        <w:keepNext w:val="0"/>
        <w:keepLines w:val="0"/>
        <w:pageBreakBefore w:val="0"/>
        <w:widowControl w:val="0"/>
        <w:kinsoku/>
        <w:wordWrap/>
        <w:overflowPunct/>
        <w:topLinePunct w:val="0"/>
        <w:autoSpaceDE/>
        <w:autoSpaceDN/>
        <w:bidi w:val="0"/>
        <w:adjustRightInd/>
        <w:snapToGrid w:val="0"/>
        <w:spacing w:line="640" w:lineRule="exact"/>
        <w:ind w:right="72" w:rightChars="24" w:firstLine="0"/>
        <w:jc w:val="center"/>
        <w:textAlignment w:val="auto"/>
        <w:outlineLvl w:val="2"/>
        <w:rPr>
          <w:rFonts w:hint="default" w:ascii="Times New Roman" w:hAnsi="Times New Roman" w:eastAsia="仿宋_GB2312" w:cs="Times New Roman"/>
          <w:b/>
          <w:bCs/>
          <w:sz w:val="32"/>
          <w:szCs w:val="32"/>
        </w:rPr>
      </w:pPr>
      <w:bookmarkStart w:id="243" w:name="_Toc17707"/>
      <w:bookmarkStart w:id="244" w:name="_Toc24471"/>
      <w:r>
        <w:rPr>
          <w:rFonts w:hint="default" w:ascii="Times New Roman" w:hAnsi="Times New Roman" w:eastAsia="楷体_GB2312" w:cs="Times New Roman"/>
          <w:b/>
          <w:bCs/>
          <w:sz w:val="32"/>
          <w:szCs w:val="32"/>
        </w:rPr>
        <w:t>第六节</w:t>
      </w:r>
      <w:bookmarkStart w:id="245" w:name="_Toc26391"/>
      <w:bookmarkStart w:id="246" w:name="_Toc29967"/>
      <w:r>
        <w:rPr>
          <w:rFonts w:hint="default" w:ascii="Times New Roman" w:hAnsi="Times New Roman" w:eastAsia="楷体_GB2312" w:cs="Times New Roman"/>
          <w:b/>
          <w:bCs/>
          <w:sz w:val="32"/>
          <w:szCs w:val="32"/>
        </w:rPr>
        <w:t xml:space="preserve">  加快发展生产性与生活性服务业</w:t>
      </w:r>
      <w:bookmarkEnd w:id="243"/>
      <w:bookmarkEnd w:id="244"/>
    </w:p>
    <w:p>
      <w:pPr>
        <w:keepNext w:val="0"/>
        <w:keepLines w:val="0"/>
        <w:pageBreakBefore w:val="0"/>
        <w:widowControl w:val="0"/>
        <w:kinsoku/>
        <w:wordWrap/>
        <w:overflowPunct/>
        <w:topLinePunct w:val="0"/>
        <w:autoSpaceDE/>
        <w:autoSpaceDN/>
        <w:bidi w:val="0"/>
        <w:adjustRightInd/>
        <w:snapToGrid w:val="0"/>
        <w:spacing w:line="64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w:t>
      </w:r>
      <w:bookmarkEnd w:id="245"/>
      <w:bookmarkEnd w:id="246"/>
      <w:r>
        <w:rPr>
          <w:rFonts w:hint="default" w:ascii="Times New Roman" w:hAnsi="Times New Roman" w:eastAsia="仿宋_GB2312" w:cs="Times New Roman"/>
          <w:sz w:val="32"/>
          <w:szCs w:val="32"/>
        </w:rPr>
        <w:t>生产制造与信息技术服务相融合，促进制造业与服务业相融合。搭建各类农业生产服务平台，积极开展服务下乡，帮助农民专业合作社开辟产品进超市、进社区、进批发市场的便捷通道；鼓励积极争创省、市星级综合服务社，在社区、中心村新建或改造一批主体多元、功能完备、便民实用的村级综合服务社。积极发展生活性服务业，培育发展社区服务业，重点发展医疗保健服务、家政服务、托幼服务和市政公用事业，满足居民生活多层次需求。培育发展养生养老服务业，充分利用优美的自然山水和良好的生态环境，建设疗养、保健、休闲等服务设施。大力发展医药连锁、医药物流、医药名店，方便群众购药。</w:t>
      </w: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cs="Times New Roman"/>
        </w:rPr>
      </w:pPr>
    </w:p>
    <w:p>
      <w:pPr>
        <w:spacing w:line="240" w:lineRule="auto"/>
        <w:rPr>
          <w:rFonts w:hint="default" w:ascii="Times New Roman" w:hAnsi="Times New Roman" w:cs="Times New Roma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92D050"/>
            <w:noWrap w:val="0"/>
            <w:vAlign w:val="top"/>
          </w:tcPr>
          <w:p>
            <w:pPr>
              <w:ind w:right="72" w:rightChars="24"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专栏3：现代服务业重点项目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1.弓棚镇现代化农产品物流集散基地：总投资8000万元，整个占地面积65000平方米。主要建设集农产品贸易、物流、信息、中介、仓储、期货于一体的大型现代化农产品物流集散基地。</w:t>
            </w:r>
          </w:p>
          <w:p>
            <w:pPr>
              <w:ind w:right="72" w:rightChars="24" w:firstLine="0"/>
              <w:rPr>
                <w:rFonts w:hint="default" w:ascii="Times New Roman" w:hAnsi="Times New Roman" w:eastAsia="仿宋_GB2312" w:cs="Times New Roman"/>
              </w:rPr>
            </w:pPr>
            <w:r>
              <w:rPr>
                <w:rFonts w:hint="default" w:ascii="Times New Roman" w:hAnsi="Times New Roman" w:eastAsia="楷体" w:cs="Times New Roman"/>
                <w:sz w:val="28"/>
                <w:szCs w:val="28"/>
              </w:rPr>
              <w:t>2.八号镇北沟村蔬菜冷链物流交易中心建设项目：总投资3.2亿元，占地面积13万平方米。主要建设现代化恒温冷库、气调库、交易大厅、综合服务楼、生产加工车间等。</w:t>
            </w:r>
          </w:p>
        </w:tc>
      </w:tr>
    </w:tbl>
    <w:p>
      <w:pPr>
        <w:ind w:firstLine="0"/>
        <w:jc w:val="center"/>
        <w:outlineLvl w:val="0"/>
        <w:rPr>
          <w:rFonts w:hint="default" w:ascii="Times New Roman" w:hAnsi="Times New Roman" w:eastAsia="黑体" w:cs="Times New Roman"/>
          <w:b/>
          <w:bCs/>
          <w:sz w:val="32"/>
          <w:szCs w:val="32"/>
        </w:rPr>
      </w:pPr>
      <w:r>
        <w:rPr>
          <w:rFonts w:hint="default" w:ascii="Times New Roman" w:hAnsi="Times New Roman" w:eastAsia="宋体" w:cs="Times New Roman"/>
          <w:b/>
          <w:bCs/>
          <w:sz w:val="32"/>
          <w:szCs w:val="32"/>
        </w:rPr>
        <w:br w:type="page"/>
      </w:r>
      <w:bookmarkStart w:id="247" w:name="_Toc10669"/>
      <w:bookmarkStart w:id="248" w:name="_Toc7601"/>
      <w:r>
        <w:rPr>
          <w:rFonts w:hint="default" w:ascii="Times New Roman" w:hAnsi="Times New Roman" w:eastAsia="黑体" w:cs="Times New Roman"/>
          <w:b w:val="0"/>
          <w:bCs w:val="0"/>
          <w:sz w:val="32"/>
          <w:szCs w:val="32"/>
        </w:rPr>
        <w:t>第五篇</w:t>
      </w:r>
      <w:bookmarkStart w:id="249" w:name="_Toc3524"/>
      <w:bookmarkStart w:id="250" w:name="_Toc7188"/>
      <w:r>
        <w:rPr>
          <w:rFonts w:hint="default" w:ascii="Times New Roman" w:hAnsi="Times New Roman" w:eastAsia="黑体" w:cs="Times New Roman"/>
          <w:b w:val="0"/>
          <w:bCs w:val="0"/>
          <w:sz w:val="32"/>
          <w:szCs w:val="32"/>
        </w:rPr>
        <w:t xml:space="preserve">  </w:t>
      </w:r>
      <w:r>
        <w:rPr>
          <w:rFonts w:hint="default" w:ascii="Times New Roman" w:hAnsi="Times New Roman" w:eastAsia="黑体" w:cs="Times New Roman"/>
          <w:sz w:val="32"/>
          <w:szCs w:val="32"/>
        </w:rPr>
        <w:t>实施城市更新</w:t>
      </w:r>
      <w:r>
        <w:rPr>
          <w:rFonts w:hint="default" w:ascii="Times New Roman" w:hAnsi="Times New Roman" w:eastAsia="黑体" w:cs="Times New Roman"/>
          <w:b w:val="0"/>
          <w:bCs w:val="0"/>
          <w:sz w:val="32"/>
          <w:szCs w:val="32"/>
        </w:rPr>
        <w:t xml:space="preserve">  </w:t>
      </w:r>
      <w:r>
        <w:rPr>
          <w:rFonts w:hint="default" w:ascii="Times New Roman" w:hAnsi="Times New Roman" w:eastAsia="黑体" w:cs="Times New Roman"/>
          <w:sz w:val="32"/>
          <w:szCs w:val="32"/>
        </w:rPr>
        <w:t>加快建设</w:t>
      </w:r>
      <w:r>
        <w:rPr>
          <w:rFonts w:hint="default" w:ascii="Times New Roman" w:hAnsi="Times New Roman" w:eastAsia="黑体" w:cs="Times New Roman"/>
          <w:b w:val="0"/>
          <w:bCs w:val="0"/>
          <w:sz w:val="32"/>
          <w:szCs w:val="32"/>
        </w:rPr>
        <w:t>新型城镇化</w:t>
      </w:r>
      <w:bookmarkEnd w:id="247"/>
      <w:bookmarkEnd w:id="248"/>
    </w:p>
    <w:p>
      <w:pPr>
        <w:ind w:right="72" w:rightChars="24" w:firstLine="640" w:firstLineChars="200"/>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w:t>
      </w:r>
      <w:bookmarkEnd w:id="1"/>
      <w:bookmarkEnd w:id="249"/>
      <w:bookmarkEnd w:id="250"/>
      <w:r>
        <w:rPr>
          <w:rFonts w:hint="default" w:ascii="Times New Roman" w:hAnsi="Times New Roman" w:eastAsia="仿宋_GB2312" w:cs="Times New Roman"/>
          <w:sz w:val="32"/>
          <w:szCs w:val="32"/>
        </w:rPr>
        <w:t>动新型城镇化发展与国土空间规划相互衔接，合理统筹资源要素，坚持高起点规划、高标准建设、高水平管理，重点构建“一核两区、双轴多点”的新型城镇化体系空间结构，合理划分县域的城乡发展空间，全面推进以人为核心的新型城镇化发展、产城融合发展、城乡协调发展。</w:t>
      </w:r>
    </w:p>
    <w:p>
      <w:pPr>
        <w:spacing w:line="240" w:lineRule="auto"/>
        <w:ind w:right="72" w:rightChars="24"/>
        <w:rPr>
          <w:rFonts w:hint="default" w:ascii="Times New Roman" w:hAnsi="Times New Roman" w:eastAsia="仿宋_GB2312" w:cs="Times New Roman"/>
          <w:sz w:val="32"/>
          <w:szCs w:val="32"/>
        </w:rPr>
      </w:pPr>
    </w:p>
    <w:p>
      <w:pPr>
        <w:spacing w:line="240" w:lineRule="auto"/>
        <w:ind w:right="72" w:rightChars="24" w:firstLine="0"/>
        <w:jc w:val="center"/>
        <w:outlineLvl w:val="1"/>
        <w:rPr>
          <w:rFonts w:hint="default" w:ascii="Times New Roman" w:hAnsi="Times New Roman" w:eastAsia="仿宋_GB2312" w:cs="Times New Roman"/>
          <w:b/>
          <w:sz w:val="32"/>
          <w:szCs w:val="32"/>
        </w:rPr>
      </w:pPr>
      <w:bookmarkStart w:id="251" w:name="_Toc18807"/>
      <w:bookmarkStart w:id="252" w:name="_Toc16615"/>
      <w:r>
        <w:rPr>
          <w:rFonts w:hint="default" w:ascii="Times New Roman" w:hAnsi="Times New Roman" w:eastAsia="仿宋_GB2312" w:cs="Times New Roman"/>
          <w:b/>
          <w:sz w:val="32"/>
          <w:szCs w:val="32"/>
        </w:rPr>
        <w:t>第</w:t>
      </w:r>
      <w:bookmarkStart w:id="253" w:name="_Toc58405219"/>
      <w:r>
        <w:rPr>
          <w:rFonts w:hint="default" w:ascii="Times New Roman" w:hAnsi="Times New Roman" w:eastAsia="仿宋_GB2312" w:cs="Times New Roman"/>
          <w:b/>
          <w:sz w:val="32"/>
          <w:szCs w:val="32"/>
        </w:rPr>
        <w:t>十</w:t>
      </w:r>
      <w:bookmarkEnd w:id="253"/>
      <w:r>
        <w:rPr>
          <w:rFonts w:hint="default" w:ascii="Times New Roman" w:hAnsi="Times New Roman" w:eastAsia="仿宋_GB2312" w:cs="Times New Roman"/>
          <w:b/>
          <w:sz w:val="32"/>
          <w:szCs w:val="32"/>
        </w:rPr>
        <w:t>一</w:t>
      </w:r>
      <w:bookmarkStart w:id="254" w:name="_Toc6021"/>
      <w:bookmarkStart w:id="255" w:name="_Toc29557"/>
      <w:r>
        <w:rPr>
          <w:rFonts w:hint="default" w:ascii="Times New Roman" w:hAnsi="Times New Roman" w:eastAsia="仿宋_GB2312" w:cs="Times New Roman"/>
          <w:b/>
          <w:sz w:val="32"/>
          <w:szCs w:val="32"/>
        </w:rPr>
        <w:t>章  加强国土空间管控</w:t>
      </w:r>
      <w:bookmarkEnd w:id="251"/>
      <w:bookmarkEnd w:id="252"/>
    </w:p>
    <w:p>
      <w:pPr>
        <w:spacing w:line="240" w:lineRule="auto"/>
        <w:ind w:right="72" w:rightChars="24"/>
        <w:rPr>
          <w:rFonts w:hint="default" w:ascii="Times New Roman" w:hAnsi="Times New Roman" w:eastAsia="仿宋_GB2312" w:cs="Times New Roman"/>
          <w:sz w:val="32"/>
          <w:szCs w:val="32"/>
        </w:rPr>
      </w:pPr>
    </w:p>
    <w:p>
      <w:pPr>
        <w:ind w:right="72" w:rightChars="24" w:firstLine="0"/>
        <w:jc w:val="center"/>
        <w:outlineLvl w:val="2"/>
        <w:rPr>
          <w:rFonts w:hint="default" w:ascii="Times New Roman" w:hAnsi="Times New Roman" w:eastAsia="楷体_GB2312" w:cs="Times New Roman"/>
          <w:sz w:val="32"/>
          <w:szCs w:val="32"/>
        </w:rPr>
      </w:pPr>
      <w:bookmarkStart w:id="256" w:name="_Toc8277"/>
      <w:bookmarkStart w:id="257" w:name="_Toc10147"/>
      <w:r>
        <w:rPr>
          <w:rFonts w:hint="default" w:ascii="Times New Roman" w:hAnsi="Times New Roman" w:eastAsia="楷体_GB2312" w:cs="Times New Roman"/>
          <w:b/>
          <w:bCs/>
          <w:sz w:val="32"/>
          <w:szCs w:val="32"/>
        </w:rPr>
        <w:t>第</w:t>
      </w:r>
      <w:bookmarkEnd w:id="254"/>
      <w:bookmarkEnd w:id="255"/>
      <w:r>
        <w:rPr>
          <w:rFonts w:hint="default" w:ascii="Times New Roman" w:hAnsi="Times New Roman" w:eastAsia="楷体_GB2312" w:cs="Times New Roman"/>
          <w:b/>
          <w:bCs/>
          <w:sz w:val="32"/>
          <w:szCs w:val="32"/>
        </w:rPr>
        <w:t>一节</w:t>
      </w:r>
      <w:bookmarkStart w:id="258" w:name="_Toc17384"/>
      <w:bookmarkStart w:id="259" w:name="_Toc17453"/>
      <w:r>
        <w:rPr>
          <w:rFonts w:hint="default" w:ascii="Times New Roman" w:hAnsi="Times New Roman" w:eastAsia="楷体_GB2312" w:cs="Times New Roman"/>
          <w:b/>
          <w:bCs/>
          <w:sz w:val="32"/>
          <w:szCs w:val="32"/>
        </w:rPr>
        <w:t xml:space="preserve">  深入落实主体功能区规划</w:t>
      </w:r>
      <w:bookmarkEnd w:id="256"/>
      <w:bookmarkEnd w:id="257"/>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w:t>
      </w:r>
      <w:bookmarkEnd w:id="258"/>
      <w:bookmarkEnd w:id="259"/>
      <w:r>
        <w:rPr>
          <w:rFonts w:hint="default" w:ascii="Times New Roman" w:hAnsi="Times New Roman" w:eastAsia="仿宋_GB2312" w:cs="Times New Roman"/>
          <w:sz w:val="32"/>
          <w:szCs w:val="32"/>
        </w:rPr>
        <w:t>主体功能区全域土地综合整治，引导人口及产业集聚发展，实现在空间上集聚、产业上集群、方式上集约发展。按照“四级三类”国土空间规划体系和主体功能区定位，加快编制县域国土空间规划，划定生态保护红线、永久基本农田、城镇开发边界，构建国土空间开发保护格局。严格国土空间用途管制，科学安排产业发展、基础设施、公共服务、资源能源、生态环境等空间布局。按照不同功能定位，明晰管治红线和配套政策，明确各类空间发展方向，建立由空间规划、用途管制等空间管理体系，促进生产空间集约高效、生活空间宜居适度、生态空间环境优美，形成功能协调、优势互补、联动发展的区域空间发展新格局。</w:t>
      </w:r>
    </w:p>
    <w:p>
      <w:pPr>
        <w:ind w:right="72" w:rightChars="24" w:firstLine="0"/>
        <w:jc w:val="center"/>
        <w:outlineLvl w:val="2"/>
        <w:rPr>
          <w:rFonts w:hint="default" w:ascii="Times New Roman" w:hAnsi="Times New Roman" w:eastAsia="楷体_GB2312" w:cs="Times New Roman"/>
          <w:b/>
          <w:bCs/>
          <w:sz w:val="32"/>
          <w:szCs w:val="32"/>
        </w:rPr>
      </w:pPr>
      <w:bookmarkStart w:id="260" w:name="_Toc24188"/>
      <w:bookmarkStart w:id="261" w:name="_Toc1921"/>
      <w:r>
        <w:rPr>
          <w:rFonts w:hint="default" w:ascii="Times New Roman" w:hAnsi="Times New Roman" w:eastAsia="楷体_GB2312" w:cs="Times New Roman"/>
          <w:b/>
          <w:bCs/>
          <w:sz w:val="32"/>
          <w:szCs w:val="32"/>
        </w:rPr>
        <w:t>第二节</w:t>
      </w:r>
      <w:bookmarkStart w:id="262" w:name="_Toc21006"/>
      <w:bookmarkStart w:id="263" w:name="_Toc24531"/>
      <w:r>
        <w:rPr>
          <w:rFonts w:hint="default" w:ascii="Times New Roman" w:hAnsi="Times New Roman" w:eastAsia="楷体_GB2312" w:cs="Times New Roman"/>
          <w:b/>
          <w:bCs/>
          <w:sz w:val="32"/>
          <w:szCs w:val="32"/>
        </w:rPr>
        <w:t xml:space="preserve">  构筑“一核两区、双轴多点”新型城镇体系</w:t>
      </w:r>
      <w:bookmarkEnd w:id="260"/>
      <w:bookmarkEnd w:id="261"/>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w:t>
      </w:r>
      <w:bookmarkEnd w:id="262"/>
      <w:bookmarkEnd w:id="263"/>
      <w:r>
        <w:rPr>
          <w:rFonts w:hint="default" w:ascii="Times New Roman" w:hAnsi="Times New Roman" w:eastAsia="仿宋_GB2312" w:cs="Times New Roman"/>
          <w:sz w:val="32"/>
          <w:szCs w:val="32"/>
        </w:rPr>
        <w:t>发展与布局相融合，建设与管理相统筹，打造“一核两区、双轴多点”的新型城镇空间布局，东接哈尔滨都市经济圈、南融长吉一体化、西连长春都市通达圈、北通中蒙俄经济走廊。</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一核两区：</w:t>
      </w:r>
      <w:r>
        <w:rPr>
          <w:rFonts w:hint="default" w:ascii="Times New Roman" w:hAnsi="Times New Roman" w:eastAsia="仿宋_GB2312" w:cs="Times New Roman"/>
          <w:sz w:val="32"/>
          <w:szCs w:val="32"/>
        </w:rPr>
        <w:t>“一核”即全力打造榆树中心城区，“两区”即加快推进以长春五棵树经济开发区及榆树环城工业集中区的产业集群建设，作为榆树市乡村振兴产业发展承接之地。</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双轴多点：</w:t>
      </w:r>
      <w:r>
        <w:rPr>
          <w:rFonts w:hint="default" w:ascii="Times New Roman" w:hAnsi="Times New Roman" w:eastAsia="仿宋_GB2312" w:cs="Times New Roman"/>
          <w:sz w:val="32"/>
          <w:szCs w:val="32"/>
        </w:rPr>
        <w:t>“双轴”即加快发展以国道503、省道301、陶榆铁路及铁科高速公路沿线的横向城镇发展轴；构建以国道202（黑大公路）为主的纵向城镇发展轴；“多点”即把五棵树镇、弓棚镇、于家镇、八号镇、刘家镇、大岭镇、秀水镇、大坡镇、新立镇、土桥镇作为发展重点镇。</w:t>
      </w:r>
    </w:p>
    <w:p>
      <w:pPr>
        <w:spacing w:line="240" w:lineRule="auto"/>
        <w:ind w:right="72" w:rightChars="24" w:firstLine="0"/>
        <w:jc w:val="center"/>
        <w:outlineLvl w:val="9"/>
        <w:rPr>
          <w:rFonts w:hint="default" w:ascii="Times New Roman" w:hAnsi="Times New Roman" w:eastAsia="仿宋_GB2312" w:cs="Times New Roman"/>
          <w:b/>
          <w:sz w:val="32"/>
          <w:szCs w:val="32"/>
        </w:rPr>
      </w:pPr>
    </w:p>
    <w:p>
      <w:pPr>
        <w:spacing w:line="240" w:lineRule="auto"/>
        <w:ind w:right="72" w:rightChars="24" w:firstLine="0"/>
        <w:jc w:val="center"/>
        <w:outlineLvl w:val="1"/>
        <w:rPr>
          <w:rFonts w:hint="default" w:ascii="Times New Roman" w:hAnsi="Times New Roman" w:eastAsia="仿宋_GB2312" w:cs="Times New Roman"/>
          <w:b/>
          <w:sz w:val="32"/>
          <w:szCs w:val="32"/>
        </w:rPr>
      </w:pPr>
      <w:bookmarkStart w:id="264" w:name="_Toc32557"/>
      <w:bookmarkStart w:id="265" w:name="_Toc23587"/>
      <w:r>
        <w:rPr>
          <w:rFonts w:hint="default" w:ascii="Times New Roman" w:hAnsi="Times New Roman" w:eastAsia="仿宋_GB2312" w:cs="Times New Roman"/>
          <w:b/>
          <w:sz w:val="32"/>
          <w:szCs w:val="32"/>
        </w:rPr>
        <w:t>第十二</w:t>
      </w:r>
      <w:bookmarkStart w:id="266" w:name="_Toc24409"/>
      <w:bookmarkStart w:id="267" w:name="_Toc27107"/>
      <w:r>
        <w:rPr>
          <w:rFonts w:hint="default" w:ascii="Times New Roman" w:hAnsi="Times New Roman" w:eastAsia="仿宋_GB2312" w:cs="Times New Roman"/>
          <w:b/>
          <w:sz w:val="32"/>
          <w:szCs w:val="32"/>
        </w:rPr>
        <w:t>章  加快新型城镇化发展</w:t>
      </w:r>
      <w:bookmarkEnd w:id="264"/>
      <w:bookmarkEnd w:id="265"/>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bookmarkEnd w:id="266"/>
      <w:bookmarkEnd w:id="267"/>
      <w:r>
        <w:rPr>
          <w:rFonts w:hint="default" w:ascii="Times New Roman" w:hAnsi="Times New Roman" w:eastAsia="仿宋_GB2312" w:cs="Times New Roman"/>
          <w:sz w:val="32"/>
          <w:szCs w:val="32"/>
        </w:rPr>
        <w:t>持建城强区兴镇的发展战略，构建核心带动、多点支撑体系，强化中心城区、“两区”和重点乡镇产业协作，实现资源协同共享，产城融合发展，全面推进新型城镇化进程。</w:t>
      </w:r>
    </w:p>
    <w:p>
      <w:pPr>
        <w:ind w:right="72" w:rightChars="24" w:firstLine="0"/>
        <w:jc w:val="center"/>
        <w:outlineLvl w:val="2"/>
        <w:rPr>
          <w:rFonts w:hint="default" w:ascii="Times New Roman" w:hAnsi="Times New Roman" w:eastAsia="楷体_GB2312" w:cs="Times New Roman"/>
          <w:b/>
          <w:bCs/>
          <w:sz w:val="32"/>
          <w:szCs w:val="32"/>
        </w:rPr>
      </w:pPr>
      <w:bookmarkStart w:id="268" w:name="_Toc12347"/>
      <w:bookmarkStart w:id="269" w:name="_Toc8526"/>
      <w:r>
        <w:rPr>
          <w:rFonts w:hint="default" w:ascii="Times New Roman" w:hAnsi="Times New Roman" w:eastAsia="楷体_GB2312" w:cs="Times New Roman"/>
          <w:b/>
          <w:bCs/>
          <w:sz w:val="32"/>
          <w:szCs w:val="32"/>
        </w:rPr>
        <w:t>第一节</w:t>
      </w:r>
      <w:bookmarkStart w:id="270" w:name="_Toc31536"/>
      <w:bookmarkStart w:id="271" w:name="_Toc24922"/>
      <w:r>
        <w:rPr>
          <w:rFonts w:hint="default" w:ascii="Times New Roman" w:hAnsi="Times New Roman" w:eastAsia="楷体_GB2312" w:cs="Times New Roman"/>
          <w:b/>
          <w:bCs/>
          <w:sz w:val="32"/>
          <w:szCs w:val="32"/>
        </w:rPr>
        <w:t xml:space="preserve">  推进中心城区外延拓展、内涵提升</w:t>
      </w:r>
      <w:bookmarkEnd w:id="268"/>
      <w:bookmarkEnd w:id="269"/>
    </w:p>
    <w:p>
      <w:pPr>
        <w:ind w:right="72" w:rightChars="24"/>
        <w:rPr>
          <w:rFonts w:hint="default" w:ascii="Times New Roman" w:hAnsi="Times New Roman" w:eastAsia="仿宋_GB2312" w:cs="Times New Roman"/>
          <w:sz w:val="32"/>
          <w:szCs w:val="32"/>
          <w:highlight w:val="green"/>
        </w:rPr>
      </w:pPr>
      <w:r>
        <w:rPr>
          <w:rFonts w:hint="default" w:ascii="Times New Roman" w:hAnsi="Times New Roman" w:eastAsia="仿宋_GB2312" w:cs="Times New Roman"/>
          <w:sz w:val="32"/>
          <w:szCs w:val="32"/>
        </w:rPr>
        <w:t>着力</w:t>
      </w:r>
      <w:bookmarkEnd w:id="270"/>
      <w:bookmarkEnd w:id="271"/>
      <w:r>
        <w:rPr>
          <w:rFonts w:hint="default" w:ascii="Times New Roman" w:hAnsi="Times New Roman" w:eastAsia="仿宋_GB2312" w:cs="Times New Roman"/>
          <w:sz w:val="32"/>
          <w:szCs w:val="32"/>
        </w:rPr>
        <w:t>优化中心城区作为核心区的功能分区，在外延拓展上做文章，发挥新民大街市政路的功能，整体向西扩展，到2025年，城区建成区面积发展到19.8平方公里。着力加快市行政中心至铁科高速公路榆树出口区域建设，进一步提升发展空间。在内涵提升上下功夫，整体设计城市主色调，打造榆树靓丽名片，高起点打造中央商务区，高要求完善城区园林体系，高标准改造提升老城区，全面推动城区基础设施改造升级。重点完成断头路、棚户区、老旧小区改造提升，科学规划公园、广场等休闲健身场所建设。规划建设城区休闲购物商业街，不断发展壮大房地产、金融、保险行业，积极培育“楼宇经济”“总部经济”。进一步完善城区公共服务设施，提升城市科学化、精细化、智能化管理水平，让中心城区绿起来、亮起来、美起来，使榆树真正成为充满幸福感的美丽城市。</w:t>
      </w:r>
    </w:p>
    <w:p>
      <w:pPr>
        <w:ind w:right="72" w:rightChars="24" w:firstLine="0"/>
        <w:jc w:val="center"/>
        <w:outlineLvl w:val="2"/>
        <w:rPr>
          <w:rFonts w:hint="default" w:ascii="Times New Roman" w:hAnsi="Times New Roman" w:eastAsia="仿宋_GB2312" w:cs="Times New Roman"/>
          <w:b/>
          <w:bCs/>
          <w:sz w:val="32"/>
          <w:szCs w:val="32"/>
        </w:rPr>
      </w:pPr>
      <w:bookmarkStart w:id="272" w:name="_Toc15225"/>
      <w:bookmarkStart w:id="273" w:name="_Toc29166"/>
      <w:r>
        <w:rPr>
          <w:rFonts w:hint="default" w:ascii="Times New Roman" w:hAnsi="Times New Roman" w:eastAsia="楷体_GB2312" w:cs="Times New Roman"/>
          <w:b/>
          <w:bCs/>
          <w:sz w:val="32"/>
          <w:szCs w:val="32"/>
        </w:rPr>
        <w:t>第二节</w:t>
      </w:r>
      <w:bookmarkStart w:id="274" w:name="_Toc29682"/>
      <w:bookmarkStart w:id="275" w:name="_Toc23482"/>
      <w:r>
        <w:rPr>
          <w:rFonts w:hint="default" w:ascii="Times New Roman" w:hAnsi="Times New Roman" w:eastAsia="楷体_GB2312" w:cs="Times New Roman"/>
          <w:b/>
          <w:bCs/>
          <w:sz w:val="32"/>
          <w:szCs w:val="32"/>
        </w:rPr>
        <w:t xml:space="preserve">  提高“两区”基础设施承载能力</w:t>
      </w:r>
      <w:bookmarkEnd w:id="272"/>
      <w:bookmarkEnd w:id="273"/>
    </w:p>
    <w:bookmarkEnd w:id="274"/>
    <w:bookmarkEnd w:id="275"/>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五棵树经济开发区和环城工业集中区的产业基础优势，重点打造“榆五经济发展带”，将其作三产融合发展的主阵地。以道路、水利、能源、环保等基础设施建设为重点，加大投入，加快形成布局合理、设施先进、功能完善的基础设施体系。注重路网结构的调整，在完成基础设施主干道路建设的基础上，适度提高次干道和支路网密度，提高可达性，加速形成路网结构完善、快速便捷、安全舒适的城市道路交通系统。加快推进“引松入五”供水工程建设，形成水源充足、水质良好、管网配套的一体化供水网络。完善电源和电网建设，加快推进天然气利用工程。通过提高“两区”产业的承载能力，招引更多的企业驻区发展，增加更多的就业岗位，吸纳更多的农村剩余人口向“两区”集中，实现产城融合发展。</w:t>
      </w:r>
    </w:p>
    <w:p>
      <w:pPr>
        <w:ind w:right="72" w:rightChars="24" w:firstLine="0"/>
        <w:jc w:val="center"/>
        <w:outlineLvl w:val="2"/>
        <w:rPr>
          <w:rFonts w:hint="default" w:ascii="Times New Roman" w:hAnsi="Times New Roman" w:eastAsia="仿宋_GB2312" w:cs="Times New Roman"/>
          <w:b/>
          <w:bCs/>
          <w:sz w:val="32"/>
          <w:szCs w:val="32"/>
        </w:rPr>
      </w:pPr>
      <w:bookmarkStart w:id="276" w:name="_Toc5905"/>
      <w:bookmarkStart w:id="277" w:name="_Toc25087"/>
      <w:r>
        <w:rPr>
          <w:rFonts w:hint="default" w:ascii="Times New Roman" w:hAnsi="Times New Roman" w:eastAsia="楷体_GB2312" w:cs="Times New Roman"/>
          <w:b/>
          <w:bCs/>
          <w:sz w:val="32"/>
          <w:szCs w:val="32"/>
        </w:rPr>
        <w:t>第三节</w:t>
      </w:r>
      <w:bookmarkStart w:id="278" w:name="_Toc24674"/>
      <w:bookmarkStart w:id="279" w:name="_Toc25439"/>
      <w:r>
        <w:rPr>
          <w:rFonts w:hint="default" w:ascii="Times New Roman" w:hAnsi="Times New Roman" w:eastAsia="楷体_GB2312" w:cs="Times New Roman"/>
          <w:b/>
          <w:bCs/>
          <w:sz w:val="32"/>
          <w:szCs w:val="32"/>
        </w:rPr>
        <w:t xml:space="preserve">  加快推进重点镇建设</w:t>
      </w:r>
      <w:bookmarkEnd w:id="276"/>
      <w:bookmarkEnd w:id="277"/>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高标</w:t>
      </w:r>
      <w:bookmarkEnd w:id="278"/>
      <w:bookmarkEnd w:id="279"/>
      <w:r>
        <w:rPr>
          <w:rFonts w:hint="default" w:ascii="Times New Roman" w:hAnsi="Times New Roman" w:eastAsia="仿宋_GB2312" w:cs="Times New Roman"/>
          <w:sz w:val="32"/>
          <w:szCs w:val="32"/>
        </w:rPr>
        <w:t>准推进乡镇基础设施、公共服务设施和公共安全设施建设，优先将城区周边基础条件好的乡镇和村庄作为重点建设区域，发挥五棵树镇、弓棚镇、于家镇毗邻重点交通干线的优势，聚焦区域农产品“精、深、优”加工，大力发展农产品商贸物流业；发挥八号镇、刘家镇、大岭镇、秀水镇、大坡镇、新立镇、土桥镇产业基础的优势，打造以田园综合体、文旅康养、特色作物种植、特色畜牧养殖为主题的重点镇，辐射带动其他乡镇发展，全面提升乡镇综合承载能力和公共服务水平。</w:t>
      </w:r>
    </w:p>
    <w:p>
      <w:pPr>
        <w:ind w:right="72" w:rightChars="24" w:firstLine="0"/>
        <w:jc w:val="center"/>
        <w:outlineLvl w:val="2"/>
        <w:rPr>
          <w:rFonts w:hint="default" w:ascii="Times New Roman" w:hAnsi="Times New Roman" w:eastAsia="楷体_GB2312" w:cs="Times New Roman"/>
          <w:b/>
          <w:bCs/>
          <w:sz w:val="32"/>
          <w:szCs w:val="32"/>
        </w:rPr>
      </w:pPr>
      <w:bookmarkStart w:id="280" w:name="_Toc15455"/>
      <w:bookmarkStart w:id="281" w:name="_Toc27466"/>
      <w:r>
        <w:rPr>
          <w:rFonts w:hint="default" w:ascii="Times New Roman" w:hAnsi="Times New Roman" w:eastAsia="楷体_GB2312" w:cs="Times New Roman"/>
          <w:b/>
          <w:bCs/>
          <w:sz w:val="32"/>
          <w:szCs w:val="32"/>
        </w:rPr>
        <w:t>第四节</w:t>
      </w:r>
      <w:bookmarkStart w:id="282" w:name="_Toc10478"/>
      <w:bookmarkStart w:id="283" w:name="_Toc22598"/>
      <w:r>
        <w:rPr>
          <w:rFonts w:hint="default" w:ascii="Times New Roman" w:hAnsi="Times New Roman" w:eastAsia="楷体_GB2312" w:cs="Times New Roman"/>
          <w:b/>
          <w:bCs/>
          <w:sz w:val="32"/>
          <w:szCs w:val="32"/>
        </w:rPr>
        <w:t xml:space="preserve">  促进区域一体化协同发展</w:t>
      </w:r>
      <w:bookmarkEnd w:id="280"/>
      <w:bookmarkEnd w:id="281"/>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bookmarkEnd w:id="282"/>
      <w:bookmarkEnd w:id="283"/>
      <w:r>
        <w:rPr>
          <w:rFonts w:hint="default" w:ascii="Times New Roman" w:hAnsi="Times New Roman" w:eastAsia="仿宋_GB2312" w:cs="Times New Roman"/>
          <w:sz w:val="32"/>
          <w:szCs w:val="32"/>
        </w:rPr>
        <w:t>哈长城市群区域性中心城市建设及长吉图战略开放发展，依托榆树中心区位优势，整合空间布局，完善城市功能，优化城镇体系，建立健全以城带乡、以工促农、城乡互动的长效机制。推进五棵树镇与陶赖昭、菜园子、松花江、三岔河、新源、五家站等乡镇共建“半小时经济圈”，重点谋划“五陶菜”滨江新城融合创新发展，加强在规划同图、产业同链、交通同网、政策同享、招商一体和产城融合发展等方面深度合作，实现资源共享、优势互补，促进区域经济协同发展。</w:t>
      </w:r>
    </w:p>
    <w:p>
      <w:pPr>
        <w:ind w:right="72" w:rightChars="24" w:firstLine="0"/>
        <w:jc w:val="center"/>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br w:type="page"/>
      </w:r>
      <w:bookmarkStart w:id="284" w:name="_Toc21507"/>
      <w:bookmarkStart w:id="285" w:name="_Toc1281"/>
      <w:r>
        <w:rPr>
          <w:rFonts w:hint="default" w:ascii="Times New Roman" w:hAnsi="Times New Roman" w:eastAsia="黑体" w:cs="Times New Roman"/>
          <w:b w:val="0"/>
          <w:bCs/>
          <w:sz w:val="32"/>
          <w:szCs w:val="32"/>
        </w:rPr>
        <w:t>第六篇</w:t>
      </w:r>
      <w:bookmarkStart w:id="286" w:name="_Toc16497"/>
      <w:bookmarkStart w:id="287" w:name="_Toc13554"/>
      <w:bookmarkStart w:id="288" w:name="_Toc155"/>
      <w:r>
        <w:rPr>
          <w:rFonts w:hint="default" w:ascii="Times New Roman" w:hAnsi="Times New Roman" w:eastAsia="黑体" w:cs="Times New Roman"/>
          <w:b w:val="0"/>
          <w:bCs/>
          <w:sz w:val="32"/>
          <w:szCs w:val="32"/>
        </w:rPr>
        <w:t xml:space="preserve">  </w:t>
      </w:r>
      <w:r>
        <w:rPr>
          <w:rFonts w:hint="default" w:ascii="Times New Roman" w:hAnsi="Times New Roman" w:eastAsia="黑体" w:cs="Times New Roman"/>
          <w:bCs/>
          <w:sz w:val="32"/>
          <w:szCs w:val="32"/>
        </w:rPr>
        <w:t>立足强基固本  持续提升</w:t>
      </w:r>
      <w:r>
        <w:rPr>
          <w:rFonts w:hint="default" w:ascii="Times New Roman" w:hAnsi="Times New Roman" w:eastAsia="黑体" w:cs="Times New Roman"/>
          <w:b w:val="0"/>
          <w:bCs/>
          <w:sz w:val="32"/>
          <w:szCs w:val="32"/>
        </w:rPr>
        <w:t>承载能力</w:t>
      </w:r>
      <w:bookmarkEnd w:id="284"/>
      <w:bookmarkEnd w:id="285"/>
      <w:r>
        <w:rPr>
          <w:rFonts w:hint="default" w:ascii="Times New Roman" w:hAnsi="Times New Roman" w:eastAsia="黑体" w:cs="Times New Roman"/>
          <w:b w:val="0"/>
          <w:bCs/>
          <w:sz w:val="32"/>
          <w:szCs w:val="32"/>
        </w:rPr>
        <w:t xml:space="preserve">  </w:t>
      </w:r>
    </w:p>
    <w:p>
      <w:pPr>
        <w:spacing w:line="240" w:lineRule="auto"/>
        <w:ind w:right="72" w:rightChars="24" w:firstLine="643" w:firstLineChars="200"/>
        <w:jc w:val="center"/>
        <w:rPr>
          <w:rFonts w:hint="default" w:ascii="Times New Roman" w:hAnsi="Times New Roman" w:eastAsia="仿宋_GB2312" w:cs="Times New Roman"/>
          <w:b/>
          <w:sz w:val="32"/>
          <w:szCs w:val="32"/>
        </w:rPr>
      </w:pPr>
    </w:p>
    <w:p>
      <w:pPr>
        <w:spacing w:line="240" w:lineRule="auto"/>
        <w:ind w:right="72" w:rightChars="24" w:firstLine="643" w:firstLineChars="200"/>
        <w:jc w:val="center"/>
        <w:outlineLvl w:val="1"/>
        <w:rPr>
          <w:rFonts w:hint="default" w:ascii="Times New Roman" w:hAnsi="Times New Roman" w:eastAsia="仿宋_GB2312" w:cs="Times New Roman"/>
          <w:b/>
          <w:sz w:val="32"/>
          <w:szCs w:val="32"/>
        </w:rPr>
      </w:pPr>
      <w:bookmarkStart w:id="289" w:name="_Toc25946"/>
      <w:bookmarkStart w:id="290" w:name="_Toc21123"/>
      <w:r>
        <w:rPr>
          <w:rFonts w:hint="default" w:ascii="Times New Roman" w:hAnsi="Times New Roman" w:eastAsia="仿宋_GB2312" w:cs="Times New Roman"/>
          <w:b/>
          <w:sz w:val="32"/>
          <w:szCs w:val="32"/>
        </w:rPr>
        <w:t>第</w:t>
      </w:r>
      <w:bookmarkEnd w:id="286"/>
      <w:bookmarkEnd w:id="287"/>
      <w:bookmarkEnd w:id="288"/>
      <w:r>
        <w:rPr>
          <w:rFonts w:hint="default" w:ascii="Times New Roman" w:hAnsi="Times New Roman" w:eastAsia="仿宋_GB2312" w:cs="Times New Roman"/>
          <w:b/>
          <w:sz w:val="32"/>
          <w:szCs w:val="32"/>
        </w:rPr>
        <w:t>十三</w:t>
      </w:r>
      <w:bookmarkStart w:id="291" w:name="_Toc4114"/>
      <w:bookmarkStart w:id="292" w:name="_Toc5701"/>
      <w:r>
        <w:rPr>
          <w:rFonts w:hint="default" w:ascii="Times New Roman" w:hAnsi="Times New Roman" w:eastAsia="仿宋_GB2312" w:cs="Times New Roman"/>
          <w:b/>
          <w:sz w:val="32"/>
          <w:szCs w:val="32"/>
        </w:rPr>
        <w:t>章  建设</w:t>
      </w:r>
      <w:bookmarkStart w:id="293" w:name="_Toc443381487"/>
      <w:bookmarkStart w:id="294" w:name="_Toc21480"/>
      <w:r>
        <w:rPr>
          <w:rFonts w:hint="default" w:ascii="Times New Roman" w:hAnsi="Times New Roman" w:eastAsia="仿宋_GB2312" w:cs="Times New Roman"/>
          <w:b/>
          <w:sz w:val="32"/>
          <w:szCs w:val="32"/>
        </w:rPr>
        <w:t>现代综合交通运输网</w:t>
      </w:r>
      <w:bookmarkEnd w:id="289"/>
      <w:bookmarkEnd w:id="290"/>
    </w:p>
    <w:p>
      <w:pPr>
        <w:pStyle w:val="29"/>
        <w:spacing w:after="0" w:line="240" w:lineRule="auto"/>
        <w:rPr>
          <w:rFonts w:hint="default" w:ascii="Times New Roman" w:hAnsi="Times New Roman" w:cs="Times New Roman"/>
        </w:rPr>
      </w:pPr>
    </w:p>
    <w:bookmarkEnd w:id="293"/>
    <w:bookmarkEnd w:id="294"/>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w:t>
      </w:r>
      <w:bookmarkEnd w:id="291"/>
      <w:bookmarkEnd w:id="292"/>
      <w:r>
        <w:rPr>
          <w:rFonts w:hint="default" w:ascii="Times New Roman" w:hAnsi="Times New Roman" w:eastAsia="仿宋_GB2312" w:cs="Times New Roman"/>
          <w:sz w:val="32"/>
          <w:szCs w:val="32"/>
        </w:rPr>
        <w:t>绕建设交通枢纽城市的核心目标，谋划大交通，畅通微循环。加大投入，大力发展以陶榆铁路、京哈高速、吉黑高速、铁科高速等路网为支撑，高密度农村公路网为基础，公路、铁路、航空等多种运输方式衔接紧密的现代综合交通运输体系，把榆树建设成为长春北部支撑省际、纵横四方的核心地域和关键纽带。</w:t>
      </w:r>
    </w:p>
    <w:p>
      <w:pPr>
        <w:ind w:right="72" w:rightChars="24" w:firstLine="640" w:firstLineChars="0"/>
        <w:jc w:val="center"/>
        <w:outlineLvl w:val="2"/>
        <w:rPr>
          <w:rFonts w:hint="default" w:ascii="Times New Roman" w:hAnsi="Times New Roman" w:eastAsia="楷体_GB2312" w:cs="Times New Roman"/>
          <w:sz w:val="32"/>
          <w:szCs w:val="32"/>
        </w:rPr>
      </w:pPr>
      <w:bookmarkStart w:id="295" w:name="_Toc10167"/>
      <w:bookmarkStart w:id="296" w:name="_Toc7102"/>
      <w:r>
        <w:rPr>
          <w:rFonts w:hint="default" w:ascii="Times New Roman" w:hAnsi="Times New Roman" w:eastAsia="楷体_GB2312" w:cs="Times New Roman"/>
          <w:b/>
          <w:bCs/>
          <w:sz w:val="32"/>
          <w:szCs w:val="32"/>
        </w:rPr>
        <w:t>第一节</w:t>
      </w:r>
      <w:bookmarkStart w:id="297" w:name="_Toc12473"/>
      <w:bookmarkStart w:id="298" w:name="_Toc222"/>
      <w:r>
        <w:rPr>
          <w:rFonts w:hint="default" w:ascii="Times New Roman" w:hAnsi="Times New Roman" w:eastAsia="楷体_GB2312" w:cs="Times New Roman"/>
          <w:b/>
          <w:bCs/>
          <w:sz w:val="32"/>
          <w:szCs w:val="32"/>
        </w:rPr>
        <w:t xml:space="preserve">  铁路交通工程建设</w:t>
      </w:r>
      <w:bookmarkEnd w:id="295"/>
      <w:bookmarkEnd w:id="29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w:t>
      </w:r>
      <w:bookmarkEnd w:id="297"/>
      <w:bookmarkEnd w:id="298"/>
      <w:r>
        <w:rPr>
          <w:rFonts w:hint="default" w:ascii="Times New Roman" w:hAnsi="Times New Roman" w:eastAsia="仿宋_GB2312" w:cs="Times New Roman"/>
          <w:sz w:val="32"/>
          <w:szCs w:val="32"/>
        </w:rPr>
        <w:t>《新时代交通强国铁路先行规划纲要》，进一步提升现有铁路运输能力，重点推动舒兰至榆树至陶赖昭铁路电气化扩能改造工程。</w:t>
      </w:r>
      <w:r>
        <w:rPr>
          <w:rFonts w:hint="default" w:ascii="Times New Roman" w:hAnsi="Times New Roman" w:eastAsia="仿宋_GB2312" w:cs="Times New Roman"/>
          <w:color w:val="000000"/>
          <w:kern w:val="0"/>
          <w:sz w:val="32"/>
          <w:szCs w:val="32"/>
        </w:rPr>
        <w:t>力争</w:t>
      </w:r>
      <w:r>
        <w:rPr>
          <w:rFonts w:hint="default" w:ascii="Times New Roman" w:hAnsi="Times New Roman" w:eastAsia="仿宋_GB2312" w:cs="Times New Roman"/>
          <w:color w:val="000000"/>
          <w:sz w:val="32"/>
          <w:szCs w:val="32"/>
        </w:rPr>
        <w:t>将</w:t>
      </w:r>
      <w:r>
        <w:rPr>
          <w:rFonts w:hint="default" w:ascii="Times New Roman" w:hAnsi="Times New Roman" w:eastAsia="仿宋_GB2312" w:cs="Times New Roman"/>
          <w:sz w:val="32"/>
          <w:szCs w:val="32"/>
        </w:rPr>
        <w:t>吉林经榆树至哈尔滨城际高速铁路工程</w:t>
      </w:r>
      <w:r>
        <w:rPr>
          <w:rFonts w:hint="default" w:ascii="Times New Roman" w:hAnsi="Times New Roman" w:eastAsia="仿宋_GB2312" w:cs="Times New Roman"/>
          <w:color w:val="000000"/>
          <w:sz w:val="32"/>
          <w:szCs w:val="32"/>
        </w:rPr>
        <w:t>纳入国家铁路网建设规划</w:t>
      </w:r>
      <w:r>
        <w:rPr>
          <w:rFonts w:hint="default" w:ascii="Times New Roman" w:hAnsi="Times New Roman" w:eastAsia="仿宋_GB2312" w:cs="Times New Roman"/>
          <w:sz w:val="32"/>
          <w:szCs w:val="32"/>
        </w:rPr>
        <w:t>，实现接驳京哈高铁，进入全国八横八纵高速铁路网。</w:t>
      </w:r>
    </w:p>
    <w:p>
      <w:pPr>
        <w:ind w:right="72" w:rightChars="24" w:firstLine="640" w:firstLineChars="0"/>
        <w:jc w:val="center"/>
        <w:outlineLvl w:val="2"/>
        <w:rPr>
          <w:rFonts w:hint="default" w:ascii="Times New Roman" w:hAnsi="Times New Roman" w:eastAsia="楷体_GB2312" w:cs="Times New Roman"/>
          <w:b/>
          <w:bCs/>
          <w:sz w:val="32"/>
          <w:szCs w:val="32"/>
        </w:rPr>
      </w:pPr>
      <w:bookmarkStart w:id="299" w:name="_Toc1505"/>
      <w:bookmarkStart w:id="300" w:name="_Toc8141"/>
      <w:r>
        <w:rPr>
          <w:rFonts w:hint="default" w:ascii="Times New Roman" w:hAnsi="Times New Roman" w:eastAsia="楷体_GB2312" w:cs="Times New Roman"/>
          <w:b/>
          <w:bCs/>
          <w:sz w:val="32"/>
          <w:szCs w:val="32"/>
        </w:rPr>
        <w:t>第二节</w:t>
      </w:r>
      <w:bookmarkStart w:id="301" w:name="_Toc31047"/>
      <w:bookmarkStart w:id="302" w:name="_Toc26718"/>
      <w:r>
        <w:rPr>
          <w:rFonts w:hint="default" w:ascii="Times New Roman" w:hAnsi="Times New Roman" w:eastAsia="楷体_GB2312" w:cs="Times New Roman"/>
          <w:b/>
          <w:bCs/>
          <w:sz w:val="32"/>
          <w:szCs w:val="32"/>
        </w:rPr>
        <w:t xml:space="preserve">  公路交通工程建设</w:t>
      </w:r>
      <w:bookmarkEnd w:id="299"/>
      <w:bookmarkEnd w:id="30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w:t>
      </w:r>
      <w:bookmarkEnd w:id="301"/>
      <w:bookmarkEnd w:id="302"/>
      <w:r>
        <w:rPr>
          <w:rFonts w:hint="default" w:ascii="Times New Roman" w:hAnsi="Times New Roman" w:eastAsia="仿宋_GB2312" w:cs="Times New Roman"/>
          <w:sz w:val="32"/>
          <w:szCs w:val="32"/>
        </w:rPr>
        <w:t>干线公路建设，启动五通公路房身至榆树市区段（榆树高速公路西出口连接线）改扩建工程，实施国道（G202）黑大线一级公路拓宽改造工程，重点谋划榆树至龙嘉机场快速路新建工程、省道舒陶线（S301）榆树至舒兰段一级公路拓宽改造工程、于家镇高速公路出口至国道五通公路（G503）连接线改扩建工程、弓棚镇高速公路出口至省道舒陶线（S301）连接线改扩建工程、五棵树镇至大坡镇滨江旅游公路新建工程等。实施乡村振兴基础设施工程，加强国家、省、县、乡道路和村道的路网衔接，逐步推进农村公路向进村入户延伸。重点实施农村公路危桥改造项目，完成农村公路危桥改造50座；农村公路新建桥梁工程项目，新建桥梁15座；农村公路大修工程，大修改造农村公路500公里；通自然屯硬化路项目，新建通屯硬化路125公里。</w:t>
      </w:r>
    </w:p>
    <w:p>
      <w:pPr>
        <w:ind w:right="72" w:rightChars="24" w:firstLine="640" w:firstLineChars="0"/>
        <w:jc w:val="center"/>
        <w:outlineLvl w:val="2"/>
        <w:rPr>
          <w:rFonts w:hint="default" w:ascii="Times New Roman" w:hAnsi="Times New Roman" w:eastAsia="楷体_GB2312" w:cs="Times New Roman"/>
          <w:b/>
          <w:bCs/>
          <w:sz w:val="32"/>
          <w:szCs w:val="32"/>
        </w:rPr>
      </w:pPr>
      <w:bookmarkStart w:id="303" w:name="_Toc10908"/>
      <w:bookmarkStart w:id="304" w:name="_Toc19780"/>
      <w:r>
        <w:rPr>
          <w:rFonts w:hint="default" w:ascii="Times New Roman" w:hAnsi="Times New Roman" w:eastAsia="楷体_GB2312" w:cs="Times New Roman"/>
          <w:b/>
          <w:bCs/>
          <w:sz w:val="32"/>
          <w:szCs w:val="32"/>
        </w:rPr>
        <w:t>第三节</w:t>
      </w:r>
      <w:bookmarkStart w:id="305" w:name="_Toc12836"/>
      <w:bookmarkStart w:id="306" w:name="_Toc9624"/>
      <w:r>
        <w:rPr>
          <w:rFonts w:hint="default" w:ascii="Times New Roman" w:hAnsi="Times New Roman" w:eastAsia="楷体_GB2312" w:cs="Times New Roman"/>
          <w:b/>
          <w:bCs/>
          <w:sz w:val="32"/>
          <w:szCs w:val="32"/>
        </w:rPr>
        <w:t xml:space="preserve">  航空通道建设</w:t>
      </w:r>
      <w:bookmarkEnd w:id="303"/>
      <w:bookmarkEnd w:id="30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w:t>
      </w:r>
      <w:bookmarkEnd w:id="305"/>
      <w:bookmarkEnd w:id="306"/>
      <w:r>
        <w:rPr>
          <w:rFonts w:hint="default" w:ascii="Times New Roman" w:hAnsi="Times New Roman" w:eastAsia="仿宋_GB2312" w:cs="Times New Roman"/>
          <w:sz w:val="32"/>
          <w:szCs w:val="32"/>
        </w:rPr>
        <w:t>建设并商业运营榆树通用航空机场，拓展农林作业、公务航空、私人飞行、空中游览、航空运动、教育培训等消费类的通用航空业务。推进榆树支线机场建设，在榆树至查干湖航线的基础上，进一步打通榆树至长春、榆树至长白山等多条旅游航线，实现榆树与干线机场运输航线有效衔接，借力发展以航空物流为代表的低空经济。</w:t>
      </w:r>
    </w:p>
    <w:p>
      <w:pPr>
        <w:ind w:right="72" w:rightChars="24" w:firstLine="640" w:firstLineChars="0"/>
        <w:jc w:val="center"/>
        <w:outlineLvl w:val="2"/>
        <w:rPr>
          <w:rFonts w:hint="default" w:ascii="Times New Roman" w:hAnsi="Times New Roman" w:eastAsia="仿宋_GB2312" w:cs="Times New Roman"/>
          <w:b/>
          <w:bCs/>
          <w:sz w:val="32"/>
          <w:szCs w:val="32"/>
        </w:rPr>
      </w:pPr>
      <w:bookmarkStart w:id="307" w:name="_Toc8168"/>
      <w:bookmarkStart w:id="308" w:name="_Toc24360"/>
      <w:r>
        <w:rPr>
          <w:rFonts w:hint="default" w:ascii="Times New Roman" w:hAnsi="Times New Roman" w:eastAsia="楷体_GB2312" w:cs="Times New Roman"/>
          <w:b/>
          <w:bCs/>
          <w:sz w:val="32"/>
          <w:szCs w:val="32"/>
        </w:rPr>
        <w:t>第四节</w:t>
      </w:r>
      <w:bookmarkStart w:id="309" w:name="_Toc311"/>
      <w:bookmarkStart w:id="310" w:name="_Toc28316"/>
      <w:r>
        <w:rPr>
          <w:rFonts w:hint="default" w:ascii="Times New Roman" w:hAnsi="Times New Roman" w:eastAsia="楷体_GB2312" w:cs="Times New Roman"/>
          <w:b/>
          <w:bCs/>
          <w:sz w:val="32"/>
          <w:szCs w:val="32"/>
        </w:rPr>
        <w:t xml:space="preserve">  客运系统建设</w:t>
      </w:r>
      <w:bookmarkEnd w:id="307"/>
      <w:bookmarkEnd w:id="30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w:t>
      </w:r>
      <w:bookmarkEnd w:id="309"/>
      <w:bookmarkEnd w:id="310"/>
      <w:r>
        <w:rPr>
          <w:rFonts w:hint="default" w:ascii="Times New Roman" w:hAnsi="Times New Roman" w:eastAsia="仿宋_GB2312" w:cs="Times New Roman"/>
          <w:sz w:val="32"/>
          <w:szCs w:val="32"/>
        </w:rPr>
        <w:t>客货枢纽站及公交站场建设，长途客运、全县客运线路进一步延伸，客运车辆数量稳步增加，车型更加现代化；城市公交车辆达到每万人5标台以上，逐步推行新能源汽车；在全面实现农村客运通的基础上，集约化整合经营农村客运线路，实现城乡客运公交一体化。</w:t>
      </w:r>
    </w:p>
    <w:p>
      <w:pPr>
        <w:ind w:right="72" w:rightChars="24" w:firstLine="0"/>
        <w:jc w:val="center"/>
        <w:outlineLvl w:val="2"/>
        <w:rPr>
          <w:rFonts w:hint="default" w:ascii="Times New Roman" w:hAnsi="Times New Roman" w:eastAsia="楷体_GB2312" w:cs="Times New Roman"/>
          <w:b/>
          <w:bCs/>
          <w:sz w:val="32"/>
          <w:szCs w:val="32"/>
        </w:rPr>
      </w:pPr>
      <w:bookmarkStart w:id="311" w:name="_Toc13520"/>
      <w:bookmarkStart w:id="312" w:name="_Toc580"/>
      <w:r>
        <w:rPr>
          <w:rFonts w:hint="default" w:ascii="Times New Roman" w:hAnsi="Times New Roman" w:eastAsia="楷体_GB2312" w:cs="Times New Roman"/>
          <w:b/>
          <w:bCs/>
          <w:sz w:val="32"/>
          <w:szCs w:val="32"/>
        </w:rPr>
        <w:t>第五节</w:t>
      </w:r>
      <w:bookmarkStart w:id="313" w:name="_Toc18222"/>
      <w:bookmarkStart w:id="314" w:name="_Toc18918"/>
      <w:r>
        <w:rPr>
          <w:rFonts w:hint="default" w:ascii="Times New Roman" w:hAnsi="Times New Roman" w:eastAsia="楷体_GB2312" w:cs="Times New Roman"/>
          <w:b/>
          <w:bCs/>
          <w:sz w:val="32"/>
          <w:szCs w:val="32"/>
        </w:rPr>
        <w:t xml:space="preserve">  货运系统建设</w:t>
      </w:r>
      <w:bookmarkEnd w:id="311"/>
      <w:bookmarkEnd w:id="31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w:t>
      </w:r>
      <w:bookmarkEnd w:id="313"/>
      <w:bookmarkEnd w:id="314"/>
      <w:r>
        <w:rPr>
          <w:rFonts w:hint="default" w:ascii="Times New Roman" w:hAnsi="Times New Roman" w:eastAsia="仿宋_GB2312" w:cs="Times New Roman"/>
          <w:sz w:val="32"/>
          <w:szCs w:val="32"/>
        </w:rPr>
        <w:t>货运枢纽建设和改造升级，建设与城镇空间布局和现代产业布局相协调的区域物流配送中心，夯实区域现代物流业发展基础，加速传统运输业向现代物流业的转变，充分发挥站场在物流运输中的节点作用，提供延伸服务和增值服务，培育物流龙头企业，加快形成区域物流网络。</w:t>
      </w:r>
    </w:p>
    <w:p>
      <w:pPr>
        <w:ind w:right="72" w:rightChars="24" w:firstLine="0"/>
        <w:jc w:val="center"/>
        <w:outlineLvl w:val="2"/>
        <w:rPr>
          <w:rFonts w:hint="default" w:ascii="Times New Roman" w:hAnsi="Times New Roman" w:eastAsia="楷体_GB2312" w:cs="Times New Roman"/>
          <w:b/>
          <w:bCs/>
          <w:sz w:val="32"/>
          <w:szCs w:val="32"/>
        </w:rPr>
      </w:pPr>
      <w:bookmarkStart w:id="315" w:name="_Toc27824"/>
      <w:bookmarkStart w:id="316" w:name="_Toc3658"/>
      <w:r>
        <w:rPr>
          <w:rFonts w:hint="default" w:ascii="Times New Roman" w:hAnsi="Times New Roman" w:eastAsia="楷体_GB2312" w:cs="Times New Roman"/>
          <w:b/>
          <w:bCs/>
          <w:sz w:val="32"/>
          <w:szCs w:val="32"/>
        </w:rPr>
        <w:t>第六节</w:t>
      </w:r>
      <w:bookmarkStart w:id="317" w:name="_Toc11190"/>
      <w:bookmarkStart w:id="318" w:name="_Toc15143"/>
      <w:r>
        <w:rPr>
          <w:rFonts w:hint="default" w:ascii="Times New Roman" w:hAnsi="Times New Roman" w:eastAsia="楷体_GB2312" w:cs="Times New Roman"/>
          <w:b/>
          <w:bCs/>
          <w:sz w:val="32"/>
          <w:szCs w:val="32"/>
        </w:rPr>
        <w:t xml:space="preserve">  交通运输综合指挥平台建设</w:t>
      </w:r>
      <w:bookmarkEnd w:id="315"/>
      <w:bookmarkEnd w:id="31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bookmarkEnd w:id="317"/>
      <w:bookmarkEnd w:id="318"/>
      <w:r>
        <w:rPr>
          <w:rFonts w:hint="default" w:ascii="Times New Roman" w:hAnsi="Times New Roman" w:eastAsia="仿宋_GB2312" w:cs="Times New Roman"/>
          <w:sz w:val="32"/>
          <w:szCs w:val="32"/>
        </w:rPr>
        <w:t>“平时监督、急时应急、战时应战”的工作思路，以指挥平台建设为契机，构建一个集“综合运输协调指挥”“交通安全应急指挥”“数据整合与综合分析”“决策支持与信息服务”于一体的交通运输行业智能化交通运输体系，进而深化“日常监管、应急处置、数据分析、信息发布”四大业务。</w:t>
      </w:r>
    </w:p>
    <w:p>
      <w:pPr>
        <w:pStyle w:val="2"/>
        <w:rPr>
          <w:rFonts w:hint="default" w:ascii="Times New Roman" w:hAnsi="Times New Roman" w:cs="Times New Roma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92D050"/>
            <w:noWrap w:val="0"/>
            <w:vAlign w:val="top"/>
          </w:tcPr>
          <w:p>
            <w:pPr>
              <w:ind w:right="72" w:rightChars="24"/>
              <w:jc w:val="center"/>
              <w:rPr>
                <w:rFonts w:hint="default" w:ascii="Times New Roman" w:hAnsi="Times New Roman" w:eastAsia="楷体" w:cs="Times New Roman"/>
                <w:sz w:val="28"/>
                <w:szCs w:val="28"/>
              </w:rPr>
            </w:pPr>
            <w:r>
              <w:rPr>
                <w:rFonts w:hint="default" w:ascii="Times New Roman" w:hAnsi="Times New Roman" w:eastAsia="仿宋_GB2312" w:cs="Times New Roman"/>
                <w:b/>
                <w:sz w:val="32"/>
                <w:szCs w:val="32"/>
              </w:rPr>
              <w:t>专栏4：交通运输重点工程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ind w:right="72" w:rightChars="24" w:firstLine="0"/>
              <w:rPr>
                <w:rFonts w:hint="default" w:ascii="Times New Roman" w:hAnsi="Times New Roman" w:eastAsia="楷体" w:cs="Times New Roman"/>
                <w:sz w:val="28"/>
                <w:szCs w:val="28"/>
              </w:rPr>
            </w:pP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1.舒兰至榆树至陶赖昭铁路电气化扩能改造工程：总投资12.6亿元，总长115公里，主要对现有铁路进行电气化改造。</w:t>
            </w:r>
          </w:p>
          <w:p>
            <w:pPr>
              <w:numPr>
                <w:ilvl w:val="0"/>
                <w:numId w:val="1"/>
              </w:num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吉林经榆树至哈尔滨城际高速铁路工程：榆树段全长80公里，建设内容包括路基、高架桥、铁轨线路、高铁站等。</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3.国道黑大公路榆树段拓宽改造工程：榆树段加宽改造项目路线全长79.1公里，建设内容包括路基、路面、桥涵、交通安全设施等。</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4.榆树市至长春龙嘉机场榆树段改扩建工程：项目全长50公里，建设内容包括路基、路面、桥涵、收费站、交通安全设施等。</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5.榆树支线民用机场项目：建设2600×50米跑道一条，航站区工程、助航灯光工程、空管、气象、进场路停车场、供油等附属设施。</w:t>
            </w:r>
          </w:p>
        </w:tc>
      </w:tr>
    </w:tbl>
    <w:p>
      <w:pPr>
        <w:ind w:right="72" w:rightChars="24" w:firstLine="0"/>
        <w:jc w:val="center"/>
        <w:rPr>
          <w:rFonts w:hint="default" w:ascii="Times New Roman" w:hAnsi="Times New Roman" w:eastAsia="仿宋_GB2312" w:cs="Times New Roman"/>
          <w:b/>
          <w:sz w:val="32"/>
          <w:szCs w:val="32"/>
        </w:rPr>
      </w:pPr>
    </w:p>
    <w:p>
      <w:pPr>
        <w:spacing w:line="240" w:lineRule="auto"/>
        <w:ind w:right="72" w:rightChars="24" w:firstLine="0"/>
        <w:jc w:val="center"/>
        <w:outlineLvl w:val="1"/>
        <w:rPr>
          <w:rFonts w:hint="default" w:ascii="Times New Roman" w:hAnsi="Times New Roman" w:eastAsia="仿宋_GB2312" w:cs="Times New Roman"/>
          <w:b/>
          <w:sz w:val="32"/>
          <w:szCs w:val="32"/>
        </w:rPr>
      </w:pPr>
      <w:bookmarkStart w:id="319" w:name="_Toc19228"/>
      <w:bookmarkStart w:id="320" w:name="_Toc9892"/>
      <w:r>
        <w:rPr>
          <w:rFonts w:hint="default" w:ascii="Times New Roman" w:hAnsi="Times New Roman" w:eastAsia="仿宋_GB2312" w:cs="Times New Roman"/>
          <w:b/>
          <w:sz w:val="32"/>
          <w:szCs w:val="32"/>
        </w:rPr>
        <w:t>第十四</w:t>
      </w:r>
      <w:bookmarkStart w:id="321" w:name="_Toc10029"/>
      <w:bookmarkStart w:id="322" w:name="_Toc12118"/>
      <w:r>
        <w:rPr>
          <w:rFonts w:hint="default" w:ascii="Times New Roman" w:hAnsi="Times New Roman" w:eastAsia="仿宋_GB2312" w:cs="Times New Roman"/>
          <w:b/>
          <w:sz w:val="32"/>
          <w:szCs w:val="32"/>
        </w:rPr>
        <w:t xml:space="preserve">章  </w:t>
      </w:r>
      <w:r>
        <w:rPr>
          <w:rFonts w:hint="default" w:ascii="Times New Roman" w:hAnsi="Times New Roman" w:eastAsia="仿宋_GB2312" w:cs="Times New Roman"/>
          <w:b/>
          <w:bCs/>
          <w:sz w:val="32"/>
          <w:szCs w:val="32"/>
        </w:rPr>
        <w:t xml:space="preserve"> 加强</w:t>
      </w:r>
      <w:bookmarkStart w:id="323" w:name="_Toc435632980"/>
      <w:bookmarkStart w:id="324" w:name="_Toc439839688"/>
      <w:bookmarkStart w:id="325" w:name="_Toc28886"/>
      <w:bookmarkStart w:id="326" w:name="_Toc16496"/>
      <w:r>
        <w:rPr>
          <w:rFonts w:hint="default" w:ascii="Times New Roman" w:hAnsi="Times New Roman" w:eastAsia="仿宋_GB2312" w:cs="Times New Roman"/>
          <w:b/>
          <w:bCs/>
          <w:sz w:val="32"/>
          <w:szCs w:val="32"/>
        </w:rPr>
        <w:t>水利基础设施建设</w:t>
      </w:r>
      <w:bookmarkEnd w:id="319"/>
      <w:bookmarkEnd w:id="320"/>
    </w:p>
    <w:p>
      <w:pPr>
        <w:spacing w:line="240" w:lineRule="auto"/>
        <w:ind w:right="72" w:rightChars="24"/>
        <w:rPr>
          <w:rFonts w:hint="default" w:ascii="Times New Roman" w:hAnsi="Times New Roman" w:eastAsia="仿宋_GB2312" w:cs="Times New Roman"/>
          <w:sz w:val="32"/>
          <w:szCs w:val="32"/>
        </w:rPr>
      </w:pPr>
    </w:p>
    <w:p>
      <w:pPr>
        <w:ind w:firstLine="0"/>
        <w:jc w:val="center"/>
        <w:outlineLvl w:val="2"/>
        <w:rPr>
          <w:rFonts w:hint="default" w:ascii="Times New Roman" w:hAnsi="Times New Roman" w:eastAsia="楷体_GB2312" w:cs="Times New Roman"/>
          <w:sz w:val="32"/>
          <w:szCs w:val="32"/>
        </w:rPr>
      </w:pPr>
      <w:bookmarkStart w:id="327" w:name="_Toc30836"/>
      <w:bookmarkStart w:id="328" w:name="_Toc17252"/>
      <w:r>
        <w:rPr>
          <w:rFonts w:hint="default" w:ascii="Times New Roman" w:hAnsi="Times New Roman" w:eastAsia="楷体_GB2312" w:cs="Times New Roman"/>
          <w:b/>
          <w:bCs/>
          <w:sz w:val="32"/>
          <w:szCs w:val="32"/>
        </w:rPr>
        <w:t>第</w:t>
      </w:r>
      <w:bookmarkEnd w:id="321"/>
      <w:bookmarkEnd w:id="322"/>
      <w:r>
        <w:rPr>
          <w:rFonts w:hint="default" w:ascii="Times New Roman" w:hAnsi="Times New Roman" w:eastAsia="楷体_GB2312" w:cs="Times New Roman"/>
          <w:b/>
          <w:bCs/>
          <w:sz w:val="32"/>
          <w:szCs w:val="32"/>
        </w:rPr>
        <w:t>一</w:t>
      </w:r>
      <w:bookmarkEnd w:id="323"/>
      <w:bookmarkEnd w:id="324"/>
      <w:bookmarkEnd w:id="325"/>
      <w:bookmarkEnd w:id="326"/>
      <w:r>
        <w:rPr>
          <w:rFonts w:hint="default" w:ascii="Times New Roman" w:hAnsi="Times New Roman" w:eastAsia="楷体_GB2312" w:cs="Times New Roman"/>
          <w:b/>
          <w:bCs/>
          <w:sz w:val="32"/>
          <w:szCs w:val="32"/>
        </w:rPr>
        <w:t>节</w:t>
      </w:r>
      <w:bookmarkStart w:id="329" w:name="_Toc15722"/>
      <w:bookmarkStart w:id="330" w:name="_Toc7752"/>
      <w:bookmarkStart w:id="331" w:name="_Toc439860302"/>
      <w:bookmarkStart w:id="332" w:name="_Toc6423"/>
      <w:r>
        <w:rPr>
          <w:rFonts w:hint="default" w:ascii="Times New Roman" w:hAnsi="Times New Roman" w:eastAsia="楷体_GB2312" w:cs="Times New Roman"/>
          <w:b/>
          <w:bCs/>
          <w:sz w:val="32"/>
          <w:szCs w:val="32"/>
        </w:rPr>
        <w:t xml:space="preserve">  着力加强防洪薄弱环节建设</w:t>
      </w:r>
      <w:bookmarkEnd w:id="327"/>
      <w:bookmarkEnd w:id="328"/>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w:t>
      </w:r>
      <w:bookmarkEnd w:id="329"/>
      <w:bookmarkEnd w:id="330"/>
      <w:bookmarkEnd w:id="331"/>
      <w:bookmarkEnd w:id="332"/>
      <w:r>
        <w:rPr>
          <w:rFonts w:hint="default" w:ascii="Times New Roman" w:hAnsi="Times New Roman" w:eastAsia="仿宋_GB2312" w:cs="Times New Roman"/>
          <w:sz w:val="32"/>
          <w:szCs w:val="32"/>
        </w:rPr>
        <w:t>实施城区防洪工程建设，提高城区防洪标准。继续加快重点地区中小河流治理工程建设，以拉林河及支流卡岔河为重点，推进拉林河重点段治理工程（榆树段）、二道河治理工程、小型河流治理项目等。加快城区和农村排涝工程建设，加强对重点乡镇的河堤涝区治理，重点实施涝区泵站更新改造工程、小二型水库除险加固工程、延青灌区拦河闸项目等。深入开展山洪地质灾害调查评价，统筹加强水文气象基础设施建设，建立水库、大坝水舆情安全自动监测系统，加快实施洪水灾害防治工程。</w:t>
      </w:r>
    </w:p>
    <w:p>
      <w:pPr>
        <w:ind w:right="72" w:rightChars="24" w:firstLine="0"/>
        <w:jc w:val="center"/>
        <w:outlineLvl w:val="2"/>
        <w:rPr>
          <w:rFonts w:hint="default" w:ascii="Times New Roman" w:hAnsi="Times New Roman" w:eastAsia="仿宋_GB2312" w:cs="Times New Roman"/>
          <w:sz w:val="32"/>
          <w:szCs w:val="32"/>
        </w:rPr>
      </w:pPr>
      <w:bookmarkStart w:id="333" w:name="_Toc6655"/>
      <w:bookmarkStart w:id="334" w:name="_Toc24685"/>
      <w:r>
        <w:rPr>
          <w:rFonts w:hint="default" w:ascii="Times New Roman" w:hAnsi="Times New Roman" w:eastAsia="楷体_GB2312" w:cs="Times New Roman"/>
          <w:b/>
          <w:bCs/>
          <w:sz w:val="32"/>
          <w:szCs w:val="32"/>
        </w:rPr>
        <w:t>第二节</w:t>
      </w:r>
      <w:bookmarkStart w:id="335" w:name="_Toc22501"/>
      <w:bookmarkStart w:id="336" w:name="_Toc16983"/>
      <w:bookmarkStart w:id="337" w:name="_Toc439860304"/>
      <w:bookmarkStart w:id="338" w:name="_Toc631"/>
      <w:r>
        <w:rPr>
          <w:rFonts w:hint="default" w:ascii="Times New Roman" w:hAnsi="Times New Roman" w:eastAsia="楷体_GB2312" w:cs="Times New Roman"/>
          <w:b/>
          <w:bCs/>
          <w:sz w:val="32"/>
          <w:szCs w:val="32"/>
        </w:rPr>
        <w:t xml:space="preserve">  提高城乡供水保障能力</w:t>
      </w:r>
      <w:bookmarkEnd w:id="333"/>
      <w:bookmarkEnd w:id="33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对3</w:t>
      </w:r>
      <w:bookmarkEnd w:id="335"/>
      <w:bookmarkEnd w:id="336"/>
      <w:bookmarkEnd w:id="337"/>
      <w:bookmarkEnd w:id="338"/>
      <w:r>
        <w:rPr>
          <w:rFonts w:hint="default" w:ascii="Times New Roman" w:hAnsi="Times New Roman" w:eastAsia="仿宋_GB2312" w:cs="Times New Roman"/>
          <w:sz w:val="32"/>
          <w:szCs w:val="32"/>
        </w:rPr>
        <w:t>3个分散供水行政村及14个早期建设集中供水工程行政村进行新建及改建，并开展农村供水信息化建设，逐步建立“从源头到龙头”的农村饮水工程建设和运行管护体系，提高农村饮水安全保障水平。实施“引松入榆”水源地达标建设工程，建立供水水源地、主要江河水量自动监测站，完善取（用）水口管理系统，对全市农业、工业、生活等取用水户安装运传控制计量设施。实施城区饮水改造工程，推进供水能力10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/d平安供水厂稳定运行，原二水厂和南郊水厂可作为备用水源，提高县城供水和工农业供水保证率。2022年之前市区内老、旧、小、散小区泵站全部改造，到2025年，市区所有楼房全部24小时供水。</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92D050"/>
            <w:noWrap w:val="0"/>
            <w:vAlign w:val="top"/>
          </w:tcPr>
          <w:p>
            <w:pPr>
              <w:ind w:right="72" w:rightChars="24"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bookmarkStart w:id="339" w:name="_Toc280861735"/>
            <w:bookmarkStart w:id="340" w:name="_Toc439839689"/>
            <w:bookmarkStart w:id="341" w:name="_Toc4976"/>
            <w:bookmarkStart w:id="342" w:name="_Toc435632981"/>
            <w:bookmarkStart w:id="343" w:name="_Toc280810463"/>
            <w:bookmarkStart w:id="344" w:name="_Toc279068942"/>
            <w:bookmarkStart w:id="345" w:name="_Toc3681"/>
            <w:r>
              <w:rPr>
                <w:rFonts w:hint="default" w:ascii="Times New Roman" w:hAnsi="Times New Roman" w:eastAsia="仿宋_GB2312" w:cs="Times New Roman"/>
                <w:b/>
                <w:sz w:val="32"/>
                <w:szCs w:val="32"/>
              </w:rPr>
              <w:t>5：水利基础设施重点工程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noWrap w:val="0"/>
            <w:vAlign w:val="top"/>
          </w:tcPr>
          <w:p>
            <w:pPr>
              <w:ind w:right="72" w:rightChars="24" w:firstLine="0"/>
              <w:rPr>
                <w:rFonts w:hint="default" w:ascii="Times New Roman" w:hAnsi="Times New Roman" w:eastAsia="楷体" w:cs="Times New Roman"/>
                <w:sz w:val="28"/>
                <w:szCs w:val="28"/>
              </w:rPr>
            </w:pP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1.吉林省拉林河重点段治理工程榆树段（含卡岔河）：总投资24000万元，计划2021年实施，主要对拉林河左岸龙和到于家河桥段和卡岔河段进行治理。</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2.二道河治理工程：总投资3000万元，对新立镇康甲到城发乡邵家屯段进行治理。</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3.小型河流治理项目：总投资64260万元，对松花江、拉林河、卡岔河23条一级支流（200平方公里以下）进行治理。</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4.涝区泵站更新改造工程：总投资23000万元，计划新建1座排涝站，对22座涝区泵站进行更新改造及拆除重建。</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5.卡岔河及中小河流清淤工程：总投资8000万元，对卡岔河下游卢家沟至龙家亮子断面河道进行清淤。</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6.卡岔河水体治理工程-龙家亮子湿地：总投资18100万元，新建潮汐流人工湿地80000m</w:t>
            </w:r>
            <w:r>
              <w:rPr>
                <w:rFonts w:hint="default" w:ascii="Times New Roman" w:hAnsi="Times New Roman" w:eastAsia="楷体" w:cs="Times New Roman"/>
                <w:sz w:val="28"/>
                <w:szCs w:val="28"/>
                <w:vertAlign w:val="superscript"/>
              </w:rPr>
              <w:t>2</w:t>
            </w:r>
            <w:r>
              <w:rPr>
                <w:rFonts w:hint="default" w:ascii="Times New Roman" w:hAnsi="Times New Roman" w:eastAsia="楷体" w:cs="Times New Roman"/>
                <w:sz w:val="28"/>
                <w:szCs w:val="28"/>
              </w:rPr>
              <w:t>，表流沉淀塘50000m</w:t>
            </w:r>
            <w:r>
              <w:rPr>
                <w:rFonts w:hint="default" w:ascii="Times New Roman" w:hAnsi="Times New Roman" w:eastAsia="楷体" w:cs="Times New Roman"/>
                <w:sz w:val="28"/>
                <w:szCs w:val="28"/>
                <w:vertAlign w:val="superscript"/>
              </w:rPr>
              <w:t>2</w:t>
            </w:r>
            <w:r>
              <w:rPr>
                <w:rFonts w:hint="default" w:ascii="Times New Roman" w:hAnsi="Times New Roman" w:eastAsia="楷体" w:cs="Times New Roman"/>
                <w:sz w:val="28"/>
                <w:szCs w:val="28"/>
              </w:rPr>
              <w:t>，磁混凝净化站8套（20000m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/d）,提升泵站两座。</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7.榆树市芦家沟治理工程：总投资8000万元，治理河道总长度17000m，护岸型式主要铅丝石笼护砌型式。</w:t>
            </w:r>
          </w:p>
          <w:p>
            <w:pPr>
              <w:ind w:right="72" w:rightChars="24" w:firstLine="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8.农村饮水安全巩固工程：总投资2.45亿元，对33个分散供水行政村及14个早期建设集中供水工程行政村进行新建及改建，并开展农村供水信息化建设。</w:t>
            </w:r>
          </w:p>
          <w:p>
            <w:pPr>
              <w:ind w:right="72" w:rightChars="24" w:firstLine="0"/>
              <w:rPr>
                <w:rFonts w:hint="default" w:ascii="Times New Roman" w:hAnsi="Times New Roman" w:cs="Times New Roman"/>
              </w:rPr>
            </w:pPr>
            <w:r>
              <w:rPr>
                <w:rFonts w:hint="default" w:ascii="Times New Roman" w:hAnsi="Times New Roman" w:eastAsia="楷体" w:cs="Times New Roman"/>
                <w:sz w:val="28"/>
                <w:szCs w:val="28"/>
              </w:rPr>
              <w:t>9.安全饮水维修工程：总投资7500万元，对302处安全饮水工程进行维修养护。</w:t>
            </w:r>
          </w:p>
        </w:tc>
      </w:tr>
    </w:tbl>
    <w:p>
      <w:pPr>
        <w:spacing w:line="240" w:lineRule="auto"/>
        <w:ind w:right="72" w:rightChars="24"/>
        <w:jc w:val="center"/>
        <w:outlineLvl w:val="9"/>
        <w:rPr>
          <w:rFonts w:hint="default" w:ascii="Times New Roman" w:hAnsi="Times New Roman" w:eastAsia="仿宋_GB2312" w:cs="Times New Roman"/>
          <w:b/>
          <w:bCs/>
          <w:sz w:val="32"/>
          <w:szCs w:val="32"/>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346" w:name="_Toc13511"/>
      <w:bookmarkStart w:id="347" w:name="_Toc15090"/>
      <w:r>
        <w:rPr>
          <w:rFonts w:hint="default" w:ascii="Times New Roman" w:hAnsi="Times New Roman" w:eastAsia="仿宋_GB2312" w:cs="Times New Roman"/>
          <w:b/>
          <w:bCs/>
          <w:sz w:val="32"/>
          <w:szCs w:val="32"/>
        </w:rPr>
        <w:t>第十五</w:t>
      </w:r>
      <w:bookmarkStart w:id="348" w:name="_Toc6114"/>
      <w:bookmarkStart w:id="349" w:name="_Toc31728"/>
      <w:r>
        <w:rPr>
          <w:rFonts w:hint="default" w:ascii="Times New Roman" w:hAnsi="Times New Roman" w:eastAsia="仿宋_GB2312" w:cs="Times New Roman"/>
          <w:b/>
          <w:bCs/>
          <w:sz w:val="32"/>
          <w:szCs w:val="32"/>
        </w:rPr>
        <w:t>章  健全能源供应体系</w:t>
      </w:r>
      <w:bookmarkEnd w:id="346"/>
      <w:bookmarkEnd w:id="347"/>
    </w:p>
    <w:p>
      <w:pPr>
        <w:pStyle w:val="2"/>
        <w:spacing w:line="240" w:lineRule="auto"/>
        <w:rPr>
          <w:rFonts w:hint="default" w:ascii="Times New Roman" w:hAnsi="Times New Roman" w:cs="Times New Roman"/>
        </w:rPr>
      </w:pPr>
    </w:p>
    <w:p>
      <w:pPr>
        <w:pStyle w:val="76"/>
        <w:adjustRightInd w:val="0"/>
        <w:ind w:firstLine="640" w:firstLineChars="0"/>
        <w:jc w:val="center"/>
        <w:outlineLvl w:val="2"/>
        <w:rPr>
          <w:rFonts w:hint="default" w:ascii="Times New Roman" w:hAnsi="Times New Roman" w:eastAsia="仿宋_GB2312" w:cs="Times New Roman"/>
          <w:sz w:val="32"/>
          <w:szCs w:val="32"/>
        </w:rPr>
      </w:pPr>
      <w:bookmarkStart w:id="350" w:name="_Toc12757"/>
      <w:bookmarkStart w:id="351" w:name="_Toc13319"/>
      <w:r>
        <w:rPr>
          <w:rFonts w:hint="default" w:ascii="Times New Roman" w:hAnsi="Times New Roman" w:eastAsia="楷体_GB2312" w:cs="Times New Roman"/>
          <w:b/>
          <w:bCs/>
          <w:sz w:val="32"/>
          <w:szCs w:val="32"/>
        </w:rPr>
        <w:t>第</w:t>
      </w:r>
      <w:bookmarkEnd w:id="339"/>
      <w:bookmarkEnd w:id="340"/>
      <w:bookmarkEnd w:id="341"/>
      <w:bookmarkEnd w:id="342"/>
      <w:bookmarkEnd w:id="343"/>
      <w:bookmarkEnd w:id="344"/>
      <w:bookmarkEnd w:id="345"/>
      <w:bookmarkEnd w:id="348"/>
      <w:bookmarkEnd w:id="349"/>
      <w:r>
        <w:rPr>
          <w:rFonts w:hint="default" w:ascii="Times New Roman" w:hAnsi="Times New Roman" w:eastAsia="楷体_GB2312" w:cs="Times New Roman"/>
          <w:b/>
          <w:bCs/>
          <w:sz w:val="32"/>
          <w:szCs w:val="32"/>
        </w:rPr>
        <w:t>一节</w:t>
      </w:r>
      <w:bookmarkStart w:id="352" w:name="_Toc21530"/>
      <w:bookmarkStart w:id="353" w:name="_Toc439860306"/>
      <w:bookmarkStart w:id="354" w:name="_Toc21147"/>
      <w:bookmarkStart w:id="355" w:name="_Toc8137"/>
      <w:r>
        <w:rPr>
          <w:rFonts w:hint="default" w:ascii="Times New Roman" w:hAnsi="Times New Roman" w:eastAsia="楷体_GB2312" w:cs="Times New Roman"/>
          <w:b/>
          <w:bCs/>
          <w:sz w:val="32"/>
          <w:szCs w:val="32"/>
        </w:rPr>
        <w:t xml:space="preserve">  加快电力输送网络建设</w:t>
      </w:r>
      <w:bookmarkEnd w:id="350"/>
      <w:bookmarkEnd w:id="351"/>
    </w:p>
    <w:p>
      <w:pPr>
        <w:pStyle w:val="76"/>
        <w:keepNext w:val="0"/>
        <w:keepLines w:val="0"/>
        <w:pageBreakBefore w:val="0"/>
        <w:widowControl w:val="0"/>
        <w:kinsoku/>
        <w:wordWrap/>
        <w:overflowPunct/>
        <w:topLinePunct w:val="0"/>
        <w:autoSpaceDE/>
        <w:autoSpaceDN/>
        <w:bidi w:val="0"/>
        <w:adjustRightInd w:val="0"/>
        <w:snapToGrid w:val="0"/>
        <w:spacing w:line="580" w:lineRule="exact"/>
        <w:ind w:right="72" w:rightChars="24" w:firstLine="643"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bookmarkEnd w:id="352"/>
      <w:bookmarkEnd w:id="353"/>
      <w:bookmarkEnd w:id="354"/>
      <w:bookmarkEnd w:id="355"/>
      <w:r>
        <w:rPr>
          <w:rFonts w:hint="default" w:ascii="Times New Roman" w:hAnsi="Times New Roman" w:eastAsia="仿宋_GB2312" w:cs="Times New Roman"/>
          <w:sz w:val="32"/>
          <w:szCs w:val="32"/>
        </w:rPr>
        <w:t>“统一规划、适度超前、近远结合”的原则，加快电力输送网络建设，全面解决66kV主变及10kV配变重过载问题。基本形成以220kV变电站为核心，66kV变电站为主干网，10kV线路为基础的电网结构。加快城区智能电网改造，提高供电可靠性和电能质量。到2025年，全市共新建66kV变电站2座，新增主变3台，新增变电容量60MVA；改造66kV变电站4座，新增变电容量71.85MVA；66kV综合自动化变电站占比达到100%，10kV配电自动化覆盖率达到100%；供电可靠率目标不低于99.93%，电压合格率不低于99.45%。</w:t>
      </w:r>
    </w:p>
    <w:p>
      <w:pPr>
        <w:pStyle w:val="76"/>
        <w:keepNext w:val="0"/>
        <w:keepLines w:val="0"/>
        <w:pageBreakBefore w:val="0"/>
        <w:widowControl w:val="0"/>
        <w:kinsoku/>
        <w:wordWrap/>
        <w:overflowPunct/>
        <w:topLinePunct w:val="0"/>
        <w:autoSpaceDE/>
        <w:autoSpaceDN/>
        <w:bidi w:val="0"/>
        <w:adjustRightInd w:val="0"/>
        <w:snapToGrid w:val="0"/>
        <w:spacing w:line="580" w:lineRule="exact"/>
        <w:ind w:right="72" w:rightChars="24" w:firstLine="643" w:firstLineChars="0"/>
        <w:jc w:val="center"/>
        <w:textAlignment w:val="auto"/>
        <w:outlineLvl w:val="2"/>
        <w:rPr>
          <w:rFonts w:hint="default" w:ascii="Times New Roman" w:hAnsi="Times New Roman" w:eastAsia="楷体_GB2312" w:cs="Times New Roman"/>
          <w:b/>
          <w:bCs/>
          <w:sz w:val="32"/>
          <w:szCs w:val="32"/>
        </w:rPr>
      </w:pPr>
      <w:bookmarkStart w:id="356" w:name="_Toc5864"/>
      <w:bookmarkStart w:id="357" w:name="_Toc12048"/>
      <w:r>
        <w:rPr>
          <w:rFonts w:hint="default" w:ascii="Times New Roman" w:hAnsi="Times New Roman" w:eastAsia="楷体_GB2312" w:cs="Times New Roman"/>
          <w:b/>
          <w:bCs/>
          <w:sz w:val="32"/>
          <w:szCs w:val="32"/>
        </w:rPr>
        <w:t>第二节  加强清洁能源设施建设</w:t>
      </w:r>
      <w:bookmarkEnd w:id="356"/>
      <w:bookmarkEnd w:id="357"/>
    </w:p>
    <w:p>
      <w:pPr>
        <w:keepNext w:val="0"/>
        <w:keepLines w:val="0"/>
        <w:pageBreakBefore w:val="0"/>
        <w:widowControl w:val="0"/>
        <w:kinsoku/>
        <w:wordWrap/>
        <w:overflowPunct/>
        <w:topLinePunct w:val="0"/>
        <w:autoSpaceDE/>
        <w:autoSpaceDN/>
        <w:bidi w:val="0"/>
        <w:snapToGrid w:val="0"/>
        <w:spacing w:line="580" w:lineRule="exact"/>
        <w:ind w:right="72" w:rightChars="24"/>
        <w:textAlignment w:val="auto"/>
        <w:rPr>
          <w:rFonts w:hint="default" w:ascii="Times New Roman" w:hAnsi="Times New Roman" w:eastAsia="仿宋_GB2312" w:cs="Times New Roman"/>
          <w:sz w:val="32"/>
          <w:szCs w:val="32"/>
        </w:rPr>
      </w:pPr>
      <w:bookmarkStart w:id="358" w:name="_Toc439860307"/>
      <w:bookmarkStart w:id="359" w:name="_Toc31807"/>
      <w:r>
        <w:rPr>
          <w:rFonts w:hint="default" w:ascii="Times New Roman" w:hAnsi="Times New Roman" w:eastAsia="仿宋_GB2312" w:cs="Times New Roman"/>
          <w:sz w:val="32"/>
          <w:szCs w:val="32"/>
        </w:rPr>
        <w:t>推广</w:t>
      </w:r>
      <w:bookmarkEnd w:id="358"/>
      <w:bookmarkEnd w:id="359"/>
      <w:bookmarkStart w:id="360" w:name="_Toc8461"/>
      <w:bookmarkStart w:id="361" w:name="_Toc439860308"/>
      <w:r>
        <w:rPr>
          <w:rFonts w:hint="default" w:ascii="Times New Roman" w:hAnsi="Times New Roman" w:eastAsia="仿宋_GB2312" w:cs="Times New Roman"/>
          <w:sz w:val="32"/>
          <w:szCs w:val="32"/>
        </w:rPr>
        <w:t>太阳能建筑、太阳能集中供热、供水工程和制冷示范工程，推广户用太阳能热水器、太阳房和太阳灶。取缔现有不符合标准的供热站，对全市集中供热的大型锅炉房实现清洁燃煤供热，达到污染物超低排放。根据新能源汽车充电桩布局（布点）规划，在符合条件的公共场所有序建设公用充电桩和专用充电桩。加快风力发电、光伏发电等清洁能源项目建设，重点推动康风新能源400MW风力发电项目建设。</w:t>
      </w:r>
    </w:p>
    <w:p>
      <w:pPr>
        <w:keepNext w:val="0"/>
        <w:keepLines w:val="0"/>
        <w:pageBreakBefore w:val="0"/>
        <w:widowControl w:val="0"/>
        <w:kinsoku/>
        <w:wordWrap/>
        <w:overflowPunct/>
        <w:topLinePunct w:val="0"/>
        <w:autoSpaceDE/>
        <w:autoSpaceDN/>
        <w:bidi w:val="0"/>
        <w:snapToGrid w:val="0"/>
        <w:spacing w:line="580" w:lineRule="exact"/>
        <w:ind w:right="72" w:rightChars="24" w:firstLine="0"/>
        <w:jc w:val="center"/>
        <w:textAlignment w:val="auto"/>
        <w:outlineLvl w:val="2"/>
        <w:rPr>
          <w:rFonts w:hint="default" w:ascii="Times New Roman" w:hAnsi="Times New Roman" w:eastAsia="楷体_GB2312" w:cs="Times New Roman"/>
          <w:b/>
          <w:bCs/>
          <w:kern w:val="0"/>
          <w:sz w:val="32"/>
          <w:szCs w:val="32"/>
        </w:rPr>
      </w:pPr>
      <w:bookmarkStart w:id="362" w:name="_Toc17834"/>
      <w:bookmarkStart w:id="363" w:name="_Toc19082"/>
      <w:r>
        <w:rPr>
          <w:rFonts w:hint="default" w:ascii="Times New Roman" w:hAnsi="Times New Roman" w:eastAsia="楷体_GB2312" w:cs="Times New Roman"/>
          <w:b/>
          <w:bCs/>
          <w:kern w:val="0"/>
          <w:sz w:val="32"/>
          <w:szCs w:val="32"/>
        </w:rPr>
        <w:t>第三节</w:t>
      </w:r>
      <w:bookmarkStart w:id="364" w:name="_Toc30582"/>
      <w:bookmarkStart w:id="365" w:name="_Toc6630"/>
      <w:r>
        <w:rPr>
          <w:rFonts w:hint="default" w:ascii="Times New Roman" w:hAnsi="Times New Roman" w:eastAsia="楷体_GB2312" w:cs="Times New Roman"/>
          <w:b/>
          <w:bCs/>
          <w:kern w:val="0"/>
          <w:sz w:val="32"/>
          <w:szCs w:val="32"/>
        </w:rPr>
        <w:t xml:space="preserve">  推进燃气和成品油项目建设</w:t>
      </w:r>
      <w:bookmarkEnd w:id="362"/>
      <w:bookmarkEnd w:id="363"/>
    </w:p>
    <w:p>
      <w:pPr>
        <w:keepNext w:val="0"/>
        <w:keepLines w:val="0"/>
        <w:pageBreakBefore w:val="0"/>
        <w:widowControl w:val="0"/>
        <w:kinsoku/>
        <w:wordWrap/>
        <w:overflowPunct/>
        <w:topLinePunct w:val="0"/>
        <w:autoSpaceDE/>
        <w:autoSpaceDN/>
        <w:bidi w:val="0"/>
        <w:snapToGrid w:val="0"/>
        <w:spacing w:line="580" w:lineRule="exact"/>
        <w:ind w:right="72" w:rightChars="24"/>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积极</w:t>
      </w:r>
      <w:bookmarkEnd w:id="360"/>
      <w:bookmarkEnd w:id="361"/>
      <w:bookmarkEnd w:id="364"/>
      <w:bookmarkEnd w:id="365"/>
      <w:bookmarkStart w:id="366" w:name="_Toc439839690"/>
      <w:bookmarkStart w:id="367" w:name="_Toc32125"/>
      <w:bookmarkStart w:id="368" w:name="_Toc2050"/>
      <w:bookmarkStart w:id="369" w:name="_Toc435632982"/>
      <w:r>
        <w:rPr>
          <w:rFonts w:hint="default" w:ascii="Times New Roman" w:hAnsi="Times New Roman" w:eastAsia="仿宋_GB2312" w:cs="Times New Roman"/>
          <w:sz w:val="32"/>
          <w:szCs w:val="32"/>
        </w:rPr>
        <w:t>推进城区管道燃气管网建设，新增燃气管网160公里，改造老旧管网75公里，新增城市管道燃气用户3.2万户，城市人口气化率达到60%。完成长输管线及应急储气站建设，完善“两区”燃气配套</w:t>
      </w:r>
      <w:r>
        <w:rPr>
          <w:rFonts w:hint="default" w:ascii="Times New Roman" w:hAnsi="Times New Roman" w:eastAsia="仿宋_GB2312" w:cs="Times New Roman"/>
          <w:kern w:val="0"/>
          <w:sz w:val="32"/>
          <w:szCs w:val="32"/>
        </w:rPr>
        <w:t>设施建设。加快天然气CNG加气站建设，建成加气门站2座；抓好加油站的布点工作，新增加油站12座。</w:t>
      </w:r>
    </w:p>
    <w:p>
      <w:pPr>
        <w:keepNext w:val="0"/>
        <w:keepLines w:val="0"/>
        <w:pageBreakBefore w:val="0"/>
        <w:widowControl w:val="0"/>
        <w:kinsoku/>
        <w:wordWrap/>
        <w:overflowPunct/>
        <w:topLinePunct w:val="0"/>
        <w:autoSpaceDE/>
        <w:autoSpaceDN/>
        <w:bidi w:val="0"/>
        <w:snapToGrid w:val="0"/>
        <w:spacing w:line="580" w:lineRule="exact"/>
        <w:ind w:right="72" w:rightChars="24"/>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napToGrid w:val="0"/>
        <w:spacing w:line="580" w:lineRule="exact"/>
        <w:ind w:right="72" w:rightChars="24"/>
        <w:jc w:val="center"/>
        <w:textAlignment w:val="auto"/>
        <w:outlineLvl w:val="1"/>
        <w:rPr>
          <w:rFonts w:hint="default" w:ascii="Times New Roman" w:hAnsi="Times New Roman" w:eastAsia="仿宋_GB2312" w:cs="Times New Roman"/>
          <w:b/>
          <w:bCs/>
          <w:kern w:val="0"/>
          <w:sz w:val="32"/>
          <w:szCs w:val="32"/>
        </w:rPr>
      </w:pPr>
      <w:bookmarkStart w:id="370" w:name="_Toc21518"/>
      <w:bookmarkStart w:id="371" w:name="_Toc1895"/>
      <w:r>
        <w:rPr>
          <w:rFonts w:hint="default" w:ascii="Times New Roman" w:hAnsi="Times New Roman" w:eastAsia="仿宋_GB2312" w:cs="Times New Roman"/>
          <w:b/>
          <w:bCs/>
          <w:kern w:val="0"/>
          <w:sz w:val="32"/>
          <w:szCs w:val="32"/>
        </w:rPr>
        <w:t>第十六</w:t>
      </w:r>
      <w:bookmarkStart w:id="372" w:name="_Toc19481"/>
      <w:bookmarkStart w:id="373" w:name="_Toc30724"/>
      <w:r>
        <w:rPr>
          <w:rFonts w:hint="default" w:ascii="Times New Roman" w:hAnsi="Times New Roman" w:eastAsia="仿宋_GB2312" w:cs="Times New Roman"/>
          <w:b/>
          <w:bCs/>
          <w:kern w:val="0"/>
          <w:sz w:val="32"/>
          <w:szCs w:val="32"/>
        </w:rPr>
        <w:t>章  建设“761”工程智</w:t>
      </w:r>
      <w:bookmarkEnd w:id="366"/>
      <w:bookmarkEnd w:id="367"/>
      <w:bookmarkEnd w:id="368"/>
      <w:bookmarkEnd w:id="369"/>
      <w:r>
        <w:rPr>
          <w:rFonts w:hint="default" w:ascii="Times New Roman" w:hAnsi="Times New Roman" w:eastAsia="仿宋_GB2312" w:cs="Times New Roman"/>
          <w:b/>
          <w:bCs/>
          <w:kern w:val="0"/>
          <w:sz w:val="32"/>
          <w:szCs w:val="32"/>
        </w:rPr>
        <w:t>能信息网</w:t>
      </w:r>
      <w:bookmarkEnd w:id="370"/>
      <w:bookmarkEnd w:id="371"/>
    </w:p>
    <w:p>
      <w:pPr>
        <w:keepNext w:val="0"/>
        <w:keepLines w:val="0"/>
        <w:pageBreakBefore w:val="0"/>
        <w:widowControl w:val="0"/>
        <w:kinsoku/>
        <w:wordWrap/>
        <w:overflowPunct/>
        <w:topLinePunct w:val="0"/>
        <w:autoSpaceDE/>
        <w:autoSpaceDN/>
        <w:bidi w:val="0"/>
        <w:snapToGrid w:val="0"/>
        <w:spacing w:line="580" w:lineRule="exact"/>
        <w:ind w:right="72" w:rightChars="24"/>
        <w:textAlignment w:val="auto"/>
        <w:rPr>
          <w:rFonts w:hint="default" w:ascii="Times New Roman" w:hAnsi="Times New Roman" w:eastAsia="仿宋_GB2312" w:cs="Times New Roman"/>
          <w:b/>
          <w:bCs/>
          <w:kern w:val="0"/>
          <w:sz w:val="32"/>
          <w:szCs w:val="32"/>
        </w:rPr>
      </w:pPr>
    </w:p>
    <w:p>
      <w:pPr>
        <w:keepNext w:val="0"/>
        <w:keepLines w:val="0"/>
        <w:pageBreakBefore w:val="0"/>
        <w:widowControl w:val="0"/>
        <w:kinsoku/>
        <w:wordWrap/>
        <w:overflowPunct/>
        <w:topLinePunct w:val="0"/>
        <w:autoSpaceDE/>
        <w:autoSpaceDN/>
        <w:bidi w:val="0"/>
        <w:snapToGrid w:val="0"/>
        <w:spacing w:line="580" w:lineRule="exact"/>
        <w:ind w:right="72" w:rightChars="24" w:firstLine="0"/>
        <w:jc w:val="center"/>
        <w:textAlignment w:val="auto"/>
        <w:outlineLvl w:val="2"/>
        <w:rPr>
          <w:rFonts w:hint="default" w:ascii="Times New Roman" w:hAnsi="Times New Roman" w:eastAsia="楷体_GB2312" w:cs="Times New Roman"/>
          <w:b/>
          <w:bCs/>
          <w:kern w:val="0"/>
          <w:sz w:val="32"/>
          <w:szCs w:val="32"/>
        </w:rPr>
      </w:pPr>
      <w:bookmarkStart w:id="374" w:name="_Toc24658"/>
      <w:bookmarkStart w:id="375" w:name="_Toc24220"/>
      <w:r>
        <w:rPr>
          <w:rFonts w:hint="default" w:ascii="Times New Roman" w:hAnsi="Times New Roman" w:eastAsia="楷体_GB2312" w:cs="Times New Roman"/>
          <w:b/>
          <w:bCs/>
          <w:kern w:val="0"/>
          <w:sz w:val="32"/>
          <w:szCs w:val="32"/>
        </w:rPr>
        <w:t>第</w:t>
      </w:r>
      <w:bookmarkEnd w:id="372"/>
      <w:bookmarkEnd w:id="373"/>
      <w:r>
        <w:rPr>
          <w:rFonts w:hint="default" w:ascii="Times New Roman" w:hAnsi="Times New Roman" w:eastAsia="楷体_GB2312" w:cs="Times New Roman"/>
          <w:b/>
          <w:bCs/>
          <w:kern w:val="0"/>
          <w:sz w:val="32"/>
          <w:szCs w:val="32"/>
        </w:rPr>
        <w:t>一</w:t>
      </w:r>
      <w:bookmarkStart w:id="376" w:name="_Toc439860310"/>
      <w:bookmarkStart w:id="377" w:name="_Toc1847"/>
      <w:r>
        <w:rPr>
          <w:rFonts w:hint="default" w:ascii="Times New Roman" w:hAnsi="Times New Roman" w:eastAsia="楷体_GB2312" w:cs="Times New Roman"/>
          <w:b/>
          <w:bCs/>
          <w:kern w:val="0"/>
          <w:sz w:val="32"/>
          <w:szCs w:val="32"/>
        </w:rPr>
        <w:t>节</w:t>
      </w:r>
      <w:bookmarkEnd w:id="376"/>
      <w:bookmarkEnd w:id="377"/>
      <w:bookmarkStart w:id="378" w:name="_Toc8045"/>
      <w:bookmarkStart w:id="379" w:name="_Toc7788"/>
      <w:bookmarkStart w:id="380" w:name="_Toc30962"/>
      <w:bookmarkStart w:id="381" w:name="_Toc8330"/>
      <w:bookmarkStart w:id="382" w:name="_Toc27671"/>
      <w:r>
        <w:rPr>
          <w:rFonts w:hint="default" w:ascii="Times New Roman" w:hAnsi="Times New Roman" w:eastAsia="楷体_GB2312" w:cs="Times New Roman"/>
          <w:b/>
          <w:bCs/>
          <w:kern w:val="0"/>
          <w:sz w:val="32"/>
          <w:szCs w:val="32"/>
        </w:rPr>
        <w:t xml:space="preserve">  完善信息网络基础设施</w:t>
      </w:r>
      <w:bookmarkEnd w:id="374"/>
      <w:bookmarkEnd w:id="375"/>
    </w:p>
    <w:p>
      <w:pPr>
        <w:keepNext w:val="0"/>
        <w:keepLines w:val="0"/>
        <w:pageBreakBefore w:val="0"/>
        <w:widowControl w:val="0"/>
        <w:kinsoku/>
        <w:wordWrap/>
        <w:overflowPunct/>
        <w:topLinePunct w:val="0"/>
        <w:autoSpaceDE/>
        <w:autoSpaceDN/>
        <w:bidi w:val="0"/>
        <w:snapToGrid w:val="0"/>
        <w:spacing w:line="58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打造</w:t>
      </w:r>
      <w:bookmarkEnd w:id="378"/>
      <w:bookmarkEnd w:id="379"/>
      <w:r>
        <w:rPr>
          <w:rFonts w:hint="default" w:ascii="Times New Roman" w:hAnsi="Times New Roman" w:eastAsia="仿宋_GB2312" w:cs="Times New Roman"/>
          <w:sz w:val="32"/>
          <w:szCs w:val="32"/>
        </w:rPr>
        <w:t>数字基建新支撑，形成广覆盖、高质量、低成本的数字化新型基础设施体系，加强传感器、摄像头、智能标签等物联网感知设备在大型公共建筑、地下管网、城市照明、交通、水电气等公共基础设施领域的深度覆盖，构建安全可控、覆盖城乡的感知网络体系。以“761”工程为切入点，全面实施光网改造提质工程，提升宽带服务能力，加快建设光纤接入网，对老旧小区全部实现光改。完成县城光纤100%覆盖，农村光纤90%覆盖，实现100M高速宽带为起点的百兆光纤网络，推动城乡信息化建设。到2025年，全市固定宽带用户达到28.2万户，家庭普及率达到80%以上，行政村通宽带比例达到100%。继续推进第五代移动通信网建设，新建658个5G移动基站，到2025年，实现城区、所有乡镇5G网络全覆盖。</w:t>
      </w:r>
    </w:p>
    <w:p>
      <w:pPr>
        <w:ind w:right="72" w:rightChars="24" w:firstLine="0"/>
        <w:jc w:val="center"/>
        <w:outlineLvl w:val="2"/>
        <w:rPr>
          <w:rFonts w:hint="default" w:ascii="Times New Roman" w:hAnsi="Times New Roman" w:eastAsia="楷体_GB2312" w:cs="Times New Roman"/>
          <w:b/>
          <w:bCs/>
          <w:sz w:val="32"/>
          <w:szCs w:val="32"/>
        </w:rPr>
      </w:pPr>
      <w:bookmarkStart w:id="383" w:name="_Toc8857"/>
      <w:bookmarkStart w:id="384" w:name="_Toc22740"/>
      <w:r>
        <w:rPr>
          <w:rFonts w:hint="default" w:ascii="Times New Roman" w:hAnsi="Times New Roman" w:eastAsia="楷体_GB2312" w:cs="Times New Roman"/>
          <w:b/>
          <w:bCs/>
          <w:sz w:val="32"/>
          <w:szCs w:val="32"/>
        </w:rPr>
        <w:t>第二节</w:t>
      </w:r>
      <w:bookmarkStart w:id="385" w:name="_Toc18834"/>
      <w:bookmarkStart w:id="386" w:name="_Toc4776"/>
      <w:bookmarkStart w:id="387" w:name="_Toc439860311"/>
      <w:bookmarkStart w:id="388" w:name="_Toc4305"/>
      <w:r>
        <w:rPr>
          <w:rFonts w:hint="default" w:ascii="Times New Roman" w:hAnsi="Times New Roman" w:eastAsia="楷体_GB2312" w:cs="Times New Roman"/>
          <w:b/>
          <w:bCs/>
          <w:sz w:val="32"/>
          <w:szCs w:val="32"/>
        </w:rPr>
        <w:t xml:space="preserve">  加快推进“智慧榆树”建设</w:t>
      </w:r>
      <w:bookmarkEnd w:id="383"/>
      <w:bookmarkEnd w:id="384"/>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w:t>
      </w:r>
      <w:bookmarkEnd w:id="385"/>
      <w:bookmarkEnd w:id="386"/>
      <w:r>
        <w:rPr>
          <w:rFonts w:hint="default" w:ascii="Times New Roman" w:hAnsi="Times New Roman" w:eastAsia="仿宋_GB2312" w:cs="Times New Roman"/>
          <w:sz w:val="32"/>
          <w:szCs w:val="32"/>
        </w:rPr>
        <w:t>现有基站加快物联网设施部署，加速多功能杆、柱、桩等新型智能感知设施建设，推动感知网络与移动网络融合发展，支撑智慧城市建设。通过实施光网城市升级改造、无线城市提升覆盖、光纤网络普及等工程，借助物联网、大数据、云计算、通信网络，搭建数据和信息共享平台。加强基于5G网络的产品应用推广，建设“智慧榆树综合大平台”，抓好智慧农业、智慧旅游、智慧环保、智慧交通、智慧校园、智慧医疗健康、数字社会治理等网格化管理的重点工程建设。推进电子政务、公共服务、社会治理三位一体数字化网络平台建设，重点建设全市综合政务服务平台以及集社会治理、数字城管和信息化公共服务三位于一体的综合应用平台。强化突发应急事件处理系统、物资保障系统、灾害监测预警系统建设。完善政府门户网站“政务公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“在线办事”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“公众参与”功能。积极建设移动电子政务系统，满足公务人员移动办公需要。</w:t>
      </w: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bookmarkEnd w:id="387"/>
    <w:bookmarkEnd w:id="388"/>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pStyle w:val="2"/>
        <w:rPr>
          <w:rFonts w:hint="default" w:ascii="Times New Roman" w:hAnsi="Times New Roman" w:cs="Times New Roman"/>
        </w:rPr>
      </w:pPr>
    </w:p>
    <w:p>
      <w:pPr>
        <w:ind w:right="72" w:rightChars="24"/>
        <w:outlineLvl w:val="9"/>
        <w:rPr>
          <w:rFonts w:hint="default" w:ascii="Times New Roman" w:hAnsi="Times New Roman" w:eastAsia="仿宋_GB2312" w:cs="Times New Roman"/>
          <w:b/>
          <w:bCs/>
          <w:sz w:val="32"/>
          <w:szCs w:val="32"/>
        </w:rPr>
      </w:pPr>
    </w:p>
    <w:p>
      <w:pPr>
        <w:ind w:right="72" w:rightChars="24"/>
        <w:outlineLvl w:val="9"/>
        <w:rPr>
          <w:rFonts w:hint="default" w:ascii="Times New Roman" w:hAnsi="Times New Roman" w:eastAsia="仿宋_GB2312" w:cs="Times New Roman"/>
          <w:b/>
          <w:bCs/>
          <w:sz w:val="32"/>
          <w:szCs w:val="32"/>
        </w:rPr>
      </w:pPr>
    </w:p>
    <w:p>
      <w:pPr>
        <w:ind w:right="72" w:rightChars="24" w:firstLine="0"/>
        <w:jc w:val="center"/>
        <w:outlineLvl w:val="0"/>
        <w:rPr>
          <w:rFonts w:hint="default" w:ascii="Times New Roman" w:hAnsi="Times New Roman" w:eastAsia="黑体" w:cs="Times New Roman"/>
          <w:b w:val="0"/>
          <w:bCs w:val="0"/>
          <w:sz w:val="32"/>
          <w:szCs w:val="32"/>
        </w:rPr>
      </w:pPr>
      <w:bookmarkStart w:id="389" w:name="_Toc12022"/>
      <w:bookmarkStart w:id="390" w:name="_Toc9771"/>
      <w:r>
        <w:rPr>
          <w:rFonts w:hint="default" w:ascii="Times New Roman" w:hAnsi="Times New Roman" w:eastAsia="黑体" w:cs="Times New Roman"/>
          <w:b w:val="0"/>
          <w:bCs w:val="0"/>
          <w:sz w:val="32"/>
          <w:szCs w:val="32"/>
        </w:rPr>
        <w:t>第</w:t>
      </w:r>
      <w:r>
        <w:rPr>
          <w:rFonts w:hint="default" w:ascii="Times New Roman" w:hAnsi="Times New Roman" w:eastAsia="黑体" w:cs="Times New Roman"/>
          <w:sz w:val="32"/>
          <w:szCs w:val="32"/>
        </w:rPr>
        <w:t>七</w:t>
      </w:r>
      <w:r>
        <w:rPr>
          <w:rFonts w:hint="default" w:ascii="Times New Roman" w:hAnsi="Times New Roman" w:eastAsia="黑体" w:cs="Times New Roman"/>
          <w:b w:val="0"/>
          <w:bCs w:val="0"/>
          <w:sz w:val="32"/>
          <w:szCs w:val="32"/>
        </w:rPr>
        <w:t xml:space="preserve">篇  </w:t>
      </w:r>
      <w:r>
        <w:rPr>
          <w:rFonts w:hint="default" w:ascii="Times New Roman" w:hAnsi="Times New Roman" w:eastAsia="黑体" w:cs="Times New Roman"/>
          <w:sz w:val="32"/>
          <w:szCs w:val="32"/>
        </w:rPr>
        <w:t>全面深化改革  着力</w:t>
      </w:r>
      <w:r>
        <w:rPr>
          <w:rFonts w:hint="default" w:ascii="Times New Roman" w:hAnsi="Times New Roman" w:eastAsia="黑体" w:cs="Times New Roman"/>
          <w:b w:val="0"/>
          <w:bCs w:val="0"/>
          <w:sz w:val="32"/>
          <w:szCs w:val="32"/>
        </w:rPr>
        <w:t>激发开放活力</w:t>
      </w:r>
      <w:bookmarkEnd w:id="389"/>
      <w:bookmarkEnd w:id="390"/>
      <w:r>
        <w:rPr>
          <w:rFonts w:hint="default" w:ascii="Times New Roman" w:hAnsi="Times New Roman" w:eastAsia="黑体" w:cs="Times New Roman"/>
          <w:b w:val="0"/>
          <w:bCs w:val="0"/>
          <w:sz w:val="32"/>
          <w:szCs w:val="32"/>
        </w:rPr>
        <w:t xml:space="preserve">  </w:t>
      </w:r>
    </w:p>
    <w:p>
      <w:pPr>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bookmarkEnd w:id="380"/>
      <w:bookmarkEnd w:id="381"/>
      <w:bookmarkEnd w:id="382"/>
      <w:r>
        <w:rPr>
          <w:rFonts w:hint="default" w:ascii="Times New Roman" w:hAnsi="Times New Roman" w:eastAsia="仿宋_GB2312" w:cs="Times New Roman"/>
          <w:sz w:val="32"/>
          <w:szCs w:val="32"/>
        </w:rPr>
        <w:t>持资源配置起决定性作用的市场化改革方向，理顺政府与市场的关系，转变政府职能，构建现代市场体系，激发市场活力，实现经济社会高效可持续发展。</w:t>
      </w:r>
    </w:p>
    <w:p>
      <w:pPr>
        <w:pStyle w:val="2"/>
        <w:spacing w:line="240" w:lineRule="auto"/>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sz w:val="32"/>
          <w:szCs w:val="32"/>
        </w:rPr>
      </w:pPr>
      <w:bookmarkStart w:id="391" w:name="_Toc26335"/>
      <w:bookmarkStart w:id="392" w:name="_Toc21665"/>
      <w:r>
        <w:rPr>
          <w:rFonts w:hint="default" w:ascii="Times New Roman" w:hAnsi="Times New Roman" w:eastAsia="仿宋_GB2312" w:cs="Times New Roman"/>
          <w:b/>
          <w:sz w:val="32"/>
          <w:szCs w:val="32"/>
        </w:rPr>
        <w:t>第十七</w:t>
      </w:r>
      <w:bookmarkStart w:id="393" w:name="_Toc5202"/>
      <w:bookmarkStart w:id="394" w:name="_Toc21209"/>
      <w:r>
        <w:rPr>
          <w:rFonts w:hint="default" w:ascii="Times New Roman" w:hAnsi="Times New Roman" w:eastAsia="仿宋_GB2312" w:cs="Times New Roman"/>
          <w:b/>
          <w:sz w:val="32"/>
          <w:szCs w:val="32"/>
        </w:rPr>
        <w:t>章  全面深化体制机制改革</w:t>
      </w:r>
      <w:bookmarkEnd w:id="391"/>
      <w:bookmarkEnd w:id="392"/>
    </w:p>
    <w:p>
      <w:pPr>
        <w:pStyle w:val="2"/>
        <w:spacing w:line="240" w:lineRule="auto"/>
        <w:rPr>
          <w:rFonts w:hint="default" w:ascii="Times New Roman" w:hAnsi="Times New Roman" w:cs="Times New Roman"/>
        </w:rPr>
      </w:pPr>
    </w:p>
    <w:p>
      <w:pPr>
        <w:ind w:right="72" w:rightChars="24" w:firstLine="0"/>
        <w:jc w:val="center"/>
        <w:outlineLvl w:val="2"/>
        <w:rPr>
          <w:rFonts w:hint="default" w:ascii="Times New Roman" w:hAnsi="Times New Roman" w:eastAsia="仿宋_GB2312" w:cs="Times New Roman"/>
          <w:b/>
          <w:bCs/>
          <w:sz w:val="32"/>
          <w:szCs w:val="32"/>
        </w:rPr>
      </w:pPr>
      <w:bookmarkStart w:id="395" w:name="_Toc4636"/>
      <w:bookmarkStart w:id="396" w:name="_Toc13858"/>
      <w:r>
        <w:rPr>
          <w:rFonts w:hint="default" w:ascii="Times New Roman" w:hAnsi="Times New Roman" w:eastAsia="楷体_GB2312" w:cs="Times New Roman"/>
          <w:b/>
          <w:bCs/>
          <w:sz w:val="32"/>
          <w:szCs w:val="32"/>
        </w:rPr>
        <w:t>第</w:t>
      </w:r>
      <w:bookmarkEnd w:id="393"/>
      <w:bookmarkEnd w:id="394"/>
      <w:r>
        <w:rPr>
          <w:rFonts w:hint="default" w:ascii="Times New Roman" w:hAnsi="Times New Roman" w:eastAsia="楷体_GB2312" w:cs="Times New Roman"/>
          <w:b/>
          <w:bCs/>
          <w:sz w:val="32"/>
          <w:szCs w:val="32"/>
        </w:rPr>
        <w:t>一节</w:t>
      </w:r>
      <w:bookmarkStart w:id="397" w:name="_Toc2332"/>
      <w:bookmarkStart w:id="398" w:name="_Toc30911"/>
      <w:r>
        <w:rPr>
          <w:rFonts w:hint="default" w:ascii="Times New Roman" w:hAnsi="Times New Roman" w:eastAsia="楷体_GB2312" w:cs="Times New Roman"/>
          <w:b/>
          <w:bCs/>
          <w:sz w:val="32"/>
          <w:szCs w:val="32"/>
        </w:rPr>
        <w:t xml:space="preserve">  加快政府职能转变</w:t>
      </w:r>
      <w:bookmarkEnd w:id="395"/>
      <w:bookmarkEnd w:id="39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深化</w:t>
      </w:r>
      <w:bookmarkEnd w:id="397"/>
      <w:bookmarkEnd w:id="398"/>
      <w:r>
        <w:rPr>
          <w:rFonts w:hint="default" w:ascii="Times New Roman" w:hAnsi="Times New Roman" w:eastAsia="仿宋_GB2312" w:cs="Times New Roman"/>
          <w:sz w:val="32"/>
          <w:szCs w:val="32"/>
        </w:rPr>
        <w:t>行政审批制度改革，大力推进并联审批，不断简化办事程序。深化“放管服”改革，全面落实好“5张清单”、建设“1个平台”、推进“7项制度改革”。</w:t>
      </w:r>
      <w:r>
        <w:rPr>
          <w:rFonts w:hint="eastAsia" w:ascii="Times New Roman" w:hAnsi="Times New Roman" w:eastAsia="仿宋_GB2312" w:cs="Times New Roman"/>
          <w:sz w:val="32"/>
          <w:szCs w:val="32"/>
          <w:lang w:val="en-US" w:eastAsia="zh-CN"/>
        </w:rPr>
        <w:t>优化良好的营商环境，</w:t>
      </w:r>
      <w:r>
        <w:rPr>
          <w:rFonts w:hint="default" w:ascii="Times New Roman" w:hAnsi="Times New Roman" w:eastAsia="仿宋_GB2312" w:cs="Times New Roman"/>
          <w:sz w:val="32"/>
          <w:szCs w:val="32"/>
        </w:rPr>
        <w:t>积极营造亲商、爱商、安商的发展</w:t>
      </w:r>
      <w:r>
        <w:rPr>
          <w:rFonts w:hint="eastAsia" w:ascii="Times New Roman" w:hAnsi="Times New Roman" w:eastAsia="仿宋_GB2312" w:cs="Times New Roman"/>
          <w:sz w:val="32"/>
          <w:szCs w:val="32"/>
          <w:lang w:val="en-US" w:eastAsia="zh-CN"/>
        </w:rPr>
        <w:t>氛围</w:t>
      </w:r>
      <w:r>
        <w:rPr>
          <w:rFonts w:hint="default" w:ascii="Times New Roman" w:hAnsi="Times New Roman" w:eastAsia="仿宋_GB2312" w:cs="Times New Roman"/>
          <w:sz w:val="32"/>
          <w:szCs w:val="32"/>
        </w:rPr>
        <w:t>，强化基层便民服务平台建设，将行政审批、公共服务、政务公开、效能监察等在一个网上运行；全面贯彻实施政府信息公开条例，加大重点领域、重大事项信息公开力度。建立权责统一、权威高效的行政执法体制，实施综合执法；建立综合执法事中事后监管工作机制，消除多层重复执法；完善行政执法与刑事司法衔接机制，全面落实行政执法责任制和执法经费由财政保障制度。</w:t>
      </w:r>
    </w:p>
    <w:p>
      <w:pPr>
        <w:ind w:right="72" w:rightChars="24" w:firstLine="0"/>
        <w:jc w:val="center"/>
        <w:outlineLvl w:val="2"/>
        <w:rPr>
          <w:rFonts w:hint="default" w:ascii="Times New Roman" w:hAnsi="Times New Roman" w:eastAsia="仿宋_GB2312" w:cs="Times New Roman"/>
          <w:b/>
          <w:bCs/>
          <w:sz w:val="32"/>
          <w:szCs w:val="32"/>
        </w:rPr>
      </w:pPr>
      <w:bookmarkStart w:id="399" w:name="_Toc20422"/>
      <w:bookmarkStart w:id="400" w:name="_Toc12690"/>
      <w:r>
        <w:rPr>
          <w:rFonts w:hint="default" w:ascii="Times New Roman" w:hAnsi="Times New Roman" w:eastAsia="楷体_GB2312" w:cs="Times New Roman"/>
          <w:b/>
          <w:bCs/>
          <w:sz w:val="32"/>
          <w:szCs w:val="32"/>
        </w:rPr>
        <w:t>第二节</w:t>
      </w:r>
      <w:bookmarkStart w:id="401" w:name="_Toc26925"/>
      <w:bookmarkStart w:id="402" w:name="_Toc264"/>
      <w:r>
        <w:rPr>
          <w:rFonts w:hint="default" w:ascii="Times New Roman" w:hAnsi="Times New Roman" w:eastAsia="楷体_GB2312" w:cs="Times New Roman"/>
          <w:b/>
          <w:bCs/>
          <w:sz w:val="32"/>
          <w:szCs w:val="32"/>
        </w:rPr>
        <w:t xml:space="preserve">  构建现代市场体系</w:t>
      </w:r>
      <w:bookmarkEnd w:id="399"/>
      <w:bookmarkEnd w:id="40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w:t>
      </w:r>
      <w:bookmarkEnd w:id="401"/>
      <w:bookmarkEnd w:id="402"/>
      <w:r>
        <w:rPr>
          <w:rFonts w:hint="default" w:ascii="Times New Roman" w:hAnsi="Times New Roman" w:eastAsia="仿宋_GB2312" w:cs="Times New Roman"/>
          <w:sz w:val="32"/>
          <w:szCs w:val="32"/>
        </w:rPr>
        <w:t>公平开放透明的市场规则，实行统一的市场准入制度，营造权利平等、机会平等、规则平等、竞争平等的投资环境。深化投融资体制改革，坚持“宽进严管”，深化“三证合一”登记制度和市场主体退出制度。深化要素市场改革，建立城乡统一的建设用地市场体系，构建城乡一体的人力资源市场化配置。完善市场决定价格的机制，逐步放开房地产、会计、税务、审计、委托性质量产品监督检验、专利代理等经营服务性收费管理；全面实施城镇居民用水、用电、用气阶梯式价格制度，完善污水处理收费政策。</w:t>
      </w:r>
    </w:p>
    <w:p>
      <w:pPr>
        <w:ind w:right="72" w:rightChars="24" w:firstLine="0"/>
        <w:jc w:val="center"/>
        <w:outlineLvl w:val="2"/>
        <w:rPr>
          <w:rFonts w:hint="default" w:ascii="Times New Roman" w:hAnsi="Times New Roman" w:eastAsia="仿宋_GB2312" w:cs="Times New Roman"/>
          <w:b/>
          <w:bCs/>
          <w:sz w:val="32"/>
          <w:szCs w:val="32"/>
        </w:rPr>
      </w:pPr>
      <w:bookmarkStart w:id="403" w:name="_Toc22798"/>
      <w:bookmarkStart w:id="404" w:name="_Toc616"/>
      <w:r>
        <w:rPr>
          <w:rFonts w:hint="default" w:ascii="Times New Roman" w:hAnsi="Times New Roman" w:eastAsia="楷体_GB2312" w:cs="Times New Roman"/>
          <w:b/>
          <w:bCs/>
          <w:sz w:val="32"/>
          <w:szCs w:val="32"/>
        </w:rPr>
        <w:t>第三节</w:t>
      </w:r>
      <w:bookmarkStart w:id="405" w:name="_Toc15025"/>
      <w:bookmarkStart w:id="406" w:name="_Toc599"/>
      <w:r>
        <w:rPr>
          <w:rFonts w:hint="default" w:ascii="Times New Roman" w:hAnsi="Times New Roman" w:eastAsia="楷体_GB2312" w:cs="Times New Roman"/>
          <w:b/>
          <w:bCs/>
          <w:sz w:val="32"/>
          <w:szCs w:val="32"/>
        </w:rPr>
        <w:t xml:space="preserve">  创新财税金融机制</w:t>
      </w:r>
      <w:bookmarkEnd w:id="403"/>
      <w:bookmarkEnd w:id="404"/>
    </w:p>
    <w:p>
      <w:pPr>
        <w:ind w:right="72" w:rightChars="24"/>
        <w:rPr>
          <w:rFonts w:hint="default" w:ascii="Times New Roman" w:hAnsi="Times New Roman" w:cs="Times New Roman"/>
        </w:rPr>
      </w:pPr>
      <w:r>
        <w:rPr>
          <w:rFonts w:hint="default" w:ascii="Times New Roman" w:hAnsi="Times New Roman" w:eastAsia="仿宋_GB2312" w:cs="Times New Roman"/>
          <w:sz w:val="32"/>
          <w:szCs w:val="32"/>
        </w:rPr>
        <w:t>改革</w:t>
      </w:r>
      <w:bookmarkEnd w:id="405"/>
      <w:bookmarkEnd w:id="406"/>
      <w:r>
        <w:rPr>
          <w:rFonts w:hint="default" w:ascii="Times New Roman" w:hAnsi="Times New Roman" w:eastAsia="仿宋_GB2312" w:cs="Times New Roman"/>
          <w:sz w:val="32"/>
          <w:szCs w:val="32"/>
        </w:rPr>
        <w:t>地方财政管理模式，完善政府全口径预算管理体系，建立和完善城镇基本财力保障机制，健全全过程预算绩效管理机制，逐步将社会保险基金纳入国库集中支付，推进乡镇国库集中收付制度改革。加强税源管理机制，建立并执行财税优惠政策合法性审查机制和定期清理制度，运用财政政策支持加快投融资体制改革，探索采用风险补偿方式，吸引金融机构加大战略性新兴产业的支持力度。创新地方金融体制机制，培育壮大金融市场，大力发展信贷、股权交易、债券、保险等市场。加大金融监管力度，进一步健全金融风险防控机制。推进农村金融改革，逐步深化农村信用体系建设，促进农村普惠金融发展。积极推进金融服务创新，推广数字金融，重点推动零售金融业务数字化，探索构建“党建+金融”模式，打造“两服务、四走进”金融生态圈，创建农村金融改革示范区。</w:t>
      </w:r>
    </w:p>
    <w:p>
      <w:pPr>
        <w:ind w:right="72" w:rightChars="24" w:firstLine="0"/>
        <w:jc w:val="center"/>
        <w:outlineLvl w:val="2"/>
        <w:rPr>
          <w:rFonts w:hint="default" w:ascii="Times New Roman" w:hAnsi="Times New Roman" w:eastAsia="楷体_GB2312" w:cs="Times New Roman"/>
          <w:b/>
          <w:bCs/>
          <w:sz w:val="32"/>
          <w:szCs w:val="32"/>
        </w:rPr>
      </w:pPr>
      <w:bookmarkStart w:id="407" w:name="_Toc32210"/>
      <w:bookmarkStart w:id="408" w:name="_Toc21731"/>
      <w:r>
        <w:rPr>
          <w:rFonts w:hint="default" w:ascii="Times New Roman" w:hAnsi="Times New Roman" w:eastAsia="楷体_GB2312" w:cs="Times New Roman"/>
          <w:b/>
          <w:bCs/>
          <w:sz w:val="32"/>
          <w:szCs w:val="32"/>
        </w:rPr>
        <w:t>第四节</w:t>
      </w:r>
      <w:bookmarkStart w:id="409" w:name="_Toc16231"/>
      <w:bookmarkStart w:id="410" w:name="_Toc16939"/>
      <w:r>
        <w:rPr>
          <w:rFonts w:hint="default" w:ascii="Times New Roman" w:hAnsi="Times New Roman" w:eastAsia="楷体_GB2312" w:cs="Times New Roman"/>
          <w:b/>
          <w:bCs/>
          <w:sz w:val="32"/>
          <w:szCs w:val="32"/>
        </w:rPr>
        <w:t xml:space="preserve">  健全社会民主法治</w:t>
      </w:r>
      <w:bookmarkEnd w:id="407"/>
      <w:bookmarkEnd w:id="408"/>
    </w:p>
    <w:p>
      <w:pPr>
        <w:ind w:right="72" w:rightChars="2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w:t>
      </w:r>
      <w:bookmarkEnd w:id="409"/>
      <w:bookmarkEnd w:id="410"/>
      <w:r>
        <w:rPr>
          <w:rFonts w:hint="default" w:ascii="Times New Roman" w:hAnsi="Times New Roman" w:eastAsia="仿宋_GB2312" w:cs="Times New Roman"/>
          <w:sz w:val="32"/>
          <w:szCs w:val="32"/>
        </w:rPr>
        <w:t>推进政务公开，推进机构、职能、权限、程序、责任法定化，完善重大行政决策法定程序，严格落实政府重大行政决策的公共参与、专家咨询论证、合法性审查、风险评估、集体讨论决定制度及实施后评估工作，落实重大决策终身责任追究制度及责任倒查机制。提高司法公信力，构建开放、动态、透明、便民的阳光司法机制，确保法院、检察院依法独立公正行使职权推进司法公开。保障人民群众参与司法活动的权利，深入落实民主协商制度，不断提升决策法治化水平。创新矛盾纠纷调解机制，加强行业性、专业性调解组织建设，完善医疗卫生、劳动保障、交通事故、价格争议等矛盾纠纷专业调解机制；完善人民调解、行政调解、司法调解联动工作机制；全民推进网格化服务管理工作，严格实行社会矛盾纠纷排查调处“零报告”和定期分析研判、分级预警等制度。创新基层和社区治理新机制，推动社会治理重心下移，加快转变基层政府职能，增强基层政府的社会管理能力，以网格化管理、社会化服务为方向，完善市（县）、镇、村三级社会服务管理体制，建立以居民信息为基础，覆盖市（县）、镇、村三级社区管理信息平台。促进社会组织健康发展，加快建立社会组织现代化管理体制，优化发展行业协会商会类、科技类、公益慈善类、城乡社区服务类社会组织，积极构建一批能够成为区域领导型、核心型、标杆型的社会组织。建设社会治安防控体系。按照全时空、多层次、宽领域、高智能的要求，健全点线面结合、网上网下结合、人防物防技防结合、打防管控结合的立体化现代化社会治安防控体系。实施城乡一体化巡防工程，加强重点要害部位和特种行业、公共复杂场所监管，加强偏远农村、城乡结合部、城中村等社会治安重点地区的治安突出问题排查整治。</w:t>
      </w:r>
    </w:p>
    <w:p>
      <w:pPr>
        <w:spacing w:line="240" w:lineRule="auto"/>
        <w:ind w:right="72" w:rightChars="24"/>
        <w:jc w:val="center"/>
        <w:outlineLvl w:val="1"/>
        <w:rPr>
          <w:rFonts w:hint="default" w:ascii="Times New Roman" w:hAnsi="Times New Roman" w:eastAsia="仿宋_GB2312" w:cs="Times New Roman"/>
          <w:b/>
          <w:sz w:val="32"/>
          <w:szCs w:val="32"/>
        </w:rPr>
      </w:pPr>
      <w:bookmarkStart w:id="411" w:name="_Toc2930"/>
      <w:bookmarkStart w:id="412" w:name="_Toc3857"/>
      <w:r>
        <w:rPr>
          <w:rFonts w:hint="default" w:ascii="Times New Roman" w:hAnsi="Times New Roman" w:eastAsia="仿宋_GB2312" w:cs="Times New Roman"/>
          <w:b/>
          <w:sz w:val="32"/>
          <w:szCs w:val="32"/>
        </w:rPr>
        <w:t>第十八</w:t>
      </w:r>
      <w:bookmarkStart w:id="413" w:name="_Toc19037"/>
      <w:bookmarkStart w:id="414" w:name="_Toc4273"/>
      <w:r>
        <w:rPr>
          <w:rFonts w:hint="default" w:ascii="Times New Roman" w:hAnsi="Times New Roman" w:eastAsia="仿宋_GB2312" w:cs="Times New Roman"/>
          <w:b/>
          <w:sz w:val="32"/>
          <w:szCs w:val="32"/>
        </w:rPr>
        <w:t>章  大力实施创新驱动战略</w:t>
      </w:r>
      <w:bookmarkEnd w:id="411"/>
      <w:bookmarkEnd w:id="412"/>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w:t>
      </w:r>
      <w:bookmarkEnd w:id="413"/>
      <w:bookmarkEnd w:id="414"/>
      <w:r>
        <w:rPr>
          <w:rFonts w:hint="default" w:ascii="Times New Roman" w:hAnsi="Times New Roman" w:eastAsia="仿宋_GB2312" w:cs="Times New Roman"/>
          <w:sz w:val="32"/>
          <w:szCs w:val="32"/>
        </w:rPr>
        <w:t>科技创新为核心，以人才队伍为支撑，以制度创新为保障，</w:t>
      </w:r>
      <w:r>
        <w:rPr>
          <w:rFonts w:hint="eastAsia" w:ascii="Times New Roman" w:hAnsi="Times New Roman" w:eastAsia="仿宋_GB2312" w:cs="Times New Roman"/>
          <w:sz w:val="32"/>
          <w:szCs w:val="32"/>
          <w:lang w:val="en-US" w:eastAsia="zh-CN"/>
        </w:rPr>
        <w:t>深度激发民营经济发展活力，</w:t>
      </w:r>
      <w:r>
        <w:rPr>
          <w:rFonts w:hint="default" w:ascii="Times New Roman" w:hAnsi="Times New Roman" w:eastAsia="仿宋_GB2312" w:cs="Times New Roman"/>
          <w:sz w:val="32"/>
          <w:szCs w:val="32"/>
        </w:rPr>
        <w:t>深入推进大众创业、万众创新，加快构筑区域创新体系，优化创新创业环境，建设特色鲜明、氛围浓厚的创新型城市。</w:t>
      </w:r>
    </w:p>
    <w:p>
      <w:pPr>
        <w:ind w:right="72" w:rightChars="24" w:firstLine="0"/>
        <w:jc w:val="center"/>
        <w:outlineLvl w:val="2"/>
        <w:rPr>
          <w:rFonts w:hint="eastAsia" w:ascii="Times New Roman" w:hAnsi="Times New Roman" w:eastAsia="楷体_GB2312" w:cs="Times New Roman"/>
          <w:b/>
          <w:bCs/>
          <w:sz w:val="32"/>
          <w:szCs w:val="32"/>
          <w:lang w:val="en-US" w:eastAsia="zh-CN"/>
        </w:rPr>
      </w:pPr>
      <w:bookmarkStart w:id="415" w:name="_Toc9935"/>
      <w:bookmarkStart w:id="416" w:name="_Toc22667"/>
      <w:r>
        <w:rPr>
          <w:rFonts w:hint="eastAsia" w:ascii="Times New Roman" w:hAnsi="Times New Roman" w:eastAsia="楷体_GB2312" w:cs="Times New Roman"/>
          <w:b/>
          <w:bCs/>
          <w:sz w:val="32"/>
          <w:szCs w:val="32"/>
          <w:lang w:val="en-US" w:eastAsia="zh-CN"/>
        </w:rPr>
        <w:t>第一节  增强民营经济发展活力</w:t>
      </w:r>
      <w:bookmarkEnd w:id="415"/>
    </w:p>
    <w:p>
      <w:pPr>
        <w:ind w:right="72" w:rightChars="24"/>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实施民营经济提升工程，加强梯度培育和引导扶持，</w:t>
      </w:r>
      <w:r>
        <w:rPr>
          <w:rFonts w:hint="default" w:ascii="Times New Roman" w:hAnsi="Times New Roman" w:eastAsia="仿宋_GB2312" w:cs="Times New Roman"/>
          <w:sz w:val="32"/>
          <w:szCs w:val="32"/>
          <w:lang w:val="en-US" w:eastAsia="zh-CN"/>
        </w:rPr>
        <w:t>支持民营企业</w:t>
      </w:r>
      <w:r>
        <w:rPr>
          <w:rFonts w:hint="default" w:ascii="Times New Roman" w:hAnsi="Times New Roman" w:eastAsia="仿宋_GB2312" w:cs="Times New Roman"/>
          <w:sz w:val="32"/>
          <w:szCs w:val="32"/>
        </w:rPr>
        <w:t>攻克一批前瞻性技术、颠覆性技术、从0到1的原创性技术难题，不断增强企业核心竞争力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支持中小微企业</w:t>
      </w:r>
      <w:r>
        <w:rPr>
          <w:rFonts w:hint="default" w:ascii="Times New Roman" w:hAnsi="Times New Roman" w:eastAsia="仿宋_GB2312" w:cs="Times New Roman"/>
          <w:sz w:val="32"/>
          <w:szCs w:val="32"/>
        </w:rPr>
        <w:t>以技术进步塑造竞争新优势，努力成为</w:t>
      </w:r>
      <w:r>
        <w:rPr>
          <w:rFonts w:ascii="Times New Roman" w:hAnsi="Times New Roman" w:eastAsia="仿宋_GB2312" w:cs="Times New Roman"/>
          <w:sz w:val="32"/>
          <w:szCs w:val="32"/>
        </w:rPr>
        <w:t>细分领域市场占有率高的</w:t>
      </w:r>
      <w:r>
        <w:rPr>
          <w:rFonts w:hint="default" w:ascii="Times New Roman" w:hAnsi="Times New Roman" w:eastAsia="仿宋_GB2312" w:cs="Times New Roman"/>
          <w:sz w:val="32"/>
          <w:szCs w:val="32"/>
        </w:rPr>
        <w:t>“隐形冠军”和“独角兽”。</w:t>
      </w:r>
      <w:r>
        <w:rPr>
          <w:rFonts w:hint="default" w:ascii="Times New Roman" w:hAnsi="Times New Roman" w:eastAsia="仿宋_GB2312" w:cs="Times New Roman"/>
          <w:sz w:val="32"/>
          <w:szCs w:val="32"/>
          <w:lang w:val="en-US" w:eastAsia="zh-CN"/>
        </w:rPr>
        <w:t>引导民营企业</w:t>
      </w:r>
      <w:r>
        <w:rPr>
          <w:rFonts w:hint="default" w:ascii="Times New Roman" w:hAnsi="Times New Roman" w:eastAsia="仿宋_GB2312" w:cs="Times New Roman"/>
          <w:sz w:val="32"/>
          <w:szCs w:val="32"/>
        </w:rPr>
        <w:t>建立产权清晰、权责明确、管理科学的现代企业制度，</w:t>
      </w:r>
      <w:r>
        <w:rPr>
          <w:rFonts w:hint="default"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rPr>
        <w:t>精细化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制度化的管理</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推动民营企业与互联网深度融合和创新发展，应用“大云移物智”等现代技术手段，推进生产方式、组织管理、服务与商业模式创新，</w:t>
      </w:r>
      <w:r>
        <w:rPr>
          <w:rFonts w:hint="default" w:ascii="Times New Roman" w:hAnsi="Times New Roman" w:eastAsia="仿宋_GB2312" w:cs="Times New Roman"/>
          <w:sz w:val="32"/>
          <w:szCs w:val="32"/>
        </w:rPr>
        <w:t>推动民营企业</w:t>
      </w:r>
      <w:r>
        <w:rPr>
          <w:rFonts w:ascii="Times New Roman" w:hAnsi="Times New Roman" w:eastAsia="仿宋_GB2312" w:cs="Times New Roman"/>
          <w:sz w:val="32"/>
          <w:szCs w:val="32"/>
        </w:rPr>
        <w:t>数字化转型。</w:t>
      </w:r>
      <w:r>
        <w:rPr>
          <w:rFonts w:hint="default" w:ascii="Times New Roman" w:hAnsi="Times New Roman" w:eastAsia="仿宋_GB2312" w:cs="Times New Roman"/>
          <w:sz w:val="32"/>
          <w:szCs w:val="32"/>
          <w:lang w:val="en-US" w:eastAsia="zh-CN"/>
        </w:rPr>
        <w:t>搭建民营企业公共服务平台，</w:t>
      </w:r>
      <w:r>
        <w:rPr>
          <w:rFonts w:hint="default" w:ascii="Times New Roman" w:hAnsi="Times New Roman" w:eastAsia="仿宋_GB2312" w:cs="Times New Roman"/>
          <w:sz w:val="32"/>
          <w:szCs w:val="32"/>
        </w:rPr>
        <w:t>在中介服务、平台建设、诚信发展、依法维权等</w:t>
      </w:r>
      <w:r>
        <w:rPr>
          <w:rFonts w:hint="default" w:ascii="Times New Roman" w:hAnsi="Times New Roman" w:eastAsia="仿宋_GB2312" w:cs="Times New Roman"/>
          <w:sz w:val="32"/>
          <w:szCs w:val="32"/>
          <w:lang w:val="en-US" w:eastAsia="zh-CN"/>
        </w:rPr>
        <w:t>方面</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做好服务保障</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到2025年末，全市民营经济主营业务收入实现</w:t>
      </w: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459</w:t>
      </w:r>
      <w:r>
        <w:rPr>
          <w:rFonts w:ascii="Times New Roman" w:hAnsi="Times New Roman" w:eastAsia="仿宋_GB2312" w:cs="Times New Roman"/>
          <w:sz w:val="32"/>
          <w:szCs w:val="32"/>
        </w:rPr>
        <w:t>亿元，增加值实现</w:t>
      </w: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亿元，民营户数达到</w:t>
      </w: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900</w:t>
      </w:r>
      <w:r>
        <w:rPr>
          <w:rFonts w:ascii="Times New Roman" w:hAnsi="Times New Roman" w:eastAsia="仿宋_GB2312" w:cs="Times New Roman"/>
          <w:sz w:val="32"/>
          <w:szCs w:val="32"/>
        </w:rPr>
        <w:t>户，从业人员达到</w:t>
      </w: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万人。</w:t>
      </w:r>
    </w:p>
    <w:p>
      <w:pPr>
        <w:ind w:right="72" w:rightChars="24" w:firstLine="0"/>
        <w:jc w:val="center"/>
        <w:outlineLvl w:val="2"/>
        <w:rPr>
          <w:rFonts w:hint="default" w:ascii="Times New Roman" w:hAnsi="Times New Roman" w:eastAsia="仿宋_GB2312" w:cs="Times New Roman"/>
          <w:b/>
          <w:bCs/>
          <w:sz w:val="32"/>
          <w:szCs w:val="32"/>
        </w:rPr>
      </w:pPr>
      <w:bookmarkStart w:id="417" w:name="_Toc8209"/>
      <w:r>
        <w:rPr>
          <w:rFonts w:hint="default"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节</w:t>
      </w:r>
      <w:bookmarkStart w:id="418" w:name="_Toc24849"/>
      <w:bookmarkStart w:id="419" w:name="_Toc24019"/>
      <w:r>
        <w:rPr>
          <w:rFonts w:hint="default" w:ascii="Times New Roman" w:hAnsi="Times New Roman" w:eastAsia="楷体_GB2312" w:cs="Times New Roman"/>
          <w:b/>
          <w:bCs/>
          <w:sz w:val="32"/>
          <w:szCs w:val="32"/>
        </w:rPr>
        <w:t xml:space="preserve">  强化企业创新主体</w:t>
      </w:r>
      <w:bookmarkEnd w:id="416"/>
      <w:bookmarkEnd w:id="417"/>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w:t>
      </w:r>
      <w:bookmarkEnd w:id="418"/>
      <w:bookmarkEnd w:id="419"/>
      <w:r>
        <w:rPr>
          <w:rFonts w:hint="default" w:ascii="Times New Roman" w:hAnsi="Times New Roman" w:eastAsia="仿宋_GB2312" w:cs="Times New Roman"/>
          <w:sz w:val="32"/>
          <w:szCs w:val="32"/>
        </w:rPr>
        <w:t>企业创新主体地位，进一步推动创新政策、创新资源、创新人才、创新服务向企业集聚，提升企业对关键共性技术的研发能力，增强企业对引进技术的消化、吸收和再创新能力。推动企业建立以市场需求为导向，以产品开发为核心，集研发设计、生产营销、售后服务一体的技术创新体系，力求在玉米化工、非粮生物质加工、健康食品、酒品酿造、稻米加工、畜禽加工、生物制药等产业重点领域、关键技术上取得重大突破。加强创新型企业上市培育工作，为企业上市集中提供政策、资金与技术上的帮助。到2025年，全社会研发经费支出（R&amp;D）占地区生产总值（GDP）的比重力争达到1.25%，全市科技型中小企业达到20家，高新技术企业达到10家。</w:t>
      </w:r>
    </w:p>
    <w:p>
      <w:pPr>
        <w:ind w:right="72" w:rightChars="24" w:firstLine="0"/>
        <w:jc w:val="center"/>
        <w:outlineLvl w:val="2"/>
        <w:rPr>
          <w:rFonts w:hint="default" w:ascii="Times New Roman" w:hAnsi="Times New Roman" w:eastAsia="仿宋_GB2312" w:cs="Times New Roman"/>
          <w:b/>
          <w:bCs/>
          <w:sz w:val="32"/>
          <w:szCs w:val="32"/>
        </w:rPr>
      </w:pPr>
      <w:bookmarkStart w:id="420" w:name="_Toc30957"/>
      <w:bookmarkStart w:id="421" w:name="_Toc11628"/>
      <w:r>
        <w:rPr>
          <w:rFonts w:hint="default"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节</w:t>
      </w:r>
      <w:bookmarkStart w:id="422" w:name="_Toc18985"/>
      <w:bookmarkStart w:id="423" w:name="_Toc18301"/>
      <w:r>
        <w:rPr>
          <w:rFonts w:hint="default" w:ascii="Times New Roman" w:hAnsi="Times New Roman" w:eastAsia="楷体_GB2312" w:cs="Times New Roman"/>
          <w:b/>
          <w:bCs/>
          <w:sz w:val="32"/>
          <w:szCs w:val="32"/>
        </w:rPr>
        <w:t xml:space="preserve">  建设创新载体平台</w:t>
      </w:r>
      <w:bookmarkEnd w:id="420"/>
      <w:bookmarkEnd w:id="421"/>
    </w:p>
    <w:p>
      <w:pPr>
        <w:spacing w:line="680" w:lineRule="exact"/>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w:t>
      </w:r>
      <w:bookmarkEnd w:id="422"/>
      <w:bookmarkEnd w:id="423"/>
      <w:r>
        <w:rPr>
          <w:rFonts w:hint="default" w:ascii="Times New Roman" w:hAnsi="Times New Roman" w:eastAsia="仿宋_GB2312" w:cs="Times New Roman"/>
          <w:sz w:val="32"/>
          <w:szCs w:val="32"/>
        </w:rPr>
        <w:t>公共研发及技术服务平台建设，打造由县级公共研发平台与专业技术服务平台组成的公共研发平台体系，加强重点实验室、工程实验室、工程（技术）研究中心、企业技术中心和各类公共技术平台建设，重点抓好玉米化工、非粮生物质加工、生物医药等技术创新平台建设；鼓励各类园区建立公共服务平台，完善技术转移和产业化服务体系，支持企业在科技园区设立各类研发平台，集聚科技创新人才、资金和项目。探索众创空间、创业工场等新型创业孵化模式，培养和引进一批具有先进孵化理念、专业知识和管理水平的优秀孵化服务团队。充分发挥农业科技示范园区对科技创新引领作用，有效拓展农业产业功能和延长产业链，推进园区产学研有效结合，推进农业科技创新服务平台建设。</w:t>
      </w:r>
    </w:p>
    <w:p>
      <w:pPr>
        <w:ind w:right="72" w:rightChars="24" w:firstLine="0"/>
        <w:jc w:val="center"/>
        <w:outlineLvl w:val="2"/>
        <w:rPr>
          <w:rFonts w:hint="default" w:ascii="Times New Roman" w:hAnsi="Times New Roman" w:eastAsia="楷体_GB2312" w:cs="Times New Roman"/>
          <w:b/>
          <w:bCs/>
          <w:sz w:val="32"/>
          <w:szCs w:val="32"/>
        </w:rPr>
      </w:pPr>
      <w:bookmarkStart w:id="424" w:name="_Toc27745"/>
      <w:bookmarkStart w:id="425" w:name="_Toc24586"/>
      <w:r>
        <w:rPr>
          <w:rFonts w:hint="default"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节</w:t>
      </w:r>
      <w:bookmarkStart w:id="426" w:name="_Toc26063"/>
      <w:bookmarkStart w:id="427" w:name="_Toc19301"/>
      <w:r>
        <w:rPr>
          <w:rFonts w:hint="default" w:ascii="Times New Roman" w:hAnsi="Times New Roman" w:eastAsia="楷体_GB2312" w:cs="Times New Roman"/>
          <w:b/>
          <w:bCs/>
          <w:sz w:val="32"/>
          <w:szCs w:val="32"/>
        </w:rPr>
        <w:t xml:space="preserve">  建设创新人才队伍</w:t>
      </w:r>
      <w:bookmarkEnd w:id="424"/>
      <w:bookmarkEnd w:id="425"/>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w:t>
      </w:r>
      <w:bookmarkEnd w:id="426"/>
      <w:bookmarkEnd w:id="427"/>
      <w:r>
        <w:rPr>
          <w:rFonts w:hint="default" w:ascii="Times New Roman" w:hAnsi="Times New Roman" w:eastAsia="仿宋_GB2312" w:cs="Times New Roman"/>
          <w:sz w:val="32"/>
          <w:szCs w:val="32"/>
        </w:rPr>
        <w:t>“招才引智工程”，围绕玉米化工、非粮生物质加工、生物制药等主导产业和优势产业重点领域，大力引进企业经营管理人才、专业技术人才、技能型人才、农村实用人才以及社会工作人才。实施“企业家能力素质提升工程”，培育具有自主创业能力和较高经营管理水平的企业家队伍。做好各类专业技术职称的申报、审批和评审等工作，做好有突出贡献专家和享受特殊津贴人员及拔尖人才的选拔申报工作。围绕激励形式的多元化，建立与工作业绩密切相连、充分体现人才价值、激发人才活力的分配机制，探索技术入股、股票期权、年薪制等知识、技术、管理要素参与分配的具体办法。</w:t>
      </w:r>
    </w:p>
    <w:p>
      <w:pPr>
        <w:ind w:right="72" w:rightChars="24" w:firstLine="0"/>
        <w:jc w:val="center"/>
        <w:outlineLvl w:val="2"/>
        <w:rPr>
          <w:rFonts w:hint="default" w:ascii="Times New Roman" w:hAnsi="Times New Roman" w:eastAsia="楷体_GB2312" w:cs="Times New Roman"/>
          <w:b/>
          <w:bCs/>
          <w:sz w:val="32"/>
          <w:szCs w:val="32"/>
        </w:rPr>
      </w:pPr>
      <w:bookmarkStart w:id="428" w:name="_Toc9437"/>
      <w:bookmarkStart w:id="429" w:name="_Toc29722"/>
      <w:r>
        <w:rPr>
          <w:rFonts w:hint="default"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节</w:t>
      </w:r>
      <w:bookmarkStart w:id="430" w:name="_Toc28819"/>
      <w:bookmarkStart w:id="431" w:name="_Toc25243"/>
      <w:r>
        <w:rPr>
          <w:rFonts w:hint="default" w:ascii="Times New Roman" w:hAnsi="Times New Roman" w:eastAsia="楷体_GB2312" w:cs="Times New Roman"/>
          <w:b/>
          <w:bCs/>
          <w:sz w:val="32"/>
          <w:szCs w:val="32"/>
        </w:rPr>
        <w:t xml:space="preserve">  营造良好创新环境</w:t>
      </w:r>
      <w:bookmarkEnd w:id="428"/>
      <w:bookmarkEnd w:id="429"/>
    </w:p>
    <w:p>
      <w:pPr>
        <w:keepNext w:val="0"/>
        <w:keepLines w:val="0"/>
        <w:pageBreakBefore w:val="0"/>
        <w:widowControl w:val="0"/>
        <w:kinsoku/>
        <w:wordWrap/>
        <w:overflowPunct/>
        <w:topLinePunct w:val="0"/>
        <w:autoSpaceDE/>
        <w:autoSpaceDN/>
        <w:bidi w:val="0"/>
        <w:adjustRightInd/>
        <w:snapToGrid w:val="0"/>
        <w:spacing w:line="62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w:t>
      </w:r>
      <w:bookmarkEnd w:id="430"/>
      <w:bookmarkEnd w:id="431"/>
      <w:r>
        <w:rPr>
          <w:rFonts w:hint="default" w:ascii="Times New Roman" w:hAnsi="Times New Roman" w:eastAsia="仿宋_GB2312" w:cs="Times New Roman"/>
          <w:sz w:val="32"/>
          <w:szCs w:val="32"/>
        </w:rPr>
        <w:t>知识产权制度，着力培育自主知识产权产品和知识产权密集型企业，着力完善有利于知识产权发展的体制机制，到2025年，知识产权发展主要指标达到长春市平均水平，年实施省以上重点科技项目1-2项，申请专利60件以上，年发明专利授权量增长20%以上。扩大科技成果转化引导基金规模，推广企业研发项目贷款贴息，对由企业承担的重点科研项目，逐步采取以贷款贴息为主的支持方式，适当放宽贷款使用范围，逐步完善企业贷款保证保险，力争每年为30家左右的科技企业融资1亿元以上。精心培育科技要素交易市场，大力培育融资、知识产权法律服务等中介机构，加强股权、知识产权、债权等产权交易服务机构管理，推进县域范围内各科技要素交易市场健康发展。</w:t>
      </w:r>
    </w:p>
    <w:p>
      <w:pPr>
        <w:pStyle w:val="2"/>
        <w:keepNext w:val="0"/>
        <w:keepLines w:val="0"/>
        <w:pageBreakBefore w:val="0"/>
        <w:widowControl w:val="0"/>
        <w:kinsoku/>
        <w:wordWrap/>
        <w:overflowPunct/>
        <w:topLinePunct w:val="0"/>
        <w:autoSpaceDE/>
        <w:autoSpaceDN/>
        <w:bidi w:val="0"/>
        <w:adjustRightInd/>
        <w:snapToGrid w:val="0"/>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20" w:lineRule="exact"/>
        <w:ind w:right="72" w:rightChars="24"/>
        <w:jc w:val="center"/>
        <w:textAlignment w:val="auto"/>
        <w:outlineLvl w:val="1"/>
        <w:rPr>
          <w:rFonts w:hint="default" w:ascii="Times New Roman" w:hAnsi="Times New Roman" w:eastAsia="仿宋_GB2312" w:cs="Times New Roman"/>
          <w:b/>
          <w:sz w:val="32"/>
          <w:szCs w:val="32"/>
        </w:rPr>
      </w:pPr>
      <w:bookmarkStart w:id="432" w:name="_Toc25124"/>
      <w:bookmarkStart w:id="433" w:name="_Toc12047"/>
      <w:r>
        <w:rPr>
          <w:rFonts w:hint="default" w:ascii="Times New Roman" w:hAnsi="Times New Roman" w:eastAsia="仿宋_GB2312" w:cs="Times New Roman"/>
          <w:b/>
          <w:sz w:val="32"/>
          <w:szCs w:val="32"/>
        </w:rPr>
        <w:t>第十九</w:t>
      </w:r>
      <w:bookmarkStart w:id="434" w:name="_Toc26588"/>
      <w:bookmarkStart w:id="435" w:name="_Toc11031"/>
      <w:r>
        <w:rPr>
          <w:rFonts w:hint="default" w:ascii="Times New Roman" w:hAnsi="Times New Roman" w:eastAsia="仿宋_GB2312" w:cs="Times New Roman"/>
          <w:b/>
          <w:sz w:val="32"/>
          <w:szCs w:val="32"/>
        </w:rPr>
        <w:t>章  推动社会平稳健康发展</w:t>
      </w:r>
      <w:bookmarkEnd w:id="432"/>
      <w:bookmarkEnd w:id="433"/>
    </w:p>
    <w:p>
      <w:pPr>
        <w:keepNext w:val="0"/>
        <w:keepLines w:val="0"/>
        <w:pageBreakBefore w:val="0"/>
        <w:widowControl w:val="0"/>
        <w:kinsoku/>
        <w:wordWrap/>
        <w:overflowPunct/>
        <w:topLinePunct w:val="0"/>
        <w:autoSpaceDE/>
        <w:autoSpaceDN/>
        <w:bidi w:val="0"/>
        <w:adjustRightInd/>
        <w:snapToGrid w:val="0"/>
        <w:spacing w:line="620" w:lineRule="exact"/>
        <w:ind w:right="72" w:rightChars="24"/>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w:t>
      </w:r>
      <w:bookmarkEnd w:id="434"/>
      <w:bookmarkEnd w:id="435"/>
      <w:r>
        <w:rPr>
          <w:rFonts w:hint="default" w:ascii="Times New Roman" w:hAnsi="Times New Roman" w:eastAsia="仿宋_GB2312" w:cs="Times New Roman"/>
          <w:sz w:val="32"/>
          <w:szCs w:val="32"/>
        </w:rPr>
        <w:t>防范化解重大风险，确保政治安全和公共安全为根本目标，建立健全各领域预警和应急处置机制，保持全市经济健康发展和社会和谐稳定。</w:t>
      </w:r>
    </w:p>
    <w:p>
      <w:pPr>
        <w:keepNext w:val="0"/>
        <w:keepLines w:val="0"/>
        <w:pageBreakBefore w:val="0"/>
        <w:widowControl w:val="0"/>
        <w:kinsoku/>
        <w:wordWrap/>
        <w:overflowPunct/>
        <w:topLinePunct w:val="0"/>
        <w:autoSpaceDE/>
        <w:autoSpaceDN/>
        <w:bidi w:val="0"/>
        <w:adjustRightInd/>
        <w:snapToGrid w:val="0"/>
        <w:spacing w:line="620" w:lineRule="exact"/>
        <w:ind w:right="72" w:rightChars="24" w:firstLine="0"/>
        <w:jc w:val="center"/>
        <w:textAlignment w:val="auto"/>
        <w:outlineLvl w:val="2"/>
        <w:rPr>
          <w:rFonts w:hint="default" w:ascii="Times New Roman" w:hAnsi="Times New Roman" w:eastAsia="楷体_GB2312" w:cs="Times New Roman"/>
          <w:b/>
          <w:bCs/>
          <w:sz w:val="32"/>
          <w:szCs w:val="32"/>
        </w:rPr>
      </w:pPr>
      <w:bookmarkStart w:id="436" w:name="_Toc31332"/>
      <w:bookmarkStart w:id="437" w:name="_Toc17946"/>
      <w:r>
        <w:rPr>
          <w:rFonts w:hint="default" w:ascii="Times New Roman" w:hAnsi="Times New Roman" w:eastAsia="楷体_GB2312" w:cs="Times New Roman"/>
          <w:b/>
          <w:bCs/>
          <w:sz w:val="32"/>
          <w:szCs w:val="32"/>
        </w:rPr>
        <w:t>第一节</w:t>
      </w:r>
      <w:bookmarkStart w:id="438" w:name="_Toc7260"/>
      <w:bookmarkStart w:id="439" w:name="_Toc20311"/>
      <w:r>
        <w:rPr>
          <w:rFonts w:hint="default" w:ascii="Times New Roman" w:hAnsi="Times New Roman" w:eastAsia="楷体_GB2312" w:cs="Times New Roman"/>
          <w:b/>
          <w:bCs/>
          <w:sz w:val="32"/>
          <w:szCs w:val="32"/>
        </w:rPr>
        <w:t xml:space="preserve">  加强宣传教育引导</w:t>
      </w:r>
      <w:bookmarkEnd w:id="436"/>
      <w:bookmarkEnd w:id="437"/>
    </w:p>
    <w:p>
      <w:pPr>
        <w:keepNext w:val="0"/>
        <w:keepLines w:val="0"/>
        <w:pageBreakBefore w:val="0"/>
        <w:widowControl w:val="0"/>
        <w:kinsoku/>
        <w:wordWrap/>
        <w:overflowPunct/>
        <w:topLinePunct w:val="0"/>
        <w:autoSpaceDE/>
        <w:autoSpaceDN/>
        <w:bidi w:val="0"/>
        <w:adjustRightInd/>
        <w:snapToGrid w:val="0"/>
        <w:spacing w:line="62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w:t>
      </w:r>
      <w:bookmarkEnd w:id="438"/>
      <w:bookmarkEnd w:id="439"/>
      <w:r>
        <w:rPr>
          <w:rFonts w:hint="default" w:ascii="Times New Roman" w:hAnsi="Times New Roman" w:eastAsia="仿宋_GB2312" w:cs="Times New Roman"/>
          <w:sz w:val="32"/>
          <w:szCs w:val="32"/>
        </w:rPr>
        <w:t>以社会主义核心价值观为引领，加强意识形态阵地建设，加强爱国主义教育，高度重视新形势下的新闻宣传和舆论引导，进一步整合宣传、信息、维稳等相关部门的力量，建立灵活、有效的协调机制，切实提高舆情监控和引导水平。高度重视青年一代思想政治工作，重点加强青少年意识形态塑造，教育引导广大青少年形成正确的世界观、人生观和价值观。持续加强宣传阵地建设，充分利用各种新闻媒体，宣传党的方针政策、重点工作的经验做法、干部群众中的先进典型，不断提高正面导向能力。</w:t>
      </w:r>
    </w:p>
    <w:p>
      <w:pPr>
        <w:keepNext w:val="0"/>
        <w:keepLines w:val="0"/>
        <w:pageBreakBefore w:val="0"/>
        <w:widowControl w:val="0"/>
        <w:kinsoku/>
        <w:wordWrap/>
        <w:overflowPunct/>
        <w:topLinePunct w:val="0"/>
        <w:autoSpaceDE/>
        <w:autoSpaceDN/>
        <w:bidi w:val="0"/>
        <w:adjustRightInd/>
        <w:snapToGrid w:val="0"/>
        <w:spacing w:line="620" w:lineRule="exact"/>
        <w:ind w:right="72" w:rightChars="24" w:firstLine="0"/>
        <w:jc w:val="center"/>
        <w:textAlignment w:val="auto"/>
        <w:outlineLvl w:val="2"/>
        <w:rPr>
          <w:rFonts w:hint="default" w:ascii="Times New Roman" w:hAnsi="Times New Roman" w:eastAsia="楷体_GB2312" w:cs="Times New Roman"/>
          <w:b/>
          <w:bCs/>
          <w:sz w:val="32"/>
          <w:szCs w:val="32"/>
        </w:rPr>
      </w:pPr>
      <w:bookmarkStart w:id="440" w:name="_Toc16083"/>
      <w:bookmarkStart w:id="441" w:name="_Toc22940"/>
      <w:r>
        <w:rPr>
          <w:rFonts w:hint="default" w:ascii="Times New Roman" w:hAnsi="Times New Roman" w:eastAsia="楷体_GB2312" w:cs="Times New Roman"/>
          <w:b/>
          <w:bCs/>
          <w:sz w:val="32"/>
          <w:szCs w:val="32"/>
        </w:rPr>
        <w:t>第二节</w:t>
      </w:r>
      <w:bookmarkStart w:id="442" w:name="_Toc12639"/>
      <w:bookmarkStart w:id="443" w:name="_Toc19584"/>
      <w:r>
        <w:rPr>
          <w:rFonts w:hint="default" w:ascii="Times New Roman" w:hAnsi="Times New Roman" w:eastAsia="楷体_GB2312" w:cs="Times New Roman"/>
          <w:b/>
          <w:bCs/>
          <w:sz w:val="32"/>
          <w:szCs w:val="32"/>
        </w:rPr>
        <w:t xml:space="preserve">  强化公共安全管理</w:t>
      </w:r>
      <w:bookmarkEnd w:id="440"/>
      <w:bookmarkEnd w:id="441"/>
    </w:p>
    <w:p>
      <w:pPr>
        <w:keepNext w:val="0"/>
        <w:keepLines w:val="0"/>
        <w:pageBreakBefore w:val="0"/>
        <w:widowControl w:val="0"/>
        <w:kinsoku/>
        <w:wordWrap/>
        <w:overflowPunct/>
        <w:topLinePunct w:val="0"/>
        <w:autoSpaceDE/>
        <w:autoSpaceDN/>
        <w:bidi w:val="0"/>
        <w:adjustRightInd/>
        <w:snapToGrid w:val="0"/>
        <w:spacing w:line="620" w:lineRule="exact"/>
        <w:ind w:right="72" w:rightChars="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牢固</w:t>
      </w:r>
      <w:bookmarkEnd w:id="442"/>
      <w:bookmarkEnd w:id="443"/>
      <w:r>
        <w:rPr>
          <w:rFonts w:hint="default" w:ascii="Times New Roman" w:hAnsi="Times New Roman" w:eastAsia="仿宋_GB2312" w:cs="Times New Roman"/>
          <w:sz w:val="32"/>
          <w:szCs w:val="32"/>
        </w:rPr>
        <w:t>树立安全发展理念，强化预防为本，加强安全生产基础能力和防灾减灾能力建设，构建网格化的监管体系；建立健全重大活动安全风险评估机制，完善应急处置预案和安全管理方案，落实安全管理责任和措施；加强安全生产监管执法，打击非法生产经营建设行为。深化消防安全网格化建设，落实政府部门消防安全责任，推进社会化消防工作，夯实城镇社区火灾防控等基础工作。深入实施交通安全生命保障、平安文明交通和城市道路交通管理畅通工程，坚决整治突出交通违法行为。加强烟花爆竹安全管理，对枪支弹药和爆炸、剧毒、放射性等危险物品的生产、销售、储存、运输、使用全过程严格管理。加强特种设备安全监管，依法规范特种设备生产经营，保证特种设备安全运行。健全严格的食品药品安全监管制度，完善政绩考核评价制度和企业责任首负制度，发挥投诉举报、责任保险、行业自律等市场机制作用，切实落实属地管理原则和生产经营主体责任。</w:t>
      </w:r>
    </w:p>
    <w:p>
      <w:pPr>
        <w:spacing w:line="240" w:lineRule="auto"/>
        <w:jc w:val="center"/>
        <w:outlineLvl w:val="0"/>
        <w:rPr>
          <w:rFonts w:hint="default" w:ascii="Times New Roman" w:hAnsi="Times New Roman" w:eastAsia="宋体" w:cs="Times New Roman"/>
          <w:b/>
          <w:bCs/>
          <w:sz w:val="32"/>
          <w:szCs w:val="32"/>
        </w:rPr>
      </w:pPr>
      <w:r>
        <w:rPr>
          <w:rFonts w:hint="default" w:ascii="Times New Roman" w:hAnsi="Times New Roman" w:eastAsia="仿宋_GB2312" w:cs="Times New Roman"/>
          <w:sz w:val="32"/>
          <w:szCs w:val="32"/>
        </w:rPr>
        <w:br w:type="page"/>
      </w:r>
      <w:bookmarkStart w:id="444" w:name="_Toc12441"/>
      <w:bookmarkStart w:id="445" w:name="_Toc4525"/>
      <w:r>
        <w:rPr>
          <w:rFonts w:hint="default" w:ascii="Times New Roman" w:hAnsi="Times New Roman" w:eastAsia="黑体" w:cs="Times New Roman"/>
          <w:b w:val="0"/>
          <w:bCs w:val="0"/>
          <w:sz w:val="32"/>
          <w:szCs w:val="32"/>
        </w:rPr>
        <w:t>第</w:t>
      </w:r>
      <w:r>
        <w:rPr>
          <w:rFonts w:hint="default" w:ascii="Times New Roman" w:hAnsi="Times New Roman" w:eastAsia="黑体" w:cs="Times New Roman"/>
          <w:sz w:val="32"/>
          <w:szCs w:val="32"/>
        </w:rPr>
        <w:t>八</w:t>
      </w:r>
      <w:bookmarkStart w:id="446" w:name="_Toc12458"/>
      <w:bookmarkStart w:id="447" w:name="_Toc91"/>
      <w:bookmarkStart w:id="448" w:name="_Toc17369"/>
      <w:r>
        <w:rPr>
          <w:rFonts w:hint="default" w:ascii="Times New Roman" w:hAnsi="Times New Roman" w:eastAsia="黑体" w:cs="Times New Roman"/>
          <w:b w:val="0"/>
          <w:bCs w:val="0"/>
          <w:sz w:val="32"/>
          <w:szCs w:val="32"/>
        </w:rPr>
        <w:t xml:space="preserve">篇  </w:t>
      </w:r>
      <w:r>
        <w:rPr>
          <w:rFonts w:hint="default" w:ascii="Times New Roman" w:hAnsi="Times New Roman" w:eastAsia="黑体" w:cs="Times New Roman"/>
          <w:sz w:val="32"/>
          <w:szCs w:val="32"/>
        </w:rPr>
        <w:t>聚焦</w:t>
      </w:r>
      <w:r>
        <w:rPr>
          <w:rFonts w:hint="default" w:ascii="Times New Roman" w:hAnsi="Times New Roman" w:eastAsia="黑体" w:cs="Times New Roman"/>
          <w:b w:val="0"/>
          <w:bCs w:val="0"/>
          <w:sz w:val="32"/>
          <w:szCs w:val="32"/>
        </w:rPr>
        <w:t xml:space="preserve">生态文明  </w:t>
      </w:r>
      <w:r>
        <w:rPr>
          <w:rFonts w:hint="default" w:ascii="Times New Roman" w:hAnsi="Times New Roman" w:eastAsia="黑体" w:cs="Times New Roman"/>
          <w:sz w:val="32"/>
          <w:szCs w:val="32"/>
        </w:rPr>
        <w:t>全力</w:t>
      </w:r>
      <w:r>
        <w:rPr>
          <w:rFonts w:hint="default" w:ascii="Times New Roman" w:hAnsi="Times New Roman" w:eastAsia="黑体" w:cs="Times New Roman"/>
          <w:b w:val="0"/>
          <w:bCs w:val="0"/>
          <w:sz w:val="32"/>
          <w:szCs w:val="32"/>
        </w:rPr>
        <w:t>推进绿色发展</w:t>
      </w:r>
      <w:bookmarkEnd w:id="444"/>
      <w:bookmarkEnd w:id="445"/>
    </w:p>
    <w:p>
      <w:pPr>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bookmarkEnd w:id="446"/>
      <w:bookmarkEnd w:id="447"/>
      <w:bookmarkEnd w:id="448"/>
      <w:r>
        <w:rPr>
          <w:rFonts w:hint="default" w:ascii="Times New Roman" w:hAnsi="Times New Roman" w:eastAsia="仿宋_GB2312" w:cs="Times New Roman"/>
          <w:sz w:val="32"/>
          <w:szCs w:val="32"/>
        </w:rPr>
        <w:t>持节约资源和保护环境的基本国策，把生态文明建设放在突出的战略位置，融入经济建设、政治建设、文化建设、社会建设各方面和全过程，打造美丽榆树生态屏障。</w:t>
      </w:r>
    </w:p>
    <w:p>
      <w:pPr>
        <w:pStyle w:val="2"/>
        <w:spacing w:line="240" w:lineRule="auto"/>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449" w:name="_Toc21254"/>
      <w:bookmarkStart w:id="450" w:name="_Toc15966"/>
      <w:r>
        <w:rPr>
          <w:rFonts w:hint="default" w:ascii="Times New Roman" w:hAnsi="Times New Roman" w:eastAsia="仿宋_GB2312" w:cs="Times New Roman"/>
          <w:b/>
          <w:bCs/>
          <w:sz w:val="32"/>
          <w:szCs w:val="32"/>
        </w:rPr>
        <w:t>第二十</w:t>
      </w:r>
      <w:bookmarkStart w:id="451" w:name="_Toc8175"/>
      <w:bookmarkStart w:id="452" w:name="_Toc443381511"/>
      <w:bookmarkStart w:id="453" w:name="_Toc13429"/>
      <w:bookmarkStart w:id="454" w:name="_Toc20447"/>
      <w:r>
        <w:rPr>
          <w:rFonts w:hint="default" w:ascii="Times New Roman" w:hAnsi="Times New Roman" w:eastAsia="仿宋_GB2312" w:cs="Times New Roman"/>
          <w:b/>
          <w:bCs/>
          <w:sz w:val="32"/>
          <w:szCs w:val="32"/>
        </w:rPr>
        <w:t>章  加强环</w:t>
      </w:r>
      <w:bookmarkEnd w:id="451"/>
      <w:bookmarkEnd w:id="452"/>
      <w:bookmarkStart w:id="455" w:name="_Toc443381512"/>
      <w:bookmarkStart w:id="456" w:name="_Toc11667"/>
      <w:r>
        <w:rPr>
          <w:rFonts w:hint="default" w:ascii="Times New Roman" w:hAnsi="Times New Roman" w:eastAsia="仿宋_GB2312" w:cs="Times New Roman"/>
          <w:b/>
          <w:bCs/>
          <w:sz w:val="32"/>
          <w:szCs w:val="32"/>
        </w:rPr>
        <w:t>境保护和污染治理</w:t>
      </w:r>
      <w:bookmarkEnd w:id="449"/>
      <w:bookmarkEnd w:id="450"/>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w:t>
      </w:r>
      <w:bookmarkEnd w:id="453"/>
      <w:bookmarkEnd w:id="454"/>
      <w:bookmarkEnd w:id="455"/>
      <w:bookmarkEnd w:id="456"/>
      <w:r>
        <w:rPr>
          <w:rFonts w:hint="default" w:ascii="Times New Roman" w:hAnsi="Times New Roman" w:eastAsia="仿宋_GB2312" w:cs="Times New Roman"/>
          <w:sz w:val="32"/>
          <w:szCs w:val="32"/>
        </w:rPr>
        <w:t>照防治结合、标本兼治、综合施策的原则，强化区域防控，加快解决水、大气、土壤污染等突出问题，切实改善环境质量。</w:t>
      </w:r>
    </w:p>
    <w:p>
      <w:pPr>
        <w:ind w:right="72" w:rightChars="24" w:firstLine="0"/>
        <w:jc w:val="center"/>
        <w:outlineLvl w:val="2"/>
        <w:rPr>
          <w:rFonts w:hint="default" w:ascii="Times New Roman" w:hAnsi="Times New Roman" w:eastAsia="楷体_GB2312" w:cs="Times New Roman"/>
          <w:b/>
          <w:bCs/>
          <w:sz w:val="32"/>
          <w:szCs w:val="32"/>
        </w:rPr>
      </w:pPr>
      <w:bookmarkStart w:id="457" w:name="_Toc10114"/>
      <w:bookmarkStart w:id="458" w:name="_Toc30590"/>
      <w:r>
        <w:rPr>
          <w:rFonts w:hint="default" w:ascii="Times New Roman" w:hAnsi="Times New Roman" w:eastAsia="楷体_GB2312" w:cs="Times New Roman"/>
          <w:b/>
          <w:bCs/>
          <w:sz w:val="32"/>
          <w:szCs w:val="32"/>
        </w:rPr>
        <w:t>第一节</w:t>
      </w:r>
      <w:bookmarkStart w:id="459" w:name="_Toc6366"/>
      <w:bookmarkStart w:id="460" w:name="_Toc21720"/>
      <w:r>
        <w:rPr>
          <w:rFonts w:hint="default" w:ascii="Times New Roman" w:hAnsi="Times New Roman" w:eastAsia="楷体_GB2312" w:cs="Times New Roman"/>
          <w:b/>
          <w:bCs/>
          <w:sz w:val="32"/>
          <w:szCs w:val="32"/>
        </w:rPr>
        <w:t xml:space="preserve">  改善水资源环境</w:t>
      </w:r>
      <w:bookmarkEnd w:id="457"/>
      <w:bookmarkEnd w:id="45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w:t>
      </w:r>
      <w:bookmarkEnd w:id="459"/>
      <w:bookmarkEnd w:id="460"/>
      <w:r>
        <w:rPr>
          <w:rFonts w:hint="default" w:ascii="Times New Roman" w:hAnsi="Times New Roman" w:eastAsia="仿宋_GB2312" w:cs="Times New Roman"/>
          <w:sz w:val="32"/>
          <w:szCs w:val="32"/>
        </w:rPr>
        <w:t>以水资源开发利用、用水效率、水功能区限制纳污为核心的水资源管理制度。在“一江两河”及其支流附近划定禁养区，加快推进城区及农村饮水源头保护工程和生态修复工程。推广高效节水技术和产品，发展节水农业，加强城市节水，推进企业节水改造，建设节水型社会。全力开展水资源、水生态、水环境统筹保护，系统推进工业、农业、生活、航运污染治理，河湖生态流量保障，生态系统保护修复和风险防控等任务。完善雨污分流系统，强化重点污染源工业废水达标排放，以富田污水处理厂和林江、江北两个并联运营污水厂为载体，推进生活污水、工业废水集中处理。到2025年，全市全面消除劣5类水体，完成流经城区、镇（街）的主要河涌环境综合整治。</w:t>
      </w:r>
    </w:p>
    <w:p>
      <w:pPr>
        <w:ind w:right="72" w:rightChars="24" w:firstLine="0"/>
        <w:jc w:val="center"/>
        <w:outlineLvl w:val="2"/>
        <w:rPr>
          <w:rFonts w:hint="default" w:ascii="Times New Roman" w:hAnsi="Times New Roman" w:eastAsia="楷体_GB2312" w:cs="Times New Roman"/>
          <w:b/>
          <w:bCs/>
          <w:sz w:val="32"/>
          <w:szCs w:val="32"/>
        </w:rPr>
      </w:pPr>
      <w:bookmarkStart w:id="461" w:name="_Toc16822"/>
      <w:bookmarkStart w:id="462" w:name="_Toc8433"/>
      <w:r>
        <w:rPr>
          <w:rFonts w:hint="default" w:ascii="Times New Roman" w:hAnsi="Times New Roman" w:eastAsia="楷体_GB2312" w:cs="Times New Roman"/>
          <w:b/>
          <w:bCs/>
          <w:sz w:val="32"/>
          <w:szCs w:val="32"/>
        </w:rPr>
        <w:t>第二节</w:t>
      </w:r>
      <w:bookmarkStart w:id="463" w:name="_Toc31350"/>
      <w:bookmarkStart w:id="464" w:name="_Toc4203"/>
      <w:r>
        <w:rPr>
          <w:rFonts w:hint="default" w:ascii="Times New Roman" w:hAnsi="Times New Roman" w:eastAsia="楷体_GB2312" w:cs="Times New Roman"/>
          <w:b/>
          <w:bCs/>
          <w:sz w:val="32"/>
          <w:szCs w:val="32"/>
        </w:rPr>
        <w:t xml:space="preserve">  治理大气污染</w:t>
      </w:r>
      <w:bookmarkEnd w:id="461"/>
      <w:bookmarkEnd w:id="46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突出</w:t>
      </w:r>
      <w:bookmarkEnd w:id="463"/>
      <w:bookmarkEnd w:id="464"/>
      <w:r>
        <w:rPr>
          <w:rFonts w:hint="default" w:ascii="Times New Roman" w:hAnsi="Times New Roman" w:eastAsia="仿宋_GB2312" w:cs="Times New Roman"/>
          <w:sz w:val="32"/>
          <w:szCs w:val="32"/>
        </w:rPr>
        <w:t>重点管控的空间、时段、行业领域和污染物，加强PM2.5与O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协同控制，推进大气环境管理体系和治理能力现代化。深化工业源污染治理，促进有用热需求的产业园区全部实现集中供热。加强挥发性有机物排放控制，全面推动锅炉污染整治，加快城镇集中供热。强化扬尘治理，全面加强城市道路、建筑工地抑尘降尘，重点加强城区及“三北”防护土壤裸露治理及风刨地改良。大力加强农村禁烧区建设，推进秸秆“五化”综合利用。到2025年，全市大气质量明显改善，实现大气污染物全面达标排放，大气环境质量达到国家空气质量二级标准以上。</w:t>
      </w:r>
    </w:p>
    <w:p>
      <w:pPr>
        <w:ind w:right="72" w:rightChars="24" w:firstLine="0"/>
        <w:jc w:val="center"/>
        <w:outlineLvl w:val="2"/>
        <w:rPr>
          <w:rFonts w:hint="default" w:ascii="Times New Roman" w:hAnsi="Times New Roman" w:eastAsia="仿宋_GB2312" w:cs="Times New Roman"/>
          <w:b/>
          <w:bCs/>
          <w:sz w:val="32"/>
          <w:szCs w:val="32"/>
        </w:rPr>
      </w:pPr>
      <w:bookmarkStart w:id="465" w:name="_Toc4464"/>
      <w:bookmarkStart w:id="466" w:name="_Toc10424"/>
      <w:r>
        <w:rPr>
          <w:rFonts w:hint="default" w:ascii="Times New Roman" w:hAnsi="Times New Roman" w:eastAsia="楷体_GB2312" w:cs="Times New Roman"/>
          <w:b/>
          <w:bCs/>
          <w:sz w:val="32"/>
          <w:szCs w:val="32"/>
        </w:rPr>
        <w:t>第三节</w:t>
      </w:r>
      <w:bookmarkStart w:id="467" w:name="_Toc7418"/>
      <w:bookmarkStart w:id="468" w:name="_Toc1684"/>
      <w:r>
        <w:rPr>
          <w:rFonts w:hint="default" w:ascii="Times New Roman" w:hAnsi="Times New Roman" w:eastAsia="楷体_GB2312" w:cs="Times New Roman"/>
          <w:b/>
          <w:bCs/>
          <w:sz w:val="32"/>
          <w:szCs w:val="32"/>
        </w:rPr>
        <w:t xml:space="preserve">  土壤污染综合防治</w:t>
      </w:r>
      <w:bookmarkEnd w:id="465"/>
      <w:bookmarkEnd w:id="466"/>
    </w:p>
    <w:p>
      <w:pPr>
        <w:ind w:right="72" w:rightChars="24"/>
        <w:rPr>
          <w:rFonts w:hint="default" w:ascii="Times New Roman" w:hAnsi="Times New Roman" w:cs="Times New Roman"/>
        </w:rPr>
      </w:pPr>
      <w:r>
        <w:rPr>
          <w:rFonts w:hint="default" w:ascii="Times New Roman" w:hAnsi="Times New Roman" w:eastAsia="仿宋_GB2312" w:cs="Times New Roman"/>
          <w:sz w:val="32"/>
          <w:szCs w:val="32"/>
        </w:rPr>
        <w:t>聚焦</w:t>
      </w:r>
      <w:bookmarkEnd w:id="467"/>
      <w:bookmarkEnd w:id="468"/>
      <w:r>
        <w:rPr>
          <w:rFonts w:hint="default" w:ascii="Times New Roman" w:hAnsi="Times New Roman" w:eastAsia="仿宋_GB2312" w:cs="Times New Roman"/>
          <w:sz w:val="32"/>
          <w:szCs w:val="32"/>
        </w:rPr>
        <w:t>农村生态、农业生产、农民生活三大重点领域，制定实施土壤污染防治行动计划，优先保护耕地和饮用水水源地土壤环境。加强土壤污染源头防治，推进农用地和建设用地重点地块、土壤污染重点监管单位周边土壤监测、调查。加强典型区域土壤修复与综合治理，重点开展集中连片耕地和受污染场地土壤污染的综合整治。以地下水污染源为重点，持续推进城镇集中式地下水型饮用水源补给区、化工园区、加油站、垃圾填埋场等区域周边地下水状况调查判断。推进土壤、地下水与农业农村环境保护治理体系与治理能力现代化，创新监管手段和监管方式，重点推进建立统一的土壤、地下水与农业农村生态环境监管“云平台”。</w:t>
      </w:r>
    </w:p>
    <w:p>
      <w:pPr>
        <w:ind w:right="72" w:rightChars="24" w:firstLine="0"/>
        <w:jc w:val="center"/>
        <w:outlineLvl w:val="2"/>
        <w:rPr>
          <w:rFonts w:hint="default" w:ascii="Times New Roman" w:hAnsi="Times New Roman" w:eastAsia="楷体_GB2312" w:cs="Times New Roman"/>
          <w:b/>
          <w:bCs/>
          <w:sz w:val="32"/>
          <w:szCs w:val="32"/>
        </w:rPr>
      </w:pPr>
      <w:bookmarkStart w:id="469" w:name="_Toc9536"/>
      <w:bookmarkStart w:id="470" w:name="_Toc28514"/>
      <w:r>
        <w:rPr>
          <w:rFonts w:hint="default" w:ascii="Times New Roman" w:hAnsi="Times New Roman" w:eastAsia="楷体_GB2312" w:cs="Times New Roman"/>
          <w:b/>
          <w:bCs/>
          <w:sz w:val="32"/>
          <w:szCs w:val="32"/>
        </w:rPr>
        <w:t>第四节</w:t>
      </w:r>
      <w:bookmarkStart w:id="471" w:name="_Toc20566"/>
      <w:bookmarkStart w:id="472" w:name="_Toc17478"/>
      <w:r>
        <w:rPr>
          <w:rFonts w:hint="default" w:ascii="Times New Roman" w:hAnsi="Times New Roman" w:eastAsia="楷体_GB2312" w:cs="Times New Roman"/>
          <w:b/>
          <w:bCs/>
          <w:sz w:val="32"/>
          <w:szCs w:val="32"/>
        </w:rPr>
        <w:t xml:space="preserve">  加快环保基础设施建设</w:t>
      </w:r>
      <w:bookmarkEnd w:id="469"/>
      <w:bookmarkEnd w:id="47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w:t>
      </w:r>
      <w:bookmarkEnd w:id="471"/>
      <w:bookmarkEnd w:id="472"/>
      <w:r>
        <w:rPr>
          <w:rFonts w:hint="default" w:ascii="Times New Roman" w:hAnsi="Times New Roman" w:eastAsia="仿宋_GB2312" w:cs="Times New Roman"/>
          <w:sz w:val="32"/>
          <w:szCs w:val="32"/>
        </w:rPr>
        <w:t>城镇污水处理设施及管网建设力度，实现污水处理设施建制镇全覆盖，重点推进2021年完成4个建制镇污水处理厂建设，2022年完成14个乡镇污水收集转运池建设。加快建设城乡生活垃圾无害化处理设施，鼓励区域处理设施共建共享和技术集成创新，提升生活垃圾全过程资源化利用水平，实施垃圾发电厂餐厨垃圾处理设施提升工程，重点推进占地20公顷的垃圾固废填埋场新建项目建设。到2025年，全市城市生活污水处理率达到90%，生活垃圾无害化处理率达到100%。</w:t>
      </w:r>
    </w:p>
    <w:p>
      <w:pPr>
        <w:pStyle w:val="29"/>
        <w:spacing w:line="240" w:lineRule="auto"/>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473" w:name="_Toc586"/>
      <w:bookmarkStart w:id="474" w:name="_Toc1750"/>
      <w:r>
        <w:rPr>
          <w:rFonts w:hint="default" w:ascii="Times New Roman" w:hAnsi="Times New Roman" w:eastAsia="仿宋_GB2312" w:cs="Times New Roman"/>
          <w:b/>
          <w:bCs/>
          <w:sz w:val="32"/>
          <w:szCs w:val="32"/>
        </w:rPr>
        <w:t>第二十</w:t>
      </w:r>
      <w:bookmarkStart w:id="475" w:name="_Toc12074"/>
      <w:bookmarkStart w:id="476" w:name="_Toc443381513"/>
      <w:bookmarkStart w:id="477" w:name="_Toc26185"/>
      <w:bookmarkStart w:id="478" w:name="_Toc1803"/>
      <w:r>
        <w:rPr>
          <w:rFonts w:hint="default" w:ascii="Times New Roman" w:hAnsi="Times New Roman" w:eastAsia="仿宋_GB2312" w:cs="Times New Roman"/>
          <w:b/>
          <w:bCs/>
          <w:sz w:val="32"/>
          <w:szCs w:val="32"/>
        </w:rPr>
        <w:t>一章  加强资源综</w:t>
      </w:r>
      <w:bookmarkEnd w:id="475"/>
      <w:bookmarkEnd w:id="476"/>
      <w:r>
        <w:rPr>
          <w:rFonts w:hint="default" w:ascii="Times New Roman" w:hAnsi="Times New Roman" w:eastAsia="仿宋_GB2312" w:cs="Times New Roman"/>
          <w:b/>
          <w:bCs/>
          <w:sz w:val="32"/>
          <w:szCs w:val="32"/>
        </w:rPr>
        <w:t>合节约利用</w:t>
      </w:r>
      <w:bookmarkEnd w:id="473"/>
      <w:bookmarkEnd w:id="474"/>
    </w:p>
    <w:p>
      <w:pPr>
        <w:pStyle w:val="29"/>
        <w:spacing w:line="240" w:lineRule="auto"/>
        <w:rPr>
          <w:rFonts w:hint="default" w:ascii="Times New Roman" w:hAnsi="Times New Roman" w:cs="Times New Roman"/>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树</w:t>
      </w:r>
      <w:bookmarkEnd w:id="477"/>
      <w:bookmarkEnd w:id="478"/>
      <w:r>
        <w:rPr>
          <w:rFonts w:hint="default" w:ascii="Times New Roman" w:hAnsi="Times New Roman" w:eastAsia="仿宋_GB2312" w:cs="Times New Roman"/>
          <w:sz w:val="32"/>
          <w:szCs w:val="32"/>
        </w:rPr>
        <w:t>立绿色、低碳发展理念，以推动产业生态化、低碳化发展为导向，促进资源循环利用，增强经济社会可持续发展能力。</w:t>
      </w:r>
    </w:p>
    <w:p>
      <w:pPr>
        <w:ind w:right="72" w:rightChars="24" w:firstLine="0"/>
        <w:jc w:val="center"/>
        <w:outlineLvl w:val="2"/>
        <w:rPr>
          <w:rFonts w:hint="default" w:ascii="Times New Roman" w:hAnsi="Times New Roman" w:eastAsia="仿宋_GB2312" w:cs="Times New Roman"/>
          <w:b/>
          <w:bCs/>
          <w:sz w:val="32"/>
          <w:szCs w:val="32"/>
        </w:rPr>
      </w:pPr>
      <w:bookmarkStart w:id="479" w:name="_Toc18188"/>
      <w:bookmarkStart w:id="480" w:name="_Toc25654"/>
      <w:r>
        <w:rPr>
          <w:rFonts w:hint="default" w:ascii="Times New Roman" w:hAnsi="Times New Roman" w:eastAsia="楷体_GB2312" w:cs="Times New Roman"/>
          <w:b/>
          <w:bCs/>
          <w:sz w:val="32"/>
          <w:szCs w:val="32"/>
        </w:rPr>
        <w:t>第一节</w:t>
      </w:r>
      <w:bookmarkStart w:id="481" w:name="_Toc8953"/>
      <w:bookmarkStart w:id="482" w:name="_Toc9519"/>
      <w:r>
        <w:rPr>
          <w:rFonts w:hint="default" w:ascii="Times New Roman" w:hAnsi="Times New Roman" w:eastAsia="楷体_GB2312" w:cs="Times New Roman"/>
          <w:b/>
          <w:bCs/>
          <w:sz w:val="32"/>
          <w:szCs w:val="32"/>
        </w:rPr>
        <w:t xml:space="preserve">  推进节能降耗</w:t>
      </w:r>
      <w:bookmarkEnd w:id="479"/>
      <w:bookmarkEnd w:id="480"/>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w:t>
      </w:r>
      <w:bookmarkEnd w:id="481"/>
      <w:bookmarkEnd w:id="482"/>
      <w:r>
        <w:rPr>
          <w:rFonts w:hint="default" w:ascii="Times New Roman" w:hAnsi="Times New Roman" w:eastAsia="仿宋_GB2312" w:cs="Times New Roman"/>
          <w:sz w:val="32"/>
          <w:szCs w:val="32"/>
        </w:rPr>
        <w:t>实行能源消费强度与消费总量“双控”制度，开展煤炭消费减量管理。严格实施固定资产投资项目节能评估和审查制度，加强重点地区节能监控，严格控制年综合能耗3000吨标准煤以上的新上项目能耗增量。在产业低碳化、建筑绿色化、服务集约化、主要污染物减量化、可再生能源利用规模化等重点领域建成一批节能减排综合示范项目，重点在秀水、五棵树等乡镇推动实施生物质热电联产和余热余压利用项目，提高工业企业能源利用效率。大力推进节能环保产业，推行合同能源管理和环境污染第三方治理，推动节能环保技术、装备和服务水平显著提升。</w:t>
      </w:r>
    </w:p>
    <w:p>
      <w:pPr>
        <w:ind w:right="72" w:rightChars="24" w:firstLine="0"/>
        <w:jc w:val="center"/>
        <w:outlineLvl w:val="2"/>
        <w:rPr>
          <w:rFonts w:hint="default" w:ascii="Times New Roman" w:hAnsi="Times New Roman" w:eastAsia="楷体_GB2312" w:cs="Times New Roman"/>
          <w:b/>
          <w:bCs/>
          <w:sz w:val="32"/>
          <w:szCs w:val="32"/>
        </w:rPr>
      </w:pPr>
      <w:bookmarkStart w:id="483" w:name="_Toc10692"/>
      <w:bookmarkStart w:id="484" w:name="_Toc31262"/>
      <w:r>
        <w:rPr>
          <w:rFonts w:hint="default" w:ascii="Times New Roman" w:hAnsi="Times New Roman" w:eastAsia="楷体_GB2312" w:cs="Times New Roman"/>
          <w:b/>
          <w:bCs/>
          <w:sz w:val="32"/>
          <w:szCs w:val="32"/>
        </w:rPr>
        <w:t>第二节</w:t>
      </w:r>
      <w:bookmarkStart w:id="485" w:name="_Toc9752"/>
      <w:bookmarkStart w:id="486" w:name="_Toc10435"/>
      <w:r>
        <w:rPr>
          <w:rFonts w:hint="default" w:ascii="Times New Roman" w:hAnsi="Times New Roman" w:eastAsia="楷体_GB2312" w:cs="Times New Roman"/>
          <w:b/>
          <w:bCs/>
          <w:sz w:val="32"/>
          <w:szCs w:val="32"/>
        </w:rPr>
        <w:t xml:space="preserve">  发展循环经济</w:t>
      </w:r>
      <w:bookmarkEnd w:id="483"/>
      <w:bookmarkEnd w:id="484"/>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w:t>
      </w:r>
      <w:bookmarkEnd w:id="485"/>
      <w:bookmarkEnd w:id="486"/>
      <w:r>
        <w:rPr>
          <w:rFonts w:hint="default" w:ascii="Times New Roman" w:hAnsi="Times New Roman" w:eastAsia="仿宋_GB2312" w:cs="Times New Roman"/>
          <w:sz w:val="32"/>
          <w:szCs w:val="32"/>
        </w:rPr>
        <w:t>水资源、废弃物以及再生资源的循环利用，扩大循环经济规模。推进</w:t>
      </w:r>
      <w:r>
        <w:rPr>
          <w:rStyle w:val="64"/>
          <w:rFonts w:hint="default" w:ascii="Times New Roman" w:hAnsi="Times New Roman" w:eastAsia="仿宋_GB2312" w:cs="Times New Roman"/>
          <w:kern w:val="0"/>
          <w:sz w:val="32"/>
          <w:szCs w:val="32"/>
        </w:rPr>
        <w:t>长春五棵树</w:t>
      </w:r>
      <w:r>
        <w:rPr>
          <w:rStyle w:val="64"/>
          <w:rFonts w:hint="default" w:ascii="Times New Roman" w:hAnsi="Times New Roman" w:eastAsia="仿宋_GB2312" w:cs="Times New Roman"/>
          <w:kern w:val="0"/>
          <w:sz w:val="32"/>
          <w:szCs w:val="32"/>
          <w:lang w:val="zh-CN"/>
        </w:rPr>
        <w:t>生物化工园区建设，力争创建省级以上</w:t>
      </w:r>
      <w:r>
        <w:rPr>
          <w:rFonts w:hint="default" w:ascii="Times New Roman" w:hAnsi="Times New Roman" w:eastAsia="仿宋_GB2312" w:cs="Times New Roman"/>
          <w:sz w:val="32"/>
          <w:szCs w:val="32"/>
        </w:rPr>
        <w:t>循环经济示范园区。加快循环化试点改造步伐，重点在玉米化工、非粮生物质加工、食品加工、生物制药等行业构建循环利用产业体系，推进产业链接循环化、资源利用高效化、污染治理集中化、基础设施绿色化、园区管理规范化的“五化”改造，鼓励采用先进清洁生产工艺，全面推进清洁生产。强化生态农业循环体系建设，强化农作物秸秆和畜牧养殖废弃物综合利用，到2025年，全市畜牧养殖废弃物资源化利用率达到90%以上。</w:t>
      </w:r>
    </w:p>
    <w:p>
      <w:pPr>
        <w:ind w:right="72" w:rightChars="24" w:firstLine="0"/>
        <w:jc w:val="center"/>
        <w:outlineLvl w:val="2"/>
        <w:rPr>
          <w:rFonts w:hint="default" w:ascii="Times New Roman" w:hAnsi="Times New Roman" w:eastAsia="楷体_GB2312" w:cs="Times New Roman"/>
          <w:b/>
          <w:bCs/>
          <w:sz w:val="32"/>
          <w:szCs w:val="32"/>
        </w:rPr>
      </w:pPr>
      <w:bookmarkStart w:id="487" w:name="_Toc20731"/>
      <w:bookmarkStart w:id="488" w:name="_Toc12886"/>
      <w:r>
        <w:rPr>
          <w:rFonts w:hint="default" w:ascii="Times New Roman" w:hAnsi="Times New Roman" w:eastAsia="楷体_GB2312" w:cs="Times New Roman"/>
          <w:b/>
          <w:bCs/>
          <w:sz w:val="32"/>
          <w:szCs w:val="32"/>
        </w:rPr>
        <w:t>第三节</w:t>
      </w:r>
      <w:bookmarkStart w:id="489" w:name="_Toc9554"/>
      <w:bookmarkStart w:id="490" w:name="_Toc32131"/>
      <w:r>
        <w:rPr>
          <w:rFonts w:hint="default" w:ascii="Times New Roman" w:hAnsi="Times New Roman" w:eastAsia="楷体_GB2312" w:cs="Times New Roman"/>
          <w:b/>
          <w:bCs/>
          <w:sz w:val="32"/>
          <w:szCs w:val="32"/>
        </w:rPr>
        <w:t xml:space="preserve">  推动低碳发展</w:t>
      </w:r>
      <w:bookmarkEnd w:id="487"/>
      <w:bookmarkEnd w:id="48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w:t>
      </w:r>
      <w:bookmarkEnd w:id="489"/>
      <w:bookmarkEnd w:id="490"/>
      <w:r>
        <w:rPr>
          <w:rFonts w:hint="default" w:ascii="Times New Roman" w:hAnsi="Times New Roman" w:eastAsia="仿宋_GB2312" w:cs="Times New Roman"/>
          <w:sz w:val="32"/>
          <w:szCs w:val="32"/>
        </w:rPr>
        <w:t>碳排放总量和强度“双控”机制，加强低碳发展基础能力建设，完善温室气体排放的统计监测核算体系。加快低碳技术革新与推广应用，实施一批碳捕集、利用和封存试验项目。积极推广新能源汽车，科学规划充电桩布局（布点），合理引导市民采取绿色出行模式。提升应对气候变化能力，探索建立碳普惠制度，健全碳排放管理和交易制度，推进低碳试点、碳排放权交易试点。</w:t>
      </w:r>
    </w:p>
    <w:p>
      <w:pPr>
        <w:ind w:right="72" w:rightChars="24" w:firstLine="0"/>
        <w:jc w:val="center"/>
        <w:outlineLvl w:val="2"/>
        <w:rPr>
          <w:rFonts w:hint="default" w:ascii="Times New Roman" w:hAnsi="Times New Roman" w:eastAsia="楷体_GB2312" w:cs="Times New Roman"/>
          <w:b/>
          <w:bCs/>
          <w:sz w:val="32"/>
          <w:szCs w:val="32"/>
        </w:rPr>
      </w:pPr>
      <w:bookmarkStart w:id="491" w:name="_Toc23190"/>
      <w:bookmarkStart w:id="492" w:name="_Toc31590"/>
      <w:r>
        <w:rPr>
          <w:rFonts w:hint="default" w:ascii="Times New Roman" w:hAnsi="Times New Roman" w:eastAsia="楷体_GB2312" w:cs="Times New Roman"/>
          <w:b/>
          <w:bCs/>
          <w:sz w:val="32"/>
          <w:szCs w:val="32"/>
        </w:rPr>
        <w:t>第四节</w:t>
      </w:r>
      <w:bookmarkStart w:id="493" w:name="_Toc16340"/>
      <w:bookmarkStart w:id="494" w:name="_Toc9722"/>
      <w:r>
        <w:rPr>
          <w:rFonts w:hint="default" w:ascii="Times New Roman" w:hAnsi="Times New Roman" w:eastAsia="楷体_GB2312" w:cs="Times New Roman"/>
          <w:b/>
          <w:bCs/>
          <w:sz w:val="32"/>
          <w:szCs w:val="32"/>
        </w:rPr>
        <w:t xml:space="preserve">  发展绿色经济</w:t>
      </w:r>
      <w:bookmarkEnd w:id="491"/>
      <w:bookmarkEnd w:id="49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w:t>
      </w:r>
      <w:bookmarkEnd w:id="493"/>
      <w:bookmarkEnd w:id="494"/>
      <w:r>
        <w:rPr>
          <w:rFonts w:hint="default" w:ascii="Times New Roman" w:hAnsi="Times New Roman" w:eastAsia="仿宋_GB2312" w:cs="Times New Roman"/>
          <w:sz w:val="32"/>
          <w:szCs w:val="32"/>
        </w:rPr>
        <w:t>个人和家庭践行绿色低碳生活理念，倡导适度消费。大力发展节能环保产业，推行合同能源管理和环境污染第三方治理，推动节能环保技术、装备和服务水平显著提升。鼓励生产使用能效标识产品、低碳认证产品等绿色产品，政府优先采购绿色产品，逐步引导全社会形成绿色消费模式。</w:t>
      </w:r>
    </w:p>
    <w:p>
      <w:pPr>
        <w:pStyle w:val="2"/>
        <w:rPr>
          <w:rFonts w:hint="default" w:ascii="Times New Roman" w:hAnsi="Times New Roman" w:eastAsia="仿宋_GB2312" w:cs="Times New Roman"/>
          <w:sz w:val="32"/>
          <w:szCs w:val="32"/>
        </w:rPr>
      </w:pPr>
    </w:p>
    <w:p>
      <w:pPr>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495" w:name="_Toc439867032"/>
      <w:bookmarkStart w:id="496" w:name="_Toc439867140"/>
      <w:bookmarkStart w:id="497" w:name="_Toc19299"/>
      <w:bookmarkStart w:id="498" w:name="_Toc22801"/>
      <w:r>
        <w:rPr>
          <w:rFonts w:hint="default" w:ascii="Times New Roman" w:hAnsi="Times New Roman" w:eastAsia="仿宋_GB2312" w:cs="Times New Roman"/>
          <w:b/>
          <w:bCs/>
          <w:sz w:val="32"/>
          <w:szCs w:val="32"/>
        </w:rPr>
        <w:t>第二十</w:t>
      </w:r>
      <w:bookmarkEnd w:id="495"/>
      <w:bookmarkEnd w:id="496"/>
      <w:bookmarkStart w:id="499" w:name="_Toc7779"/>
      <w:bookmarkStart w:id="500" w:name="_Toc443381514"/>
      <w:bookmarkStart w:id="501" w:name="_Toc23663"/>
      <w:bookmarkStart w:id="502" w:name="_Toc4363"/>
      <w:r>
        <w:rPr>
          <w:rFonts w:hint="default" w:ascii="Times New Roman" w:hAnsi="Times New Roman" w:eastAsia="仿宋_GB2312" w:cs="Times New Roman"/>
          <w:b/>
          <w:bCs/>
          <w:sz w:val="32"/>
          <w:szCs w:val="32"/>
        </w:rPr>
        <w:t>二章  推进生态修复和生态建设</w:t>
      </w:r>
      <w:bookmarkEnd w:id="497"/>
      <w:bookmarkEnd w:id="498"/>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bookmarkEnd w:id="499"/>
      <w:bookmarkEnd w:id="500"/>
      <w:bookmarkEnd w:id="501"/>
      <w:bookmarkEnd w:id="502"/>
      <w:r>
        <w:rPr>
          <w:rFonts w:hint="default" w:ascii="Times New Roman" w:hAnsi="Times New Roman" w:eastAsia="仿宋_GB2312" w:cs="Times New Roman"/>
          <w:sz w:val="32"/>
          <w:szCs w:val="32"/>
        </w:rPr>
        <w:t>持保护优先，加强生态环境的建设与修复，增强生态产品供给能力，维护自然生态的完整性、连续性和多样性。</w:t>
      </w:r>
    </w:p>
    <w:p>
      <w:pPr>
        <w:ind w:right="72" w:rightChars="24" w:firstLine="0"/>
        <w:jc w:val="center"/>
        <w:outlineLvl w:val="2"/>
        <w:rPr>
          <w:rFonts w:hint="default" w:ascii="Times New Roman" w:hAnsi="Times New Roman" w:eastAsia="仿宋_GB2312" w:cs="Times New Roman"/>
          <w:b/>
          <w:bCs/>
          <w:sz w:val="32"/>
          <w:szCs w:val="32"/>
        </w:rPr>
      </w:pPr>
      <w:bookmarkStart w:id="503" w:name="_Toc26510"/>
      <w:bookmarkStart w:id="504" w:name="_Toc12779"/>
      <w:r>
        <w:rPr>
          <w:rFonts w:hint="default" w:ascii="Times New Roman" w:hAnsi="Times New Roman" w:eastAsia="楷体_GB2312" w:cs="Times New Roman"/>
          <w:b/>
          <w:bCs/>
          <w:sz w:val="32"/>
          <w:szCs w:val="32"/>
        </w:rPr>
        <w:t>第一节</w:t>
      </w:r>
      <w:bookmarkStart w:id="505" w:name="_Toc13685"/>
      <w:bookmarkStart w:id="506" w:name="_Toc7334"/>
      <w:r>
        <w:rPr>
          <w:rFonts w:hint="default" w:ascii="Times New Roman" w:hAnsi="Times New Roman" w:eastAsia="楷体_GB2312" w:cs="Times New Roman"/>
          <w:b/>
          <w:bCs/>
          <w:sz w:val="32"/>
          <w:szCs w:val="32"/>
        </w:rPr>
        <w:t xml:space="preserve">  保护和培育森林生态系统</w:t>
      </w:r>
      <w:bookmarkEnd w:id="503"/>
      <w:bookmarkEnd w:id="504"/>
    </w:p>
    <w:p>
      <w:pPr>
        <w:ind w:right="72" w:rightChars="24"/>
        <w:rPr>
          <w:rFonts w:hint="default" w:ascii="Times New Roman" w:hAnsi="Times New Roman" w:eastAsia="仿宋_GB2312" w:cs="Times New Roman"/>
          <w:sz w:val="32"/>
          <w:szCs w:val="32"/>
          <w:highlight w:val="green"/>
          <w:u w:val="none"/>
        </w:rPr>
      </w:pPr>
      <w:r>
        <w:rPr>
          <w:rFonts w:hint="default" w:ascii="Times New Roman" w:hAnsi="Times New Roman" w:eastAsia="仿宋_GB2312" w:cs="Times New Roman"/>
          <w:sz w:val="32"/>
          <w:szCs w:val="32"/>
        </w:rPr>
        <w:t>着力</w:t>
      </w:r>
      <w:bookmarkEnd w:id="505"/>
      <w:bookmarkEnd w:id="506"/>
      <w:r>
        <w:rPr>
          <w:rFonts w:hint="default" w:ascii="Times New Roman" w:hAnsi="Times New Roman" w:eastAsia="仿宋_GB2312" w:cs="Times New Roman"/>
          <w:sz w:val="32"/>
          <w:szCs w:val="32"/>
        </w:rPr>
        <w:t>构建森林生态体系，将生态公益林、主要江河和道路沿线林区纳入封山育林范围，努力提升生态屏障森林质量和数量。积极开展植树造林、封山育林和中幼龄林抚育改造，修复区域地带性森林植被，大力推进林木良种化进程。加强森林防火、有害生物治理和森林病虫害防治体系建设，完善森林火灾应急管理体系，确保森林生态安全。“十四五”期间，全市重点推进农防林更新和用材林主伐2500公顷，缺失林带恢复新建1540公顷，退化林带修复改造900公顷，成过熟林带采伐更新850公顷。到2025年，全市森林覆盖率达到5.4%。</w:t>
      </w:r>
    </w:p>
    <w:p>
      <w:pPr>
        <w:ind w:right="72" w:rightChars="24" w:firstLine="0"/>
        <w:jc w:val="center"/>
        <w:outlineLvl w:val="2"/>
        <w:rPr>
          <w:rFonts w:hint="default" w:ascii="Times New Roman" w:hAnsi="Times New Roman" w:eastAsia="楷体_GB2312" w:cs="Times New Roman"/>
          <w:b/>
          <w:bCs/>
          <w:sz w:val="32"/>
          <w:szCs w:val="32"/>
        </w:rPr>
      </w:pPr>
      <w:bookmarkStart w:id="507" w:name="_Toc15484"/>
      <w:bookmarkStart w:id="508" w:name="_Toc16646"/>
      <w:r>
        <w:rPr>
          <w:rFonts w:hint="default" w:ascii="Times New Roman" w:hAnsi="Times New Roman" w:eastAsia="楷体_GB2312" w:cs="Times New Roman"/>
          <w:b/>
          <w:bCs/>
          <w:sz w:val="32"/>
          <w:szCs w:val="32"/>
        </w:rPr>
        <w:t>第二节</w:t>
      </w:r>
      <w:bookmarkStart w:id="509" w:name="_Toc29883"/>
      <w:bookmarkStart w:id="510" w:name="_Toc1054"/>
      <w:r>
        <w:rPr>
          <w:rFonts w:hint="default" w:ascii="Times New Roman" w:hAnsi="Times New Roman" w:eastAsia="楷体_GB2312" w:cs="Times New Roman"/>
          <w:b/>
          <w:bCs/>
          <w:sz w:val="32"/>
          <w:szCs w:val="32"/>
        </w:rPr>
        <w:t xml:space="preserve">  保护湿地与河湖生态系统</w:t>
      </w:r>
      <w:bookmarkEnd w:id="507"/>
      <w:bookmarkEnd w:id="50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w:t>
      </w:r>
      <w:bookmarkEnd w:id="509"/>
      <w:bookmarkEnd w:id="510"/>
      <w:r>
        <w:rPr>
          <w:rFonts w:hint="default" w:ascii="Times New Roman" w:hAnsi="Times New Roman" w:eastAsia="仿宋_GB2312" w:cs="Times New Roman"/>
          <w:sz w:val="32"/>
          <w:szCs w:val="32"/>
        </w:rPr>
        <w:t>水域生态保护管理体系，保持和维护水的自然流态，严控对天然河流、湿地的侵扰。加强老干江湿地等自然保护区建设，逐步引导可持续利用湿地资源，优化湿地生态系统结构和恢复湿地功能。加强霸家湖、苏家岗水库、向阳水库等江河湖库管理，严格饮用水源保护，强化生态修复，确保水环境质量持续改善。</w:t>
      </w:r>
    </w:p>
    <w:p>
      <w:pPr>
        <w:ind w:right="72" w:rightChars="24" w:firstLine="0"/>
        <w:jc w:val="center"/>
        <w:outlineLvl w:val="2"/>
        <w:rPr>
          <w:rFonts w:hint="default" w:ascii="Times New Roman" w:hAnsi="Times New Roman" w:eastAsia="楷体_GB2312" w:cs="Times New Roman"/>
          <w:b/>
          <w:bCs/>
          <w:sz w:val="32"/>
          <w:szCs w:val="32"/>
        </w:rPr>
      </w:pPr>
      <w:bookmarkStart w:id="511" w:name="_Toc23898"/>
      <w:bookmarkStart w:id="512" w:name="_Toc32167"/>
      <w:r>
        <w:rPr>
          <w:rFonts w:hint="default" w:ascii="Times New Roman" w:hAnsi="Times New Roman" w:eastAsia="楷体_GB2312" w:cs="Times New Roman"/>
          <w:b/>
          <w:bCs/>
          <w:sz w:val="32"/>
          <w:szCs w:val="32"/>
        </w:rPr>
        <w:t>第三节</w:t>
      </w:r>
      <w:bookmarkStart w:id="513" w:name="_Toc20944"/>
      <w:bookmarkStart w:id="514" w:name="_Toc24100"/>
      <w:r>
        <w:rPr>
          <w:rFonts w:hint="default" w:ascii="Times New Roman" w:hAnsi="Times New Roman" w:eastAsia="楷体_GB2312" w:cs="Times New Roman"/>
          <w:b/>
          <w:bCs/>
          <w:sz w:val="32"/>
          <w:szCs w:val="32"/>
        </w:rPr>
        <w:t xml:space="preserve">  加强生物多样性保护</w:t>
      </w:r>
      <w:bookmarkEnd w:id="511"/>
      <w:bookmarkEnd w:id="51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维护</w:t>
      </w:r>
      <w:bookmarkEnd w:id="513"/>
      <w:bookmarkEnd w:id="514"/>
      <w:r>
        <w:rPr>
          <w:rFonts w:hint="default" w:ascii="Times New Roman" w:hAnsi="Times New Roman" w:eastAsia="仿宋_GB2312" w:cs="Times New Roman"/>
          <w:sz w:val="32"/>
          <w:szCs w:val="32"/>
        </w:rPr>
        <w:t>生态平衡，保护生态系统多样性、生物物种多样性和遗传资源多样性。加强自然保护区建设，优化自然保护区结构和空间布局，完善自然保护区和森林公园体系。加强生物物种和遗传资源保护，重点加强青鼎山、花园山等生态山地森林建设，对重要生态系统和物种资源实施强制性保护。建立生物多样性监测评估与预警体系，有效防范物种资源丧失和外来物种入侵。</w:t>
      </w:r>
    </w:p>
    <w:p>
      <w:pPr>
        <w:ind w:right="72" w:rightChars="24" w:firstLine="0"/>
        <w:jc w:val="center"/>
        <w:outlineLvl w:val="2"/>
        <w:rPr>
          <w:rFonts w:hint="default" w:ascii="Times New Roman" w:hAnsi="Times New Roman" w:eastAsia="仿宋_GB2312" w:cs="Times New Roman"/>
          <w:b/>
          <w:bCs/>
          <w:sz w:val="32"/>
          <w:szCs w:val="32"/>
        </w:rPr>
      </w:pPr>
      <w:bookmarkStart w:id="515" w:name="_Toc13275"/>
      <w:bookmarkStart w:id="516" w:name="_Toc31034"/>
      <w:r>
        <w:rPr>
          <w:rFonts w:hint="default" w:ascii="Times New Roman" w:hAnsi="Times New Roman" w:eastAsia="楷体_GB2312" w:cs="Times New Roman"/>
          <w:b/>
          <w:bCs/>
          <w:sz w:val="32"/>
          <w:szCs w:val="32"/>
        </w:rPr>
        <w:t>第四节</w:t>
      </w:r>
      <w:bookmarkStart w:id="517" w:name="_Toc12485"/>
      <w:bookmarkStart w:id="518" w:name="_Toc17542"/>
      <w:r>
        <w:rPr>
          <w:rFonts w:hint="default" w:ascii="Times New Roman" w:hAnsi="Times New Roman" w:eastAsia="楷体_GB2312" w:cs="Times New Roman"/>
          <w:b/>
          <w:bCs/>
          <w:sz w:val="32"/>
          <w:szCs w:val="32"/>
        </w:rPr>
        <w:t xml:space="preserve">  改善生态宜居环境</w:t>
      </w:r>
      <w:bookmarkEnd w:id="515"/>
      <w:bookmarkEnd w:id="51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w:t>
      </w:r>
      <w:bookmarkEnd w:id="517"/>
      <w:bookmarkEnd w:id="518"/>
      <w:r>
        <w:rPr>
          <w:rFonts w:hint="default" w:ascii="Times New Roman" w:hAnsi="Times New Roman" w:eastAsia="仿宋_GB2312" w:cs="Times New Roman"/>
          <w:sz w:val="32"/>
          <w:szCs w:val="32"/>
        </w:rPr>
        <w:t>加强城市发展的布局和形态规划，合理确定城市开发边界和开发强度，强化城市建设的生态和文化元素。加强城市基础设施和社区低碳化改造。拓展城市绿色开敞空间，加强公园、道路林荫绿化建设，对接国家公园体系。推进森林进城围城，建设集中连片的城市森林。</w:t>
      </w:r>
    </w:p>
    <w:p>
      <w:pPr>
        <w:ind w:firstLine="0"/>
        <w:jc w:val="center"/>
        <w:outlineLvl w:val="0"/>
        <w:rPr>
          <w:rFonts w:hint="default" w:ascii="Times New Roman" w:hAnsi="Times New Roman" w:eastAsia="黑体" w:cs="Times New Roman"/>
          <w:b w:val="0"/>
          <w:bCs w:val="0"/>
          <w:sz w:val="32"/>
          <w:szCs w:val="32"/>
        </w:rPr>
      </w:pPr>
      <w:r>
        <w:rPr>
          <w:rFonts w:hint="default" w:ascii="Times New Roman" w:hAnsi="Times New Roman" w:eastAsia="仿宋_GB2312" w:cs="Times New Roman"/>
          <w:b/>
          <w:bCs/>
          <w:sz w:val="32"/>
          <w:szCs w:val="32"/>
        </w:rPr>
        <w:br w:type="page"/>
      </w:r>
      <w:bookmarkStart w:id="519" w:name="_Toc10655"/>
      <w:bookmarkStart w:id="520" w:name="_Toc14182"/>
      <w:r>
        <w:rPr>
          <w:rFonts w:hint="default" w:ascii="Times New Roman" w:hAnsi="Times New Roman" w:eastAsia="黑体" w:cs="Times New Roman"/>
          <w:b w:val="0"/>
          <w:bCs w:val="0"/>
          <w:sz w:val="32"/>
          <w:szCs w:val="32"/>
        </w:rPr>
        <w:t>第</w:t>
      </w:r>
      <w:r>
        <w:rPr>
          <w:rFonts w:hint="default" w:ascii="Times New Roman" w:hAnsi="Times New Roman" w:eastAsia="黑体" w:cs="Times New Roman"/>
          <w:sz w:val="32"/>
          <w:szCs w:val="32"/>
        </w:rPr>
        <w:t>九</w:t>
      </w:r>
      <w:bookmarkStart w:id="521" w:name="_Toc32442"/>
      <w:bookmarkStart w:id="522" w:name="_Toc14730"/>
      <w:bookmarkStart w:id="523" w:name="_Toc8373"/>
      <w:r>
        <w:rPr>
          <w:rFonts w:hint="default" w:ascii="Times New Roman" w:hAnsi="Times New Roman" w:eastAsia="黑体" w:cs="Times New Roman"/>
          <w:b w:val="0"/>
          <w:bCs w:val="0"/>
          <w:sz w:val="32"/>
          <w:szCs w:val="32"/>
        </w:rPr>
        <w:t>篇  统筹共建共享  全面增进民生福祉</w:t>
      </w:r>
      <w:bookmarkEnd w:id="519"/>
      <w:bookmarkEnd w:id="520"/>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bookmarkEnd w:id="521"/>
      <w:bookmarkEnd w:id="522"/>
      <w:bookmarkEnd w:id="523"/>
      <w:r>
        <w:rPr>
          <w:rFonts w:hint="default" w:ascii="Times New Roman" w:hAnsi="Times New Roman" w:eastAsia="仿宋_GB2312" w:cs="Times New Roman"/>
          <w:sz w:val="32"/>
          <w:szCs w:val="32"/>
        </w:rPr>
        <w:t>持提高社会事业的公共服务水平和保障能力，满足人民群众对美好生活的向往，提高人民幸福生活指数和满意度。</w:t>
      </w:r>
    </w:p>
    <w:p>
      <w:pPr>
        <w:spacing w:line="240" w:lineRule="auto"/>
        <w:ind w:right="72" w:rightChars="24"/>
        <w:rPr>
          <w:rFonts w:hint="default" w:ascii="Times New Roman" w:hAnsi="Times New Roman" w:eastAsia="仿宋_GB2312" w:cs="Times New Roman"/>
          <w:sz w:val="32"/>
          <w:szCs w:val="32"/>
        </w:rPr>
      </w:pPr>
    </w:p>
    <w:p>
      <w:pPr>
        <w:spacing w:line="240" w:lineRule="auto"/>
        <w:ind w:right="72" w:rightChars="24"/>
        <w:jc w:val="center"/>
        <w:outlineLvl w:val="1"/>
        <w:rPr>
          <w:rFonts w:hint="default" w:ascii="Times New Roman" w:hAnsi="Times New Roman" w:eastAsia="仿宋_GB2312" w:cs="Times New Roman"/>
          <w:b/>
          <w:sz w:val="32"/>
          <w:szCs w:val="32"/>
        </w:rPr>
      </w:pPr>
      <w:bookmarkStart w:id="524" w:name="_Toc19987"/>
      <w:bookmarkStart w:id="525" w:name="_Toc15102"/>
      <w:r>
        <w:rPr>
          <w:rFonts w:hint="default" w:ascii="Times New Roman" w:hAnsi="Times New Roman" w:eastAsia="仿宋_GB2312" w:cs="Times New Roman"/>
          <w:b/>
          <w:sz w:val="32"/>
          <w:szCs w:val="32"/>
        </w:rPr>
        <w:t>第二十</w:t>
      </w:r>
      <w:bookmarkStart w:id="526" w:name="_Toc22549"/>
      <w:bookmarkStart w:id="527" w:name="_Toc11284"/>
      <w:r>
        <w:rPr>
          <w:rFonts w:hint="default" w:ascii="Times New Roman" w:hAnsi="Times New Roman" w:eastAsia="仿宋_GB2312" w:cs="Times New Roman"/>
          <w:b/>
          <w:sz w:val="32"/>
          <w:szCs w:val="32"/>
        </w:rPr>
        <w:t>三章  优先发展教育事业</w:t>
      </w:r>
      <w:bookmarkEnd w:id="524"/>
      <w:bookmarkEnd w:id="525"/>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w:t>
      </w:r>
      <w:bookmarkEnd w:id="526"/>
      <w:bookmarkEnd w:id="527"/>
      <w:r>
        <w:rPr>
          <w:rFonts w:hint="default" w:ascii="Times New Roman" w:hAnsi="Times New Roman" w:eastAsia="仿宋_GB2312" w:cs="Times New Roman"/>
          <w:sz w:val="32"/>
          <w:szCs w:val="32"/>
        </w:rPr>
        <w:t>面构建现代化教育制度体系，提高教育服务经济社会发展的能力，使教育改革发展成果更公平地惠及全体人民。</w:t>
      </w:r>
    </w:p>
    <w:p>
      <w:pPr>
        <w:ind w:right="72" w:rightChars="24" w:firstLine="0"/>
        <w:jc w:val="center"/>
        <w:outlineLvl w:val="2"/>
        <w:rPr>
          <w:rFonts w:hint="default" w:ascii="Times New Roman" w:hAnsi="Times New Roman" w:eastAsia="楷体_GB2312" w:cs="Times New Roman"/>
          <w:b/>
          <w:bCs/>
          <w:sz w:val="32"/>
          <w:szCs w:val="32"/>
        </w:rPr>
      </w:pPr>
      <w:bookmarkStart w:id="528" w:name="_Toc15041"/>
      <w:bookmarkStart w:id="529" w:name="_Toc17282"/>
      <w:r>
        <w:rPr>
          <w:rFonts w:hint="default" w:ascii="Times New Roman" w:hAnsi="Times New Roman" w:eastAsia="楷体_GB2312" w:cs="Times New Roman"/>
          <w:b/>
          <w:bCs/>
          <w:sz w:val="32"/>
          <w:szCs w:val="32"/>
        </w:rPr>
        <w:t>第一节</w:t>
      </w:r>
      <w:bookmarkStart w:id="530" w:name="_Toc8282"/>
      <w:bookmarkStart w:id="531" w:name="_Toc5961"/>
      <w:r>
        <w:rPr>
          <w:rFonts w:hint="default" w:ascii="Times New Roman" w:hAnsi="Times New Roman" w:eastAsia="楷体_GB2312" w:cs="Times New Roman"/>
          <w:b/>
          <w:bCs/>
          <w:sz w:val="32"/>
          <w:szCs w:val="32"/>
        </w:rPr>
        <w:t xml:space="preserve">  巩固提高基础教育</w:t>
      </w:r>
      <w:bookmarkEnd w:id="528"/>
      <w:bookmarkEnd w:id="529"/>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w:t>
      </w:r>
      <w:bookmarkEnd w:id="530"/>
      <w:bookmarkEnd w:id="531"/>
      <w:r>
        <w:rPr>
          <w:rFonts w:hint="default" w:ascii="Times New Roman" w:hAnsi="Times New Roman" w:eastAsia="仿宋_GB2312" w:cs="Times New Roman"/>
          <w:sz w:val="32"/>
          <w:szCs w:val="32"/>
        </w:rPr>
        <w:t>义务教育优质均衡发展，加快城乡义务教育一体化发展。推进学前教育普及普惠发展，完善城区小区配套幼儿园建设。加快高中阶段教育普及攻坚，推动普通高中优质特色发展。保障特殊群体受教育权利，将进城务工人员随迁子女义务教育纳入城镇发展规划，组织实施特殊教育提升计划。着力减轻中小学生过重课外负担，支持中小学校普遍开展课后服务工作。</w:t>
      </w:r>
    </w:p>
    <w:p>
      <w:pPr>
        <w:ind w:right="72" w:rightChars="24" w:firstLine="0"/>
        <w:jc w:val="center"/>
        <w:outlineLvl w:val="2"/>
        <w:rPr>
          <w:rFonts w:hint="default" w:ascii="Times New Roman" w:hAnsi="Times New Roman" w:eastAsia="仿宋_GB2312" w:cs="Times New Roman"/>
          <w:b/>
          <w:bCs/>
          <w:sz w:val="32"/>
          <w:szCs w:val="32"/>
        </w:rPr>
      </w:pPr>
      <w:bookmarkStart w:id="532" w:name="_Toc13769"/>
      <w:bookmarkStart w:id="533" w:name="_Toc30274"/>
      <w:r>
        <w:rPr>
          <w:rFonts w:hint="default" w:ascii="Times New Roman" w:hAnsi="Times New Roman" w:eastAsia="楷体_GB2312" w:cs="Times New Roman"/>
          <w:b/>
          <w:bCs/>
          <w:sz w:val="32"/>
          <w:szCs w:val="32"/>
        </w:rPr>
        <w:t>第二节</w:t>
      </w:r>
      <w:bookmarkStart w:id="534" w:name="_Toc17873"/>
      <w:bookmarkStart w:id="535" w:name="_Toc4366"/>
      <w:r>
        <w:rPr>
          <w:rFonts w:hint="default" w:ascii="Times New Roman" w:hAnsi="Times New Roman" w:eastAsia="楷体_GB2312" w:cs="Times New Roman"/>
          <w:b/>
          <w:bCs/>
          <w:sz w:val="32"/>
          <w:szCs w:val="32"/>
        </w:rPr>
        <w:t xml:space="preserve">  全面深化职业教育</w:t>
      </w:r>
      <w:bookmarkEnd w:id="532"/>
      <w:bookmarkEnd w:id="533"/>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w:t>
      </w:r>
      <w:bookmarkEnd w:id="534"/>
      <w:bookmarkEnd w:id="535"/>
      <w:r>
        <w:rPr>
          <w:rFonts w:hint="default" w:ascii="Times New Roman" w:hAnsi="Times New Roman" w:eastAsia="仿宋_GB2312" w:cs="Times New Roman"/>
          <w:sz w:val="32"/>
          <w:szCs w:val="32"/>
        </w:rPr>
        <w:t>产业人才培养培训新体系，健全产教融合的办学体制机制，坚持面向市场、服务发展、促进就业的办学方向，大力推进产教融合、校企合作。建立健全职业教育制度标准，完善学校设置、专业教学、教师队伍、学生实习、经费投入、信息化建设等系列制度和标准。重点推进在长榆高中学校院内建设办学规模达3000人的职教中心，新建实训基地17000平方米。</w:t>
      </w:r>
    </w:p>
    <w:p>
      <w:pPr>
        <w:ind w:right="72" w:rightChars="24" w:firstLine="0"/>
        <w:jc w:val="center"/>
        <w:outlineLvl w:val="9"/>
        <w:rPr>
          <w:rFonts w:hint="default" w:ascii="Times New Roman" w:hAnsi="Times New Roman" w:eastAsia="楷体_GB2312" w:cs="Times New Roman"/>
          <w:b/>
          <w:bCs/>
          <w:sz w:val="32"/>
          <w:szCs w:val="32"/>
        </w:rPr>
      </w:pPr>
    </w:p>
    <w:p>
      <w:pPr>
        <w:ind w:right="72" w:rightChars="24" w:firstLine="0"/>
        <w:jc w:val="center"/>
        <w:outlineLvl w:val="2"/>
        <w:rPr>
          <w:rFonts w:hint="default" w:ascii="Times New Roman" w:hAnsi="Times New Roman" w:eastAsia="仿宋_GB2312" w:cs="Times New Roman"/>
          <w:b/>
          <w:bCs/>
          <w:sz w:val="32"/>
          <w:szCs w:val="32"/>
        </w:rPr>
      </w:pPr>
      <w:bookmarkStart w:id="536" w:name="_Toc21484"/>
      <w:bookmarkStart w:id="537" w:name="_Toc9867"/>
      <w:r>
        <w:rPr>
          <w:rFonts w:hint="default" w:ascii="Times New Roman" w:hAnsi="Times New Roman" w:eastAsia="楷体_GB2312" w:cs="Times New Roman"/>
          <w:b/>
          <w:bCs/>
          <w:sz w:val="32"/>
          <w:szCs w:val="32"/>
        </w:rPr>
        <w:t>第三节</w:t>
      </w:r>
      <w:bookmarkStart w:id="538" w:name="_Toc15947"/>
      <w:bookmarkStart w:id="539" w:name="_Toc8988"/>
      <w:r>
        <w:rPr>
          <w:rFonts w:hint="default" w:ascii="Times New Roman" w:hAnsi="Times New Roman" w:eastAsia="楷体_GB2312" w:cs="Times New Roman"/>
          <w:b/>
          <w:bCs/>
          <w:sz w:val="32"/>
          <w:szCs w:val="32"/>
        </w:rPr>
        <w:t xml:space="preserve">  大力推进教育信息化</w:t>
      </w:r>
      <w:bookmarkEnd w:id="536"/>
      <w:bookmarkEnd w:id="537"/>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w:t>
      </w:r>
      <w:bookmarkEnd w:id="538"/>
      <w:bookmarkEnd w:id="539"/>
      <w:r>
        <w:rPr>
          <w:rFonts w:hint="default" w:ascii="Times New Roman" w:hAnsi="Times New Roman" w:eastAsia="仿宋_GB2312" w:cs="Times New Roman"/>
          <w:sz w:val="32"/>
          <w:szCs w:val="32"/>
        </w:rPr>
        <w:t>信息化基础设施，进一步优化校园网络基础环境，整合教育专网和教育专线接入形式，建设教育城域网，所有学校（含村小学）接入城域网，班均带宽达到50M，实现校园无线网络全覆盖。优化教育资源平台功能，以现有教育资源公共服务平台为基础，构建适应数字化学习要求的应用环境，以“三个课堂”应用为重点，完善网络学习空间功能，使网络学习空间成为师生利用信息技术开展教与学活动的主阵地。推进“互联网+教育”大平台建设，提高优质教育资源覆盖率。提升教师信息能力素养，组织教师全员参加信息技术应用能力提升工程2.0“国培”“省培”，落实“两培”线下指导措施，培训效果和质量。到2025年，基本建成适应教育信息化“三全两高一大”应用目标的基础环境和应用环境。</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40" w:type="dxa"/>
            <w:shd w:val="clear" w:color="auto" w:fill="92D050"/>
            <w:noWrap w:val="0"/>
            <w:vAlign w:val="top"/>
          </w:tcPr>
          <w:p>
            <w:pPr>
              <w:ind w:right="72" w:rightChars="24"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专栏6：教育机构重点项目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140" w:type="dxa"/>
            <w:noWrap w:val="0"/>
            <w:vAlign w:val="top"/>
          </w:tcPr>
          <w:p>
            <w:pPr>
              <w:ind w:right="72" w:rightChars="24" w:firstLine="0"/>
              <w:rPr>
                <w:rFonts w:hint="default" w:ascii="Times New Roman" w:hAnsi="Times New Roman" w:eastAsia="楷体" w:cs="Times New Roman"/>
                <w:sz w:val="28"/>
                <w:szCs w:val="28"/>
              </w:rPr>
            </w:pP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1.第六小学异地新建：位置在向阳路以南、榆树大街以东。</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2.新建一所小学：位置在城区南部原榆树粮库附近，规划30个教学班，学位1350个，解决城镇化学龄人口增加和区域内学位不足及老城区小学超规模办学问题。</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3.新建一所九年一贯制学校：位置在新民大街以西、榆三公路以北，满足城市西扩需要。</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4.新建两所公办幼儿园：城区南部、东部各规划新建一所，各18个教学班，以解决市区公办幼儿园和普惠性幼儿园严重不足问题。</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5.建成高职高专职业学院：在原职教中心办学基础上，选址扩建，提升办学层次，把职教中心提升为高职高专，建成为高等教育学校。</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6.新建特殊教育学校：规划18个班规模，融入学前教育、高中段特殊教育，推动特殊教育向学前教育和高中延伸。</w:t>
            </w:r>
          </w:p>
          <w:p>
            <w:pPr>
              <w:ind w:right="72" w:rightChars="24" w:firstLine="0"/>
              <w:rPr>
                <w:rFonts w:hint="default" w:ascii="Times New Roman" w:hAnsi="Times New Roman" w:eastAsia="仿宋_GB2312" w:cs="Times New Roman"/>
                <w:sz w:val="32"/>
                <w:szCs w:val="32"/>
              </w:rPr>
            </w:pPr>
            <w:r>
              <w:rPr>
                <w:rFonts w:hint="default" w:ascii="Times New Roman" w:hAnsi="Times New Roman" w:eastAsia="楷体" w:cs="Times New Roman"/>
                <w:sz w:val="28"/>
                <w:szCs w:val="28"/>
              </w:rPr>
              <w:t>7.第七小学扩建或选址新建：新建30个教学班，1620个学位。</w:t>
            </w:r>
          </w:p>
        </w:tc>
      </w:tr>
    </w:tbl>
    <w:p>
      <w:pPr>
        <w:spacing w:line="240" w:lineRule="auto"/>
        <w:ind w:right="72" w:rightChars="24"/>
        <w:jc w:val="center"/>
        <w:outlineLvl w:val="9"/>
        <w:rPr>
          <w:rFonts w:hint="default" w:ascii="Times New Roman" w:hAnsi="Times New Roman" w:eastAsia="仿宋_GB2312" w:cs="Times New Roman"/>
          <w:b/>
          <w:bCs/>
          <w:sz w:val="32"/>
          <w:szCs w:val="32"/>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540" w:name="_Toc5252"/>
      <w:bookmarkStart w:id="541" w:name="_Toc29634"/>
      <w:r>
        <w:rPr>
          <w:rFonts w:hint="default" w:ascii="Times New Roman" w:hAnsi="Times New Roman" w:eastAsia="仿宋_GB2312" w:cs="Times New Roman"/>
          <w:b/>
          <w:bCs/>
          <w:sz w:val="32"/>
          <w:szCs w:val="32"/>
        </w:rPr>
        <w:t>第二十</w:t>
      </w:r>
      <w:bookmarkStart w:id="542" w:name="_Toc12075"/>
      <w:bookmarkStart w:id="543" w:name="_Toc6119"/>
      <w:r>
        <w:rPr>
          <w:rFonts w:hint="default" w:ascii="Times New Roman" w:hAnsi="Times New Roman" w:eastAsia="仿宋_GB2312" w:cs="Times New Roman"/>
          <w:b/>
          <w:bCs/>
          <w:sz w:val="32"/>
          <w:szCs w:val="32"/>
        </w:rPr>
        <w:t>四章  提升人民健康水平</w:t>
      </w:r>
      <w:bookmarkEnd w:id="540"/>
      <w:bookmarkEnd w:id="541"/>
    </w:p>
    <w:p>
      <w:pPr>
        <w:spacing w:line="240" w:lineRule="auto"/>
        <w:ind w:firstLine="610"/>
        <w:rPr>
          <w:rFonts w:hint="default" w:ascii="Times New Roman" w:hAnsi="Times New Roman" w:eastAsia="仿宋_GB2312" w:cs="Times New Roman"/>
          <w:sz w:val="32"/>
          <w:szCs w:val="32"/>
        </w:rPr>
      </w:pPr>
    </w:p>
    <w:p>
      <w:pPr>
        <w:ind w:firstLine="61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bookmarkEnd w:id="542"/>
      <w:bookmarkEnd w:id="543"/>
      <w:r>
        <w:rPr>
          <w:rFonts w:hint="default" w:ascii="Times New Roman" w:hAnsi="Times New Roman" w:eastAsia="仿宋_GB2312" w:cs="Times New Roman"/>
          <w:sz w:val="32"/>
          <w:szCs w:val="32"/>
        </w:rPr>
        <w:t>持“大卫生”“大健康”的发展理念，着眼长远发展，补短板、堵漏洞、强弱项，不断优化医疗资源布局，全面提升综合服务能力，推动全市卫生健康事业科学发展。</w:t>
      </w:r>
    </w:p>
    <w:p>
      <w:pPr>
        <w:ind w:firstLine="640" w:firstLineChars="0"/>
        <w:jc w:val="center"/>
        <w:outlineLvl w:val="2"/>
        <w:rPr>
          <w:rFonts w:hint="default" w:ascii="Times New Roman" w:hAnsi="Times New Roman" w:eastAsia="楷体_GB2312" w:cs="Times New Roman"/>
          <w:b/>
          <w:sz w:val="32"/>
          <w:szCs w:val="32"/>
        </w:rPr>
      </w:pPr>
      <w:bookmarkStart w:id="544" w:name="_Toc26538"/>
      <w:bookmarkStart w:id="545" w:name="_Toc2778"/>
      <w:r>
        <w:rPr>
          <w:rFonts w:hint="default" w:ascii="Times New Roman" w:hAnsi="Times New Roman" w:eastAsia="楷体_GB2312" w:cs="Times New Roman"/>
          <w:b/>
          <w:sz w:val="32"/>
          <w:szCs w:val="32"/>
        </w:rPr>
        <w:t>第一节</w:t>
      </w:r>
      <w:bookmarkStart w:id="546" w:name="_Toc20176"/>
      <w:bookmarkStart w:id="547" w:name="_Toc21847"/>
      <w:r>
        <w:rPr>
          <w:rFonts w:hint="default" w:ascii="Times New Roman" w:hAnsi="Times New Roman" w:eastAsia="楷体_GB2312" w:cs="Times New Roman"/>
          <w:b/>
          <w:sz w:val="32"/>
          <w:szCs w:val="32"/>
        </w:rPr>
        <w:t xml:space="preserve">  切实提升医疗服务能力</w:t>
      </w:r>
      <w:bookmarkEnd w:id="544"/>
      <w:bookmarkEnd w:id="545"/>
    </w:p>
    <w:p>
      <w:pPr>
        <w:ind w:firstLine="61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bookmarkEnd w:id="546"/>
      <w:bookmarkEnd w:id="547"/>
      <w:r>
        <w:rPr>
          <w:rFonts w:hint="default" w:ascii="Times New Roman" w:hAnsi="Times New Roman" w:eastAsia="仿宋_GB2312" w:cs="Times New Roman"/>
          <w:sz w:val="32"/>
          <w:szCs w:val="32"/>
        </w:rPr>
        <w:t>发热门诊收治能力，全市二级以上综合医院重点落实“三区两通道”要求，重点推动榆树市妇幼保健院新建发热门诊建设项目、榆树市中医院改扩建发热门诊建设项目建成运营。提升可转换传染病区和ICU收治能力，市本级医院落实好预留可转换集中收治床位数量及负压改造的条件，重点推进榆树市人民医院医技楼建设项目。提升实验室的检测能力，新建榆树市疾病控制中心，实验室要达到生物安全二级（P2）以上水平，满足现场检验检测、应急处置等需要。提升传染病检测能力，市本级医院都要具备已知传染病的常规检测能力，国家免疫规划疫苗接种率保持在95%以上。提升废弃物处置能力，进一步健全医疗废弃物收集转运体系，按照现有医疗废弃物处置能力扩展一倍作为应急备用的要求。提升应急救援能力，市急救中心设立统一指挥调试信息化平台，重点依托市人民医院、中医院等综合医院，组建专业救援队伍，提高卫生公共事件快速反应能力。</w:t>
      </w:r>
    </w:p>
    <w:p>
      <w:pPr>
        <w:ind w:firstLine="640" w:firstLineChars="0"/>
        <w:jc w:val="center"/>
        <w:outlineLvl w:val="2"/>
        <w:rPr>
          <w:rFonts w:hint="default" w:ascii="Times New Roman" w:hAnsi="Times New Roman" w:eastAsia="楷体_GB2312" w:cs="Times New Roman"/>
          <w:b/>
          <w:sz w:val="32"/>
          <w:szCs w:val="32"/>
        </w:rPr>
      </w:pPr>
      <w:bookmarkStart w:id="548" w:name="_Toc15774"/>
      <w:bookmarkStart w:id="549" w:name="_Toc16015"/>
      <w:r>
        <w:rPr>
          <w:rFonts w:hint="default" w:ascii="Times New Roman" w:hAnsi="Times New Roman" w:eastAsia="楷体_GB2312" w:cs="Times New Roman"/>
          <w:b/>
          <w:sz w:val="32"/>
          <w:szCs w:val="32"/>
        </w:rPr>
        <w:t>第二节</w:t>
      </w:r>
      <w:bookmarkStart w:id="550" w:name="_Toc27903"/>
      <w:bookmarkStart w:id="551" w:name="_Toc21891"/>
      <w:r>
        <w:rPr>
          <w:rFonts w:hint="default" w:ascii="Times New Roman" w:hAnsi="Times New Roman" w:eastAsia="楷体_GB2312" w:cs="Times New Roman"/>
          <w:b/>
          <w:sz w:val="32"/>
          <w:szCs w:val="32"/>
        </w:rPr>
        <w:t xml:space="preserve">  多措并举推进中医药发展</w:t>
      </w:r>
      <w:bookmarkEnd w:id="548"/>
      <w:bookmarkEnd w:id="549"/>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w:t>
      </w:r>
      <w:bookmarkEnd w:id="550"/>
      <w:bookmarkEnd w:id="551"/>
      <w:r>
        <w:rPr>
          <w:rFonts w:hint="default" w:ascii="Times New Roman" w:hAnsi="Times New Roman" w:eastAsia="仿宋_GB2312" w:cs="Times New Roman"/>
          <w:sz w:val="32"/>
          <w:szCs w:val="32"/>
        </w:rPr>
        <w:t>健全以榆树市中医院为龙头，综合医院中医科为骨干，社区卫生服务中心和乡镇卫生院中医馆、村卫生室、民营中医医疗机构为基础的中医医疗服务体系。推动中医院开展融医疗、康复、预防于一体的服务模式和多种中医药方法综合应用的治疗模式。提升基层中医药服务能力，鼓励市中医院以对口支援等形式与基层医疗卫生机构开展实质性合作。推进中医医疗联合体和中医专科联盟建设，提升专病诊疗能力、中医应急能力、中医药参与传染病防治能力。到2025年，榆树市中医院达到三级水平，75%的村卫生室至少配备1名以中医药服务为主的乡村医生或经过中医药知识与技能培训的乡村医生提供中医药服务。</w:t>
      </w:r>
    </w:p>
    <w:p>
      <w:pPr>
        <w:ind w:firstLine="640" w:firstLineChars="0"/>
        <w:jc w:val="center"/>
        <w:outlineLvl w:val="2"/>
        <w:rPr>
          <w:rFonts w:hint="default" w:ascii="Times New Roman" w:hAnsi="Times New Roman" w:eastAsia="仿宋_GB2312" w:cs="Times New Roman"/>
          <w:b/>
          <w:sz w:val="32"/>
          <w:szCs w:val="32"/>
        </w:rPr>
      </w:pPr>
      <w:bookmarkStart w:id="552" w:name="_Toc25341"/>
      <w:bookmarkStart w:id="553" w:name="_Toc6375"/>
      <w:r>
        <w:rPr>
          <w:rFonts w:hint="default" w:ascii="Times New Roman" w:hAnsi="Times New Roman" w:eastAsia="楷体_GB2312" w:cs="Times New Roman"/>
          <w:b/>
          <w:sz w:val="32"/>
          <w:szCs w:val="32"/>
        </w:rPr>
        <w:t>第三节</w:t>
      </w:r>
      <w:bookmarkStart w:id="554" w:name="_Toc3018"/>
      <w:bookmarkStart w:id="555" w:name="_Toc6962"/>
      <w:r>
        <w:rPr>
          <w:rFonts w:hint="default" w:ascii="Times New Roman" w:hAnsi="Times New Roman" w:eastAsia="楷体_GB2312" w:cs="Times New Roman"/>
          <w:b/>
          <w:sz w:val="32"/>
          <w:szCs w:val="32"/>
        </w:rPr>
        <w:t xml:space="preserve">  完善社会心理服务体系</w:t>
      </w:r>
      <w:bookmarkEnd w:id="552"/>
      <w:bookmarkEnd w:id="553"/>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精神</w:t>
      </w:r>
      <w:bookmarkEnd w:id="554"/>
      <w:bookmarkEnd w:id="555"/>
      <w:r>
        <w:rPr>
          <w:rFonts w:hint="default" w:ascii="Times New Roman" w:hAnsi="Times New Roman" w:eastAsia="仿宋_GB2312" w:cs="Times New Roman"/>
          <w:sz w:val="32"/>
          <w:szCs w:val="32"/>
        </w:rPr>
        <w:t>卫生专科医院要积极开展心理治疗、心理咨询服务，加强抑郁症、焦虑障碍、认知障碍等常见精神障碍的防治。综合医院开设精神（心理）科，提供精神卫生和心理健康服务。基层医疗卫生机构加强精神卫生和心理健康科普宣传、心理治疗和心理咨询服务。通过运用互联网等信息技术，拓展精神卫生和心理健康服务的空间和内容，把心理健康服务纳入城乡基本公共服务体系，融入平安榆树建设、健康榆树建设。到2025年，全市社会心理服务体系初步完善，全民心理健康意识明显增强。</w:t>
      </w:r>
    </w:p>
    <w:p>
      <w:pPr>
        <w:pStyle w:val="2"/>
        <w:rPr>
          <w:rFonts w:hint="default" w:ascii="Times New Roman" w:hAnsi="Times New Roman" w:eastAsia="宋体" w:cs="Times New Roman"/>
          <w:sz w:val="28"/>
          <w:szCs w:val="20"/>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40" w:type="dxa"/>
            <w:shd w:val="clear" w:color="auto" w:fill="92D050"/>
            <w:noWrap w:val="0"/>
            <w:vAlign w:val="top"/>
          </w:tcPr>
          <w:p>
            <w:pPr>
              <w:ind w:right="72" w:rightChars="24"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专栏7：医疗卫生重点项目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9140" w:type="dxa"/>
            <w:noWrap w:val="0"/>
            <w:vAlign w:val="top"/>
          </w:tcPr>
          <w:p>
            <w:pPr>
              <w:ind w:right="72" w:rightChars="24" w:firstLine="0"/>
              <w:rPr>
                <w:rFonts w:hint="default" w:ascii="Times New Roman" w:hAnsi="Times New Roman" w:eastAsia="仿宋" w:cs="Times New Roman"/>
                <w:sz w:val="30"/>
                <w:szCs w:val="21"/>
              </w:rPr>
            </w:pP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1.榆树市疾病控制中心迁建项目：疾控中心占地10000平方米，建筑面积6000平方米，计划2022年末完成建设任务。</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2.榆树市传染病医院新建项目：传染病医院占地32000平方米，建筑面积12300平方米，计划2022年末完成建设任务。</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3.榆树市医院医技楼新建项目。建筑面积为20600平方米，主要承担可转换传染病区和可转化</w:t>
            </w:r>
            <w:r>
              <w:rPr>
                <w:rFonts w:hint="default" w:ascii="Times New Roman" w:hAnsi="Times New Roman" w:eastAsia="楷体" w:cs="Times New Roman"/>
                <w:sz w:val="28"/>
                <w:szCs w:val="28"/>
              </w:rPr>
              <w:t>ICU</w:t>
            </w:r>
            <w:r>
              <w:rPr>
                <w:rFonts w:hint="default" w:ascii="Times New Roman" w:hAnsi="Times New Roman" w:eastAsia="楷体" w:cs="Times New Roman"/>
                <w:szCs w:val="28"/>
              </w:rPr>
              <w:t>病房，计划2022年末完成建设任务。</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4.“120”应急指挥平台配套建设项目：将现依附于市中医院的“120”急救中心剥离开，异地重建，计划2022年末完成建设任务。</w:t>
            </w:r>
          </w:p>
          <w:p>
            <w:pPr>
              <w:pStyle w:val="2"/>
              <w:ind w:firstLine="0"/>
              <w:rPr>
                <w:rFonts w:hint="default" w:ascii="Times New Roman" w:hAnsi="Times New Roman" w:eastAsia="楷体" w:cs="Times New Roman"/>
                <w:szCs w:val="28"/>
              </w:rPr>
            </w:pPr>
            <w:r>
              <w:rPr>
                <w:rFonts w:hint="default" w:ascii="Times New Roman" w:hAnsi="Times New Roman" w:eastAsia="楷体" w:cs="Times New Roman"/>
                <w:szCs w:val="28"/>
              </w:rPr>
              <w:t>5.社区卫生服务体系建设项目：在已有社区卫生服务中心基础上，改建房舍、人员、经费、设备完全独立的社区卫生服务中心。</w:t>
            </w:r>
          </w:p>
          <w:p>
            <w:pPr>
              <w:pStyle w:val="2"/>
              <w:ind w:firstLine="0"/>
              <w:rPr>
                <w:rFonts w:hint="default" w:ascii="Times New Roman" w:hAnsi="Times New Roman" w:eastAsia="楷体" w:cs="Times New Roman"/>
                <w:sz w:val="30"/>
                <w:szCs w:val="21"/>
              </w:rPr>
            </w:pPr>
            <w:r>
              <w:rPr>
                <w:rFonts w:hint="default" w:ascii="Times New Roman" w:hAnsi="Times New Roman" w:eastAsia="楷体" w:cs="Times New Roman"/>
                <w:szCs w:val="28"/>
              </w:rPr>
              <w:t>6.乡镇卫生医疗服务中心项目：投资2500万元，以五棵树镇、泗河镇、新立镇和大坡镇卫生院为依托，建设区域卫生医疗服务中心。</w:t>
            </w:r>
          </w:p>
        </w:tc>
      </w:tr>
    </w:tbl>
    <w:p>
      <w:pPr>
        <w:spacing w:line="240" w:lineRule="auto"/>
        <w:ind w:right="72" w:rightChars="24"/>
        <w:jc w:val="center"/>
        <w:rPr>
          <w:rFonts w:hint="default" w:ascii="Times New Roman" w:hAnsi="Times New Roman" w:eastAsia="仿宋_GB2312" w:cs="Times New Roman"/>
          <w:b/>
          <w:bCs/>
          <w:sz w:val="32"/>
          <w:szCs w:val="32"/>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556" w:name="_Toc31964"/>
      <w:bookmarkStart w:id="557" w:name="_Toc18471"/>
      <w:r>
        <w:rPr>
          <w:rFonts w:hint="default" w:ascii="Times New Roman" w:hAnsi="Times New Roman" w:eastAsia="仿宋_GB2312" w:cs="Times New Roman"/>
          <w:b/>
          <w:bCs/>
          <w:sz w:val="32"/>
          <w:szCs w:val="32"/>
        </w:rPr>
        <w:t>第二十</w:t>
      </w:r>
      <w:bookmarkStart w:id="558" w:name="_Toc23745"/>
      <w:bookmarkStart w:id="559" w:name="_Toc15634"/>
      <w:r>
        <w:rPr>
          <w:rFonts w:hint="default" w:ascii="Times New Roman" w:hAnsi="Times New Roman" w:eastAsia="仿宋_GB2312" w:cs="Times New Roman"/>
          <w:b/>
          <w:bCs/>
          <w:sz w:val="32"/>
          <w:szCs w:val="32"/>
        </w:rPr>
        <w:t>五章  推动更高质量就业</w:t>
      </w:r>
      <w:bookmarkEnd w:id="556"/>
      <w:bookmarkEnd w:id="557"/>
    </w:p>
    <w:p>
      <w:pPr>
        <w:spacing w:line="240" w:lineRule="auto"/>
        <w:ind w:firstLine="643" w:firstLineChars="200"/>
        <w:rPr>
          <w:rFonts w:hint="default" w:ascii="Times New Roman" w:hAnsi="Times New Roman" w:eastAsia="仿宋_GB2312" w:cs="Times New Roman"/>
          <w:b/>
          <w:sz w:val="32"/>
          <w:szCs w:val="32"/>
        </w:rPr>
      </w:pPr>
    </w:p>
    <w:p>
      <w:pPr>
        <w:ind w:firstLine="640" w:firstLineChars="0"/>
        <w:jc w:val="center"/>
        <w:outlineLvl w:val="2"/>
        <w:rPr>
          <w:rFonts w:hint="default" w:ascii="Times New Roman" w:hAnsi="Times New Roman" w:eastAsia="楷体_GB2312" w:cs="Times New Roman"/>
          <w:b/>
          <w:sz w:val="32"/>
          <w:szCs w:val="32"/>
        </w:rPr>
      </w:pPr>
      <w:bookmarkStart w:id="560" w:name="_Toc21053"/>
      <w:bookmarkStart w:id="561" w:name="_Toc25471"/>
      <w:r>
        <w:rPr>
          <w:rFonts w:hint="default" w:ascii="Times New Roman" w:hAnsi="Times New Roman" w:eastAsia="楷体_GB2312" w:cs="Times New Roman"/>
          <w:b/>
          <w:sz w:val="32"/>
          <w:szCs w:val="32"/>
        </w:rPr>
        <w:t>第</w:t>
      </w:r>
      <w:bookmarkEnd w:id="558"/>
      <w:bookmarkEnd w:id="559"/>
      <w:r>
        <w:rPr>
          <w:rFonts w:hint="default" w:ascii="Times New Roman" w:hAnsi="Times New Roman" w:eastAsia="楷体_GB2312" w:cs="Times New Roman"/>
          <w:b/>
          <w:sz w:val="32"/>
          <w:szCs w:val="32"/>
        </w:rPr>
        <w:t>一节</w:t>
      </w:r>
      <w:bookmarkStart w:id="562" w:name="_Toc884"/>
      <w:bookmarkStart w:id="563" w:name="_Toc16501"/>
      <w:r>
        <w:rPr>
          <w:rFonts w:hint="default" w:ascii="Times New Roman" w:hAnsi="Times New Roman" w:eastAsia="楷体_GB2312" w:cs="Times New Roman"/>
          <w:b/>
          <w:sz w:val="32"/>
          <w:szCs w:val="32"/>
        </w:rPr>
        <w:t xml:space="preserve">  拓宽多层次就业渠道</w:t>
      </w:r>
      <w:bookmarkEnd w:id="560"/>
      <w:bookmarkEnd w:id="561"/>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w:t>
      </w:r>
      <w:bookmarkEnd w:id="562"/>
      <w:bookmarkEnd w:id="563"/>
      <w:r>
        <w:rPr>
          <w:rFonts w:hint="default" w:ascii="Times New Roman" w:hAnsi="Times New Roman" w:eastAsia="仿宋_GB2312" w:cs="Times New Roman"/>
          <w:sz w:val="32"/>
          <w:szCs w:val="32"/>
        </w:rPr>
        <w:t>更加积极的就业政策，拓宽就业渠道，积极发展就业能力较强、符合产业结构调整方向的中小企业。实行非全日制就业、季节性就业等灵活多样的就业形式，鼓励劳动者自主就业创业。培养新型农民，鼓励有技术的劳动者到农村就业。做好以大学生为主的青年就业，统筹推进农业劳动力、就业困难群体、残疾人、退役士兵等重点群体就业，开发公益性就业岗位，对特困群体人员进行托底安置。</w:t>
      </w:r>
    </w:p>
    <w:p>
      <w:pPr>
        <w:ind w:firstLine="640" w:firstLineChars="0"/>
        <w:jc w:val="center"/>
        <w:outlineLvl w:val="2"/>
        <w:rPr>
          <w:rFonts w:hint="default" w:ascii="Times New Roman" w:hAnsi="Times New Roman" w:eastAsia="楷体_GB2312" w:cs="Times New Roman"/>
          <w:sz w:val="32"/>
          <w:szCs w:val="32"/>
        </w:rPr>
      </w:pPr>
      <w:bookmarkStart w:id="564" w:name="_Toc26192"/>
      <w:bookmarkStart w:id="565" w:name="_Toc10850"/>
      <w:r>
        <w:rPr>
          <w:rFonts w:hint="default" w:ascii="Times New Roman" w:hAnsi="Times New Roman" w:eastAsia="楷体_GB2312" w:cs="Times New Roman"/>
          <w:b/>
          <w:sz w:val="32"/>
          <w:szCs w:val="32"/>
        </w:rPr>
        <w:t>第二节</w:t>
      </w:r>
      <w:bookmarkStart w:id="566" w:name="_Toc15269"/>
      <w:bookmarkStart w:id="567" w:name="_Toc22541"/>
      <w:r>
        <w:rPr>
          <w:rFonts w:hint="default" w:ascii="Times New Roman" w:hAnsi="Times New Roman" w:eastAsia="楷体_GB2312" w:cs="Times New Roman"/>
          <w:b/>
          <w:sz w:val="32"/>
          <w:szCs w:val="32"/>
        </w:rPr>
        <w:t xml:space="preserve">  加大创业扶持力度</w:t>
      </w:r>
      <w:bookmarkEnd w:id="564"/>
      <w:bookmarkEnd w:id="565"/>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w:t>
      </w:r>
      <w:bookmarkEnd w:id="566"/>
      <w:bookmarkEnd w:id="567"/>
      <w:r>
        <w:rPr>
          <w:rFonts w:hint="default" w:ascii="Times New Roman" w:hAnsi="Times New Roman" w:eastAsia="仿宋_GB2312" w:cs="Times New Roman"/>
          <w:sz w:val="32"/>
          <w:szCs w:val="32"/>
        </w:rPr>
        <w:t>创业扶持政策，推进创业型城市建设，努力优化创业服务，搭建公共创业服务平台，深入实施全民创业产业园建设，形成创业服务网络。积极推广“农户+网络+公司”的模式，拓展网络交易市场领域。积极打造创业孵化器，培育创业孵化基地，鼓励农村外出劳动力返乡就业创业，建立外出就业和返乡创业双向流动就业机制。举办创业训练营、创业大赛、创新成果和创业项目展示推介等活动，营造大众创业的良好氛围。</w:t>
      </w:r>
    </w:p>
    <w:p>
      <w:pPr>
        <w:ind w:firstLine="640" w:firstLineChars="0"/>
        <w:jc w:val="center"/>
        <w:outlineLvl w:val="2"/>
        <w:rPr>
          <w:rFonts w:hint="default" w:ascii="Times New Roman" w:hAnsi="Times New Roman" w:eastAsia="楷体_GB2312" w:cs="Times New Roman"/>
          <w:b/>
          <w:sz w:val="32"/>
          <w:szCs w:val="32"/>
        </w:rPr>
      </w:pPr>
      <w:bookmarkStart w:id="568" w:name="_Toc13794"/>
      <w:bookmarkStart w:id="569" w:name="_Toc3690"/>
      <w:r>
        <w:rPr>
          <w:rFonts w:hint="default" w:ascii="Times New Roman" w:hAnsi="Times New Roman" w:eastAsia="楷体_GB2312" w:cs="Times New Roman"/>
          <w:b/>
          <w:sz w:val="32"/>
          <w:szCs w:val="32"/>
        </w:rPr>
        <w:t>第三节</w:t>
      </w:r>
      <w:bookmarkStart w:id="570" w:name="_Toc14557"/>
      <w:bookmarkStart w:id="571" w:name="_Toc32692"/>
      <w:r>
        <w:rPr>
          <w:rFonts w:hint="default" w:ascii="Times New Roman" w:hAnsi="Times New Roman" w:eastAsia="楷体_GB2312" w:cs="Times New Roman"/>
          <w:b/>
          <w:sz w:val="32"/>
          <w:szCs w:val="32"/>
        </w:rPr>
        <w:t xml:space="preserve">  加强就业创业载体建设</w:t>
      </w:r>
      <w:bookmarkEnd w:id="568"/>
      <w:bookmarkEnd w:id="569"/>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w:t>
      </w:r>
      <w:bookmarkEnd w:id="570"/>
      <w:bookmarkEnd w:id="571"/>
      <w:r>
        <w:rPr>
          <w:rFonts w:hint="default" w:ascii="Times New Roman" w:hAnsi="Times New Roman" w:eastAsia="仿宋_GB2312" w:cs="Times New Roman"/>
          <w:sz w:val="32"/>
          <w:szCs w:val="32"/>
        </w:rPr>
        <w:t>覆盖城乡的公共就业创业服务体系，推进城镇就业创业扶持政策向农村延伸，提高城乡服务均等化、标准化和专业化水平。完善乡镇、社区（行政村）基层服务平台，确保城乡居民就业享受到均等服务。加强城乡新成长劳动力职业技能培训，对未能升学的初高中毕业生等新成长劳动力进行普遍的职业教育培训。加强农村劳动力的职业培训，建立农村职业培训基地，提高广大农村劳动力的基本技能。大力发展民办教育机构和技工学校，开展多层次、多元化的职业技能培训。</w:t>
      </w:r>
    </w:p>
    <w:p>
      <w:pPr>
        <w:pStyle w:val="2"/>
        <w:spacing w:line="240" w:lineRule="auto"/>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572" w:name="_Toc28141"/>
      <w:bookmarkStart w:id="573" w:name="_Toc2686"/>
      <w:r>
        <w:rPr>
          <w:rFonts w:hint="default" w:ascii="Times New Roman" w:hAnsi="Times New Roman" w:eastAsia="仿宋_GB2312" w:cs="Times New Roman"/>
          <w:b/>
          <w:bCs/>
          <w:sz w:val="32"/>
          <w:szCs w:val="32"/>
        </w:rPr>
        <w:t>第二十</w:t>
      </w:r>
      <w:bookmarkStart w:id="574" w:name="_Toc601"/>
      <w:bookmarkStart w:id="575" w:name="_Toc4040"/>
      <w:r>
        <w:rPr>
          <w:rFonts w:hint="default" w:ascii="Times New Roman" w:hAnsi="Times New Roman" w:eastAsia="仿宋_GB2312" w:cs="Times New Roman"/>
          <w:b/>
          <w:bCs/>
          <w:sz w:val="32"/>
          <w:szCs w:val="32"/>
        </w:rPr>
        <w:t>六章  完善社会保障体系</w:t>
      </w:r>
      <w:bookmarkEnd w:id="572"/>
      <w:bookmarkEnd w:id="573"/>
    </w:p>
    <w:p>
      <w:pPr>
        <w:spacing w:line="240" w:lineRule="auto"/>
        <w:ind w:firstLine="643" w:firstLineChars="200"/>
        <w:rPr>
          <w:rFonts w:hint="default" w:ascii="Times New Roman" w:hAnsi="Times New Roman" w:eastAsia="仿宋_GB2312" w:cs="Times New Roman"/>
          <w:b/>
          <w:sz w:val="32"/>
          <w:szCs w:val="32"/>
        </w:rPr>
      </w:pPr>
    </w:p>
    <w:p>
      <w:pPr>
        <w:ind w:firstLine="640" w:firstLineChars="0"/>
        <w:jc w:val="center"/>
        <w:outlineLvl w:val="2"/>
        <w:rPr>
          <w:rFonts w:hint="default" w:ascii="Times New Roman" w:hAnsi="Times New Roman" w:eastAsia="楷体_GB2312" w:cs="Times New Roman"/>
          <w:b/>
          <w:sz w:val="32"/>
          <w:szCs w:val="32"/>
        </w:rPr>
      </w:pPr>
      <w:bookmarkStart w:id="576" w:name="_Toc20130"/>
      <w:bookmarkStart w:id="577" w:name="_Toc19330"/>
      <w:r>
        <w:rPr>
          <w:rFonts w:hint="default" w:ascii="Times New Roman" w:hAnsi="Times New Roman" w:eastAsia="楷体_GB2312" w:cs="Times New Roman"/>
          <w:b/>
          <w:sz w:val="32"/>
          <w:szCs w:val="32"/>
        </w:rPr>
        <w:t>第</w:t>
      </w:r>
      <w:bookmarkEnd w:id="574"/>
      <w:bookmarkEnd w:id="575"/>
      <w:r>
        <w:rPr>
          <w:rFonts w:hint="default" w:ascii="Times New Roman" w:hAnsi="Times New Roman" w:eastAsia="楷体_GB2312" w:cs="Times New Roman"/>
          <w:b/>
          <w:sz w:val="32"/>
          <w:szCs w:val="32"/>
        </w:rPr>
        <w:t>一</w:t>
      </w:r>
      <w:bookmarkStart w:id="578" w:name="_Toc52366439"/>
      <w:r>
        <w:rPr>
          <w:rFonts w:hint="default" w:ascii="Times New Roman" w:hAnsi="Times New Roman" w:eastAsia="楷体_GB2312" w:cs="Times New Roman"/>
          <w:b/>
          <w:sz w:val="32"/>
          <w:szCs w:val="32"/>
        </w:rPr>
        <w:t>节</w:t>
      </w:r>
      <w:bookmarkStart w:id="579" w:name="_Toc3712"/>
      <w:bookmarkStart w:id="580" w:name="_Toc4041"/>
      <w:r>
        <w:rPr>
          <w:rFonts w:hint="default" w:ascii="Times New Roman" w:hAnsi="Times New Roman" w:eastAsia="楷体_GB2312" w:cs="Times New Roman"/>
          <w:b/>
          <w:sz w:val="32"/>
          <w:szCs w:val="32"/>
        </w:rPr>
        <w:t xml:space="preserve">  完善更加公平更可持续的社会保险制度</w:t>
      </w:r>
      <w:bookmarkEnd w:id="576"/>
      <w:bookmarkEnd w:id="577"/>
    </w:p>
    <w:p>
      <w:pPr>
        <w:adjustRightInd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w:t>
      </w:r>
      <w:bookmarkEnd w:id="578"/>
      <w:bookmarkEnd w:id="579"/>
      <w:bookmarkEnd w:id="580"/>
      <w:r>
        <w:rPr>
          <w:rFonts w:hint="default" w:ascii="Times New Roman" w:hAnsi="Times New Roman" w:eastAsia="仿宋_GB2312" w:cs="Times New Roman"/>
          <w:sz w:val="32"/>
          <w:szCs w:val="32"/>
        </w:rPr>
        <w:t>健全基金收支运行监测预警机制，落实重大事项报告制度，重点防范基金缺口风险，全力保障基金筹集拨付及时到位，确保“两金”按时足额发放。多渠道促进基金征缴，进一步加强社会保险政策宣传，努力实现全民参保；进一步利用“五证合一”信息平台，比对查询出榆树市内未参保企业，督促未参保企业及时参保。严格把控基金发放关口，坚决杜绝冒领养老金行为，严格办理退休人员待遇核定，充分应用防冒领数据共享新机制，通过上门认证、网上认证、手机APP认证等多方式创新开展待遇领取资格认证工作。通过加强业务技能培训，优化办事流程，精简办事手续等方式，确保工伤保险流畅运行，为全市职工提供优质工伤保险服务。依托社会保险一体化信息管理系统建设，不断提升服务能力，持续</w:t>
      </w:r>
      <w:bookmarkStart w:id="581" w:name="_Toc43882508"/>
      <w:bookmarkStart w:id="582" w:name="_Toc52366441"/>
      <w:r>
        <w:rPr>
          <w:rFonts w:hint="default" w:ascii="Times New Roman" w:hAnsi="Times New Roman" w:eastAsia="仿宋_GB2312" w:cs="Times New Roman"/>
          <w:sz w:val="32"/>
          <w:szCs w:val="32"/>
        </w:rPr>
        <w:t>推进“最多跑一次”改革，不断简化办事程序，缩短经办时间。</w:t>
      </w:r>
    </w:p>
    <w:p>
      <w:pPr>
        <w:ind w:firstLine="640" w:firstLineChars="0"/>
        <w:jc w:val="center"/>
        <w:outlineLvl w:val="2"/>
        <w:rPr>
          <w:rFonts w:hint="default" w:ascii="Times New Roman" w:hAnsi="Times New Roman" w:eastAsia="楷体_GB2312" w:cs="Times New Roman"/>
          <w:b/>
          <w:sz w:val="32"/>
          <w:szCs w:val="32"/>
        </w:rPr>
      </w:pPr>
      <w:bookmarkStart w:id="583" w:name="_Toc8599"/>
      <w:bookmarkStart w:id="584" w:name="_Toc22652"/>
      <w:r>
        <w:rPr>
          <w:rFonts w:hint="default" w:ascii="Times New Roman" w:hAnsi="Times New Roman" w:eastAsia="楷体_GB2312" w:cs="Times New Roman"/>
          <w:b/>
          <w:sz w:val="32"/>
          <w:szCs w:val="32"/>
        </w:rPr>
        <w:t>第二节</w:t>
      </w:r>
      <w:bookmarkStart w:id="585" w:name="_Toc24779"/>
      <w:bookmarkStart w:id="586" w:name="_Toc31324"/>
      <w:r>
        <w:rPr>
          <w:rFonts w:hint="default" w:ascii="Times New Roman" w:hAnsi="Times New Roman" w:eastAsia="楷体_GB2312" w:cs="Times New Roman"/>
          <w:b/>
          <w:sz w:val="32"/>
          <w:szCs w:val="32"/>
        </w:rPr>
        <w:t xml:space="preserve">  推动老龄事业全面协调可持续发展</w:t>
      </w:r>
      <w:bookmarkEnd w:id="583"/>
      <w:bookmarkEnd w:id="584"/>
    </w:p>
    <w:p>
      <w:pPr>
        <w:adjustRightInd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w:t>
      </w:r>
      <w:bookmarkEnd w:id="581"/>
      <w:bookmarkEnd w:id="582"/>
      <w:bookmarkEnd w:id="585"/>
      <w:bookmarkEnd w:id="586"/>
      <w:r>
        <w:rPr>
          <w:rFonts w:hint="default" w:ascii="Times New Roman" w:hAnsi="Times New Roman" w:eastAsia="仿宋_GB2312" w:cs="Times New Roman"/>
          <w:sz w:val="32"/>
          <w:szCs w:val="32"/>
        </w:rPr>
        <w:t>实施农村社会福利服务中心整合改造提升工程，推进南北卡岔河片区域福利中心建设。大力加强农村养老服务大院建设，2025年前建成数要达到村总数的80％。要深化养老机构标准化建设，开展养老服务质量建设专项行动。要加快推进医养结合服务，积极探索“文养结合”新模式，扎实推进养老机构服务功能和水平的提高。</w:t>
      </w:r>
    </w:p>
    <w:p>
      <w:pPr>
        <w:ind w:firstLine="640" w:firstLineChars="0"/>
        <w:jc w:val="center"/>
        <w:outlineLvl w:val="2"/>
        <w:rPr>
          <w:rFonts w:hint="default" w:ascii="Times New Roman" w:hAnsi="Times New Roman" w:eastAsia="楷体_GB2312" w:cs="Times New Roman"/>
          <w:b/>
          <w:sz w:val="32"/>
          <w:szCs w:val="32"/>
        </w:rPr>
      </w:pPr>
      <w:bookmarkStart w:id="587" w:name="_Toc26958"/>
      <w:bookmarkStart w:id="588" w:name="_Toc9104"/>
      <w:r>
        <w:rPr>
          <w:rFonts w:hint="default" w:ascii="Times New Roman" w:hAnsi="Times New Roman" w:eastAsia="楷体_GB2312" w:cs="Times New Roman"/>
          <w:b/>
          <w:sz w:val="32"/>
          <w:szCs w:val="32"/>
        </w:rPr>
        <w:t>第三节</w:t>
      </w:r>
      <w:bookmarkStart w:id="589" w:name="_Toc5507"/>
      <w:bookmarkStart w:id="590" w:name="_Toc26480"/>
      <w:r>
        <w:rPr>
          <w:rFonts w:hint="default" w:ascii="Times New Roman" w:hAnsi="Times New Roman" w:eastAsia="楷体_GB2312" w:cs="Times New Roman"/>
          <w:b/>
          <w:sz w:val="32"/>
          <w:szCs w:val="32"/>
        </w:rPr>
        <w:t xml:space="preserve">  加强退役军人事务管理</w:t>
      </w:r>
      <w:bookmarkEnd w:id="587"/>
      <w:bookmarkEnd w:id="588"/>
    </w:p>
    <w:p>
      <w:pPr>
        <w:adjustRightInd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w:t>
      </w:r>
      <w:bookmarkEnd w:id="589"/>
      <w:bookmarkEnd w:id="590"/>
      <w:r>
        <w:rPr>
          <w:rFonts w:hint="default" w:ascii="Times New Roman" w:hAnsi="Times New Roman" w:eastAsia="仿宋_GB2312" w:cs="Times New Roman"/>
          <w:sz w:val="32"/>
          <w:szCs w:val="32"/>
        </w:rPr>
        <w:t>步提高退役军人优抚保障水平，落实国家抚恤优待、移交安置、就业创业等政策，完善退役军人服务保障体系。推进“阳光安置”，做好配偶随军、子女入学、军人家庭走访等工作，消除军人备战打仗的后顾之忧。提质改造烈士陵园，提升光荣院集中供养、优惠和优待服务。积极创新“双拥”工作模式，借助“双拥”创建平台，广泛开展各类“双拥”活动，促进军民融合发展，巩固省级“双拥”模范城（县）创建成果。</w:t>
      </w:r>
    </w:p>
    <w:p>
      <w:pPr>
        <w:spacing w:line="240" w:lineRule="auto"/>
        <w:ind w:right="72" w:rightChars="24"/>
        <w:jc w:val="center"/>
        <w:outlineLvl w:val="9"/>
        <w:rPr>
          <w:rFonts w:hint="default" w:ascii="Times New Roman" w:hAnsi="Times New Roman" w:eastAsia="仿宋_GB2312" w:cs="Times New Roman"/>
          <w:b/>
          <w:bCs/>
          <w:sz w:val="32"/>
          <w:szCs w:val="32"/>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591" w:name="_Toc12530"/>
      <w:bookmarkStart w:id="592" w:name="_Toc1562"/>
      <w:r>
        <w:rPr>
          <w:rFonts w:hint="default" w:ascii="Times New Roman" w:hAnsi="Times New Roman" w:eastAsia="仿宋_GB2312" w:cs="Times New Roman"/>
          <w:b/>
          <w:bCs/>
          <w:sz w:val="32"/>
          <w:szCs w:val="32"/>
        </w:rPr>
        <w:t>第二十</w:t>
      </w:r>
      <w:bookmarkStart w:id="593" w:name="_Toc1301"/>
      <w:bookmarkStart w:id="594" w:name="_Toc5162"/>
      <w:r>
        <w:rPr>
          <w:rFonts w:hint="default" w:ascii="Times New Roman" w:hAnsi="Times New Roman" w:eastAsia="仿宋_GB2312" w:cs="Times New Roman"/>
          <w:b/>
          <w:bCs/>
          <w:sz w:val="32"/>
          <w:szCs w:val="32"/>
        </w:rPr>
        <w:t>七章  改善居民居住条</w:t>
      </w:r>
      <w:bookmarkStart w:id="595" w:name="_Hlt440998756"/>
      <w:r>
        <w:rPr>
          <w:rFonts w:hint="default" w:ascii="Times New Roman" w:hAnsi="Times New Roman" w:eastAsia="仿宋_GB2312" w:cs="Times New Roman"/>
          <w:b/>
          <w:bCs/>
          <w:sz w:val="32"/>
          <w:szCs w:val="32"/>
        </w:rPr>
        <w:t>件</w:t>
      </w:r>
      <w:bookmarkEnd w:id="591"/>
      <w:bookmarkEnd w:id="592"/>
      <w:bookmarkEnd w:id="595"/>
    </w:p>
    <w:p>
      <w:pPr>
        <w:adjustRightInd w:val="0"/>
        <w:spacing w:line="240" w:lineRule="auto"/>
        <w:ind w:firstLine="640" w:firstLineChars="200"/>
        <w:rPr>
          <w:rFonts w:hint="default" w:ascii="Times New Roman" w:hAnsi="Times New Roman" w:eastAsia="仿宋_GB2312" w:cs="Times New Roman"/>
          <w:sz w:val="32"/>
          <w:szCs w:val="32"/>
        </w:rPr>
      </w:pPr>
    </w:p>
    <w:p>
      <w:pPr>
        <w:adjustRightInd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着</w:t>
      </w:r>
      <w:bookmarkEnd w:id="593"/>
      <w:bookmarkEnd w:id="594"/>
      <w:r>
        <w:rPr>
          <w:rFonts w:hint="default" w:ascii="Times New Roman" w:hAnsi="Times New Roman" w:eastAsia="仿宋_GB2312" w:cs="Times New Roman"/>
          <w:sz w:val="32"/>
          <w:szCs w:val="32"/>
        </w:rPr>
        <w:t>力稳定商品房市场供应，持续健全房屋租赁市场功能，全面构建多层次保障房体系，优化提升住房标准居住品质。</w:t>
      </w:r>
    </w:p>
    <w:p>
      <w:pPr>
        <w:ind w:firstLine="640" w:firstLineChars="0"/>
        <w:jc w:val="center"/>
        <w:outlineLvl w:val="2"/>
        <w:rPr>
          <w:rFonts w:hint="default" w:ascii="Times New Roman" w:hAnsi="Times New Roman" w:eastAsia="仿宋_GB2312" w:cs="Times New Roman"/>
          <w:b/>
          <w:sz w:val="32"/>
          <w:szCs w:val="32"/>
        </w:rPr>
      </w:pPr>
      <w:bookmarkStart w:id="596" w:name="_Toc18330"/>
      <w:bookmarkStart w:id="597" w:name="_Toc23070"/>
      <w:r>
        <w:rPr>
          <w:rFonts w:hint="default" w:ascii="Times New Roman" w:hAnsi="Times New Roman" w:eastAsia="楷体_GB2312" w:cs="Times New Roman"/>
          <w:b/>
          <w:sz w:val="32"/>
          <w:szCs w:val="32"/>
        </w:rPr>
        <w:t>第一</w:t>
      </w:r>
      <w:bookmarkStart w:id="598" w:name="_Toc52366443"/>
      <w:r>
        <w:rPr>
          <w:rFonts w:hint="default" w:ascii="Times New Roman" w:hAnsi="Times New Roman" w:eastAsia="楷体_GB2312" w:cs="Times New Roman"/>
          <w:b/>
          <w:sz w:val="32"/>
          <w:szCs w:val="32"/>
        </w:rPr>
        <w:t>节</w:t>
      </w:r>
      <w:bookmarkStart w:id="599" w:name="_Toc24651"/>
      <w:bookmarkStart w:id="600" w:name="_Toc15967"/>
      <w:r>
        <w:rPr>
          <w:rFonts w:hint="default" w:ascii="Times New Roman" w:hAnsi="Times New Roman" w:eastAsia="楷体_GB2312" w:cs="Times New Roman"/>
          <w:b/>
          <w:sz w:val="32"/>
          <w:szCs w:val="32"/>
        </w:rPr>
        <w:t xml:space="preserve">  稳定商品房市场供应</w:t>
      </w:r>
      <w:bookmarkEnd w:id="596"/>
      <w:bookmarkEnd w:id="597"/>
    </w:p>
    <w:p>
      <w:pPr>
        <w:widowControl/>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做好</w:t>
      </w:r>
      <w:bookmarkEnd w:id="598"/>
      <w:bookmarkEnd w:id="599"/>
      <w:bookmarkEnd w:id="600"/>
      <w:r>
        <w:rPr>
          <w:rFonts w:hint="default" w:ascii="Times New Roman" w:hAnsi="Times New Roman" w:eastAsia="仿宋_GB2312" w:cs="Times New Roman"/>
          <w:kern w:val="0"/>
          <w:sz w:val="32"/>
          <w:szCs w:val="32"/>
        </w:rPr>
        <w:t>房地产市场调控，完善土地供应制度，有序推进土地供应，促进土地节约集约利用，加强商品房预销售许可管理，引导房地产开发企业理性定价。加大补贴力度，优化住房供应结构，有效对接多层次住房需求，加快培育规范住房租赁市场。到2025年，投资900万元，发放住房租赁补贴5000户。</w:t>
      </w:r>
    </w:p>
    <w:p>
      <w:pPr>
        <w:ind w:firstLine="640" w:firstLineChars="0"/>
        <w:jc w:val="center"/>
        <w:outlineLvl w:val="2"/>
        <w:rPr>
          <w:rFonts w:hint="default" w:ascii="Times New Roman" w:hAnsi="Times New Roman" w:eastAsia="楷体_GB2312" w:cs="Times New Roman"/>
          <w:b/>
          <w:sz w:val="32"/>
          <w:szCs w:val="32"/>
        </w:rPr>
      </w:pPr>
      <w:bookmarkStart w:id="601" w:name="_Toc22109"/>
      <w:bookmarkStart w:id="602" w:name="_Toc7451"/>
      <w:r>
        <w:rPr>
          <w:rFonts w:hint="default" w:ascii="Times New Roman" w:hAnsi="Times New Roman" w:eastAsia="楷体_GB2312" w:cs="Times New Roman"/>
          <w:b/>
          <w:sz w:val="32"/>
          <w:szCs w:val="32"/>
        </w:rPr>
        <w:t>第二</w:t>
      </w:r>
      <w:bookmarkStart w:id="603" w:name="_Toc52366445"/>
      <w:r>
        <w:rPr>
          <w:rFonts w:hint="default" w:ascii="Times New Roman" w:hAnsi="Times New Roman" w:eastAsia="楷体_GB2312" w:cs="Times New Roman"/>
          <w:b/>
          <w:sz w:val="32"/>
          <w:szCs w:val="32"/>
        </w:rPr>
        <w:t>节</w:t>
      </w:r>
      <w:bookmarkStart w:id="604" w:name="_Toc14955"/>
      <w:bookmarkStart w:id="605" w:name="_Toc9967"/>
      <w:r>
        <w:rPr>
          <w:rFonts w:hint="default" w:ascii="Times New Roman" w:hAnsi="Times New Roman" w:eastAsia="楷体_GB2312" w:cs="Times New Roman"/>
          <w:b/>
          <w:sz w:val="32"/>
          <w:szCs w:val="32"/>
        </w:rPr>
        <w:t xml:space="preserve">  构建多层次保障房体系</w:t>
      </w:r>
      <w:bookmarkEnd w:id="601"/>
      <w:bookmarkEnd w:id="602"/>
    </w:p>
    <w:p>
      <w:pPr>
        <w:widowControl/>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坚持</w:t>
      </w:r>
      <w:bookmarkEnd w:id="603"/>
      <w:bookmarkEnd w:id="604"/>
      <w:bookmarkEnd w:id="605"/>
      <w:r>
        <w:rPr>
          <w:rFonts w:hint="default" w:ascii="Times New Roman" w:hAnsi="Times New Roman" w:eastAsia="仿宋_GB2312" w:cs="Times New Roman"/>
          <w:kern w:val="0"/>
          <w:sz w:val="32"/>
          <w:szCs w:val="32"/>
        </w:rPr>
        <w:t>“产城融合”，加快重点功能区住房建设布局；坚持“城乡统筹”，推进集体经营性建设用地入市；结合交通站点，明确住宅建设时序和建设强度。构建多主体供给、多渠道保障、租购并举的多层次住房保障供应体系，实施保障性安居工程和人才住房保障工程，适当提高以公租房为主的保障性住房和以共有产权房为主的政策性住房比例，实现住房供需平衡、职住就近平衡。</w:t>
      </w:r>
    </w:p>
    <w:p>
      <w:pPr>
        <w:ind w:firstLine="640" w:firstLineChars="0"/>
        <w:jc w:val="center"/>
        <w:outlineLvl w:val="2"/>
        <w:rPr>
          <w:rFonts w:hint="default" w:ascii="Times New Roman" w:hAnsi="Times New Roman" w:eastAsia="楷体_GB2312" w:cs="Times New Roman"/>
          <w:b/>
          <w:sz w:val="32"/>
          <w:szCs w:val="32"/>
        </w:rPr>
      </w:pPr>
      <w:bookmarkStart w:id="606" w:name="_Toc30505"/>
      <w:bookmarkStart w:id="607" w:name="_Toc27040"/>
      <w:r>
        <w:rPr>
          <w:rFonts w:hint="default" w:ascii="Times New Roman" w:hAnsi="Times New Roman" w:eastAsia="楷体_GB2312" w:cs="Times New Roman"/>
          <w:b/>
          <w:sz w:val="32"/>
          <w:szCs w:val="32"/>
        </w:rPr>
        <w:t>第</w:t>
      </w:r>
      <w:bookmarkStart w:id="608" w:name="_Toc52366446"/>
      <w:r>
        <w:rPr>
          <w:rFonts w:hint="default" w:ascii="Times New Roman" w:hAnsi="Times New Roman" w:eastAsia="楷体_GB2312" w:cs="Times New Roman"/>
          <w:b/>
          <w:sz w:val="32"/>
          <w:szCs w:val="32"/>
        </w:rPr>
        <w:t>三节</w:t>
      </w:r>
      <w:bookmarkStart w:id="609" w:name="_Toc4144"/>
      <w:bookmarkStart w:id="610" w:name="_Toc27300"/>
      <w:r>
        <w:rPr>
          <w:rFonts w:hint="default" w:ascii="Times New Roman" w:hAnsi="Times New Roman" w:eastAsia="楷体_GB2312" w:cs="Times New Roman"/>
          <w:b/>
          <w:sz w:val="32"/>
          <w:szCs w:val="32"/>
        </w:rPr>
        <w:t xml:space="preserve">  大力提高住房品质</w:t>
      </w:r>
      <w:bookmarkEnd w:id="606"/>
      <w:bookmarkEnd w:id="607"/>
    </w:p>
    <w:p>
      <w:pPr>
        <w:widowControl/>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加强</w:t>
      </w:r>
      <w:bookmarkEnd w:id="608"/>
      <w:bookmarkEnd w:id="609"/>
      <w:bookmarkEnd w:id="610"/>
      <w:r>
        <w:rPr>
          <w:rFonts w:hint="default" w:ascii="Times New Roman" w:hAnsi="Times New Roman" w:eastAsia="仿宋_GB2312" w:cs="Times New Roman"/>
          <w:kern w:val="0"/>
          <w:sz w:val="32"/>
          <w:szCs w:val="32"/>
        </w:rPr>
        <w:t>居住区方案设计，建设尺度宜人的街区；提高住房建设标准，打造住房“百年品质”；加大棚户区改造力度，到2025年，完成改造城市棚户区7个区段，改造房屋2587户。推进老旧小区综合整治引入市场机制试点，如期完成老旧小区改造任务。</w:t>
      </w:r>
    </w:p>
    <w:p>
      <w:pPr>
        <w:spacing w:line="240" w:lineRule="auto"/>
        <w:ind w:right="72" w:rightChars="24"/>
        <w:jc w:val="center"/>
        <w:outlineLvl w:val="9"/>
        <w:rPr>
          <w:rFonts w:hint="default" w:ascii="Times New Roman" w:hAnsi="Times New Roman" w:eastAsia="仿宋_GB2312" w:cs="Times New Roman"/>
          <w:b/>
          <w:bCs/>
          <w:sz w:val="32"/>
          <w:szCs w:val="32"/>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611" w:name="_Toc6361"/>
      <w:bookmarkStart w:id="612" w:name="_Toc4262"/>
      <w:r>
        <w:rPr>
          <w:rFonts w:hint="default" w:ascii="Times New Roman" w:hAnsi="Times New Roman" w:eastAsia="仿宋_GB2312" w:cs="Times New Roman"/>
          <w:b/>
          <w:bCs/>
          <w:sz w:val="32"/>
          <w:szCs w:val="32"/>
        </w:rPr>
        <w:t>第二十</w:t>
      </w:r>
      <w:bookmarkStart w:id="613" w:name="_Toc14153"/>
      <w:bookmarkStart w:id="614" w:name="_Toc17253"/>
      <w:r>
        <w:rPr>
          <w:rFonts w:hint="default" w:ascii="Times New Roman" w:hAnsi="Times New Roman" w:eastAsia="仿宋_GB2312" w:cs="Times New Roman"/>
          <w:b/>
          <w:bCs/>
          <w:sz w:val="32"/>
          <w:szCs w:val="32"/>
        </w:rPr>
        <w:t>八章  繁荣文化体育事业</w:t>
      </w:r>
      <w:bookmarkEnd w:id="611"/>
      <w:bookmarkEnd w:id="612"/>
    </w:p>
    <w:p>
      <w:pPr>
        <w:adjustRightInd w:val="0"/>
        <w:spacing w:line="240" w:lineRule="auto"/>
        <w:ind w:firstLine="640" w:firstLineChars="200"/>
        <w:rPr>
          <w:rFonts w:hint="default" w:ascii="Times New Roman" w:hAnsi="Times New Roman" w:eastAsia="仿宋_GB2312" w:cs="Times New Roman"/>
          <w:sz w:val="32"/>
          <w:szCs w:val="32"/>
        </w:rPr>
      </w:pPr>
    </w:p>
    <w:p>
      <w:pPr>
        <w:adjustRightInd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w:t>
      </w:r>
      <w:bookmarkEnd w:id="613"/>
      <w:bookmarkEnd w:id="614"/>
      <w:r>
        <w:rPr>
          <w:rFonts w:hint="default" w:ascii="Times New Roman" w:hAnsi="Times New Roman" w:eastAsia="仿宋_GB2312" w:cs="Times New Roman"/>
          <w:sz w:val="32"/>
          <w:szCs w:val="32"/>
        </w:rPr>
        <w:t>极营造以文育人的浓厚氛围，提升居民生活幸福感，全面展示整体价值，彰显榆树文化魅力，积极打造“文化强市”。坚持体</w:t>
      </w:r>
      <w:bookmarkStart w:id="615" w:name="_Toc52366435"/>
      <w:r>
        <w:rPr>
          <w:rFonts w:hint="default" w:ascii="Times New Roman" w:hAnsi="Times New Roman" w:eastAsia="仿宋_GB2312" w:cs="Times New Roman"/>
          <w:sz w:val="32"/>
          <w:szCs w:val="32"/>
        </w:rPr>
        <w:t>育服务民生，体育凝聚民心，大力推广全民健身运动，不断提升城市体育影响力。</w:t>
      </w:r>
    </w:p>
    <w:p>
      <w:pPr>
        <w:ind w:firstLine="640" w:firstLineChars="0"/>
        <w:jc w:val="center"/>
        <w:outlineLvl w:val="2"/>
        <w:rPr>
          <w:rFonts w:hint="default" w:ascii="Times New Roman" w:hAnsi="Times New Roman" w:eastAsia="楷体_GB2312" w:cs="Times New Roman"/>
          <w:b/>
          <w:sz w:val="32"/>
          <w:szCs w:val="32"/>
        </w:rPr>
      </w:pPr>
      <w:bookmarkStart w:id="616" w:name="_Toc6527"/>
      <w:bookmarkStart w:id="617" w:name="_Toc23238"/>
      <w:r>
        <w:rPr>
          <w:rFonts w:hint="default" w:ascii="Times New Roman" w:hAnsi="Times New Roman" w:eastAsia="楷体_GB2312" w:cs="Times New Roman"/>
          <w:b/>
          <w:sz w:val="32"/>
          <w:szCs w:val="32"/>
        </w:rPr>
        <w:t>第一节</w:t>
      </w:r>
      <w:bookmarkStart w:id="618" w:name="_Toc10597"/>
      <w:bookmarkStart w:id="619" w:name="_Toc6712"/>
      <w:r>
        <w:rPr>
          <w:rFonts w:hint="default" w:ascii="Times New Roman" w:hAnsi="Times New Roman" w:eastAsia="楷体_GB2312" w:cs="Times New Roman"/>
          <w:b/>
          <w:sz w:val="32"/>
          <w:szCs w:val="32"/>
        </w:rPr>
        <w:t xml:space="preserve">  加强文</w:t>
      </w:r>
      <w:bookmarkEnd w:id="615"/>
      <w:bookmarkStart w:id="620" w:name="_Toc52366430"/>
      <w:bookmarkStart w:id="621" w:name="_Toc43882491"/>
      <w:r>
        <w:rPr>
          <w:rFonts w:hint="default" w:ascii="Times New Roman" w:hAnsi="Times New Roman" w:eastAsia="楷体_GB2312" w:cs="Times New Roman"/>
          <w:b/>
          <w:sz w:val="32"/>
          <w:szCs w:val="32"/>
        </w:rPr>
        <w:t>体设施建设</w:t>
      </w:r>
      <w:bookmarkEnd w:id="616"/>
      <w:bookmarkEnd w:id="617"/>
    </w:p>
    <w:p>
      <w:pPr>
        <w:adjustRightInd w:val="0"/>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大力</w:t>
      </w:r>
      <w:bookmarkEnd w:id="618"/>
      <w:bookmarkEnd w:id="619"/>
      <w:r>
        <w:rPr>
          <w:rFonts w:hint="default" w:ascii="Times New Roman" w:hAnsi="Times New Roman" w:eastAsia="仿宋_GB2312" w:cs="Times New Roman"/>
          <w:sz w:val="32"/>
          <w:szCs w:val="32"/>
        </w:rPr>
        <w:t>推进全民健身设施升级改造，谋划建设大型综合体育场馆，重点推动市全民健身馆新建项目建设。鼓励和支持利用腾退空间、旧厂房、仓库、老旧商业设施、城市广场、公园绿地、河堤绿道等资源建设便民健身设施，重点推动榆树东部城区1.7万平方米的健身广场器材配建和安装工程。对乡镇健身广场升档进级，完成24个乡镇大型综合健身广场建设。加强融媒体中心建设，推进智慧广电，做好“媒体+”服务，实施“安全播出”工程。到2025年，全市行政村文化小广场及乡村全民健身路径安装全覆盖。</w:t>
      </w:r>
    </w:p>
    <w:p>
      <w:pPr>
        <w:ind w:firstLine="640" w:firstLineChars="0"/>
        <w:jc w:val="center"/>
        <w:outlineLvl w:val="2"/>
        <w:rPr>
          <w:rFonts w:hint="default" w:ascii="Times New Roman" w:hAnsi="Times New Roman" w:eastAsia="仿宋_GB2312" w:cs="Times New Roman"/>
          <w:b/>
          <w:sz w:val="32"/>
          <w:szCs w:val="32"/>
        </w:rPr>
      </w:pPr>
      <w:bookmarkStart w:id="622" w:name="_Toc20637"/>
      <w:bookmarkStart w:id="623" w:name="_Toc20478"/>
      <w:r>
        <w:rPr>
          <w:rFonts w:hint="default" w:ascii="Times New Roman" w:hAnsi="Times New Roman" w:eastAsia="楷体_GB2312" w:cs="Times New Roman"/>
          <w:b/>
          <w:sz w:val="32"/>
          <w:szCs w:val="32"/>
        </w:rPr>
        <w:t>第二节</w:t>
      </w:r>
      <w:bookmarkStart w:id="624" w:name="_Toc24824"/>
      <w:bookmarkStart w:id="625" w:name="_Toc9798"/>
      <w:r>
        <w:rPr>
          <w:rFonts w:hint="default" w:ascii="Times New Roman" w:hAnsi="Times New Roman" w:eastAsia="楷体_GB2312" w:cs="Times New Roman"/>
          <w:b/>
          <w:sz w:val="32"/>
          <w:szCs w:val="32"/>
        </w:rPr>
        <w:t xml:space="preserve">  加快“</w:t>
      </w:r>
      <w:bookmarkEnd w:id="620"/>
      <w:bookmarkEnd w:id="621"/>
      <w:bookmarkStart w:id="626" w:name="_Toc43882493"/>
      <w:bookmarkStart w:id="627" w:name="_Toc52366432"/>
      <w:r>
        <w:rPr>
          <w:rFonts w:hint="default" w:ascii="Times New Roman" w:hAnsi="Times New Roman" w:eastAsia="楷体_GB2312" w:cs="Times New Roman"/>
          <w:b/>
          <w:sz w:val="32"/>
          <w:szCs w:val="32"/>
        </w:rPr>
        <w:t>四馆”提档升级建设</w:t>
      </w:r>
      <w:bookmarkEnd w:id="622"/>
      <w:bookmarkEnd w:id="623"/>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重点</w:t>
      </w:r>
      <w:bookmarkEnd w:id="624"/>
      <w:bookmarkEnd w:id="625"/>
      <w:r>
        <w:rPr>
          <w:rFonts w:hint="default" w:ascii="Times New Roman" w:hAnsi="Times New Roman" w:eastAsia="仿宋_GB2312" w:cs="Times New Roman"/>
          <w:sz w:val="32"/>
          <w:szCs w:val="32"/>
        </w:rPr>
        <w:t>谋划市文化馆、博物馆、图书馆新馆建设工作，进一步完善档案馆功能，切实提升“四馆”数字化水平，推动文化基础设施提质升级。加强市文化馆、市博物馆、市图书馆、市档案馆等公共文化服务场所免费开放工作，深入开展文化下基层志愿服务活动。市文化馆年均开展“送演出下基层”演出活动100场次以上；市博物馆提升榆树文物保护力度，加强爱国主义教育和红色历史文化保护工作；市图书馆常态化开展“小小朗读者”等系列活动，推动全民提升阅读水平；市档案馆充分发挥爱国主义教育基地作用。到2025年，争取把市文化馆建成国家一级文化馆，市博物馆新馆晋升为国家三级博物馆，市图书馆评定为国家三级图书馆并力争成为国家二级图书馆。</w:t>
      </w:r>
    </w:p>
    <w:p>
      <w:pPr>
        <w:keepNext w:val="0"/>
        <w:keepLines w:val="0"/>
        <w:pageBreakBefore w:val="0"/>
        <w:widowControl w:val="0"/>
        <w:kinsoku/>
        <w:wordWrap/>
        <w:overflowPunct/>
        <w:topLinePunct w:val="0"/>
        <w:autoSpaceDE/>
        <w:autoSpaceDN/>
        <w:bidi w:val="0"/>
        <w:snapToGrid w:val="0"/>
        <w:spacing w:line="580" w:lineRule="exact"/>
        <w:ind w:firstLine="640" w:firstLineChars="0"/>
        <w:jc w:val="center"/>
        <w:textAlignment w:val="auto"/>
        <w:outlineLvl w:val="2"/>
        <w:rPr>
          <w:rFonts w:hint="default" w:ascii="Times New Roman" w:hAnsi="Times New Roman" w:eastAsia="楷体_GB2312" w:cs="Times New Roman"/>
          <w:b/>
          <w:sz w:val="32"/>
          <w:szCs w:val="32"/>
        </w:rPr>
      </w:pPr>
      <w:bookmarkStart w:id="628" w:name="_Toc508"/>
      <w:bookmarkStart w:id="629" w:name="_Toc382"/>
      <w:r>
        <w:rPr>
          <w:rFonts w:hint="default" w:ascii="Times New Roman" w:hAnsi="Times New Roman" w:eastAsia="楷体_GB2312" w:cs="Times New Roman"/>
          <w:b/>
          <w:sz w:val="32"/>
          <w:szCs w:val="32"/>
        </w:rPr>
        <w:t>第三节</w:t>
      </w:r>
      <w:bookmarkStart w:id="630" w:name="_Toc30017"/>
      <w:bookmarkStart w:id="631" w:name="_Toc1080"/>
      <w:r>
        <w:rPr>
          <w:rFonts w:hint="default" w:ascii="Times New Roman" w:hAnsi="Times New Roman" w:eastAsia="楷体_GB2312" w:cs="Times New Roman"/>
          <w:b/>
          <w:sz w:val="32"/>
          <w:szCs w:val="32"/>
        </w:rPr>
        <w:t xml:space="preserve">  深入实施文体惠民工程</w:t>
      </w:r>
      <w:bookmarkEnd w:id="628"/>
      <w:bookmarkEnd w:id="629"/>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w:t>
      </w:r>
      <w:bookmarkEnd w:id="630"/>
      <w:bookmarkEnd w:id="631"/>
      <w:r>
        <w:rPr>
          <w:rFonts w:hint="default" w:ascii="Times New Roman" w:hAnsi="Times New Roman" w:eastAsia="仿宋_GB2312" w:cs="Times New Roman"/>
          <w:sz w:val="32"/>
          <w:szCs w:val="32"/>
        </w:rPr>
        <w:t>开展“玩冰踏雪·多彩冬日”和“健康生活·悦动吉林”冬夏两大系列活动。大力推进送文化下基层，指导各乡镇、文体协会分别开展大型文体活动3次以上，举办具有地方特色的全民健身、文体赛事活动60次左右。提高竞技体育运动水平，增设3处业余体校网点校，加大举重、速滑、足球等重点项目教练员培训、运动员选拔力度。加强对文化体育骨干、文化志愿者、社会体育指导员的培训，每年达到700人次以上。</w:t>
      </w:r>
    </w:p>
    <w:p>
      <w:pPr>
        <w:keepNext w:val="0"/>
        <w:keepLines w:val="0"/>
        <w:pageBreakBefore w:val="0"/>
        <w:widowControl w:val="0"/>
        <w:kinsoku/>
        <w:wordWrap/>
        <w:overflowPunct/>
        <w:topLinePunct w:val="0"/>
        <w:autoSpaceDE/>
        <w:autoSpaceDN/>
        <w:bidi w:val="0"/>
        <w:snapToGrid w:val="0"/>
        <w:spacing w:line="580" w:lineRule="exact"/>
        <w:ind w:firstLine="640" w:firstLineChars="0"/>
        <w:jc w:val="center"/>
        <w:textAlignment w:val="auto"/>
        <w:outlineLvl w:val="2"/>
        <w:rPr>
          <w:rFonts w:hint="default" w:ascii="Times New Roman" w:hAnsi="Times New Roman" w:eastAsia="楷体_GB2312" w:cs="Times New Roman"/>
          <w:b/>
          <w:sz w:val="32"/>
          <w:szCs w:val="32"/>
        </w:rPr>
      </w:pPr>
      <w:bookmarkStart w:id="632" w:name="_Toc10202"/>
      <w:bookmarkStart w:id="633" w:name="_Toc20927"/>
      <w:r>
        <w:rPr>
          <w:rFonts w:hint="default" w:ascii="Times New Roman" w:hAnsi="Times New Roman" w:eastAsia="楷体_GB2312" w:cs="Times New Roman"/>
          <w:b/>
          <w:sz w:val="32"/>
          <w:szCs w:val="32"/>
        </w:rPr>
        <w:t>第四节</w:t>
      </w:r>
      <w:bookmarkStart w:id="634" w:name="_Toc14797"/>
      <w:bookmarkStart w:id="635" w:name="_Toc26745"/>
      <w:r>
        <w:rPr>
          <w:rFonts w:hint="default" w:ascii="Times New Roman" w:hAnsi="Times New Roman" w:eastAsia="楷体_GB2312" w:cs="Times New Roman"/>
          <w:b/>
          <w:sz w:val="32"/>
          <w:szCs w:val="32"/>
        </w:rPr>
        <w:t xml:space="preserve">  严格文</w:t>
      </w:r>
      <w:bookmarkEnd w:id="626"/>
      <w:bookmarkEnd w:id="627"/>
      <w:bookmarkStart w:id="636" w:name="_Toc43882494"/>
      <w:bookmarkStart w:id="637" w:name="_Toc52366433"/>
      <w:r>
        <w:rPr>
          <w:rFonts w:hint="default" w:ascii="Times New Roman" w:hAnsi="Times New Roman" w:eastAsia="楷体_GB2312" w:cs="Times New Roman"/>
          <w:b/>
          <w:sz w:val="32"/>
          <w:szCs w:val="32"/>
        </w:rPr>
        <w:t>化市场管理</w:t>
      </w:r>
      <w:bookmarkEnd w:id="632"/>
      <w:bookmarkEnd w:id="633"/>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严把</w:t>
      </w:r>
      <w:bookmarkEnd w:id="634"/>
      <w:bookmarkEnd w:id="635"/>
      <w:r>
        <w:rPr>
          <w:rFonts w:hint="default" w:ascii="Times New Roman" w:hAnsi="Times New Roman" w:eastAsia="仿宋_GB2312" w:cs="Times New Roman"/>
          <w:sz w:val="32"/>
          <w:szCs w:val="32"/>
        </w:rPr>
        <w:t>文化市场行政审批关，深入开展文化市场乱象整治活动，净化文化市场经营环境，开展打击违法网络视听行为专项行动。加强对校园及周边文化市场的管理，实施清源、固边、净网、秋风、护苗等专项行动，保护未成年人健康成长。</w:t>
      </w:r>
    </w:p>
    <w:p>
      <w:pPr>
        <w:spacing w:after="410" w:afterLines="100"/>
        <w:ind w:firstLine="0"/>
        <w:jc w:val="center"/>
        <w:outlineLvl w:val="0"/>
        <w:rPr>
          <w:rFonts w:hint="default" w:ascii="Times New Roman" w:hAnsi="Times New Roman" w:eastAsia="宋体" w:cs="Times New Roman"/>
          <w:b/>
          <w:bCs/>
          <w:sz w:val="32"/>
          <w:szCs w:val="32"/>
        </w:rPr>
      </w:pPr>
      <w:r>
        <w:rPr>
          <w:rFonts w:hint="default" w:ascii="Times New Roman" w:hAnsi="Times New Roman" w:eastAsia="仿宋_GB2312" w:cs="Times New Roman"/>
          <w:b/>
          <w:bCs/>
          <w:sz w:val="32"/>
          <w:szCs w:val="32"/>
        </w:rPr>
        <w:br w:type="page"/>
      </w:r>
      <w:bookmarkStart w:id="638" w:name="_Toc5819"/>
      <w:bookmarkStart w:id="639" w:name="_Toc8500"/>
      <w:r>
        <w:rPr>
          <w:rFonts w:hint="default" w:ascii="Times New Roman" w:hAnsi="Times New Roman" w:eastAsia="黑体" w:cs="Times New Roman"/>
          <w:b w:val="0"/>
          <w:bCs w:val="0"/>
          <w:sz w:val="32"/>
          <w:szCs w:val="32"/>
        </w:rPr>
        <w:t>第</w:t>
      </w:r>
      <w:bookmarkEnd w:id="636"/>
      <w:bookmarkEnd w:id="637"/>
      <w:r>
        <w:rPr>
          <w:rFonts w:hint="default" w:ascii="Times New Roman" w:hAnsi="Times New Roman" w:eastAsia="黑体" w:cs="Times New Roman"/>
          <w:sz w:val="32"/>
          <w:szCs w:val="32"/>
        </w:rPr>
        <w:t>十</w:t>
      </w:r>
      <w:bookmarkStart w:id="640" w:name="_Toc30431"/>
      <w:bookmarkStart w:id="641" w:name="_Toc6155"/>
      <w:bookmarkStart w:id="642" w:name="_Toc3555"/>
      <w:r>
        <w:rPr>
          <w:rFonts w:hint="default" w:ascii="Times New Roman" w:hAnsi="Times New Roman" w:eastAsia="黑体" w:cs="Times New Roman"/>
          <w:b w:val="0"/>
          <w:bCs w:val="0"/>
          <w:sz w:val="32"/>
          <w:szCs w:val="32"/>
        </w:rPr>
        <w:t xml:space="preserve">篇  </w:t>
      </w:r>
      <w:r>
        <w:rPr>
          <w:rFonts w:hint="default" w:ascii="Times New Roman" w:hAnsi="Times New Roman" w:eastAsia="黑体" w:cs="Times New Roman"/>
          <w:sz w:val="32"/>
          <w:szCs w:val="32"/>
        </w:rPr>
        <w:t>注重凝心聚力</w:t>
      </w:r>
      <w:r>
        <w:rPr>
          <w:rFonts w:hint="default" w:ascii="Times New Roman" w:hAnsi="Times New Roman" w:eastAsia="黑体" w:cs="Times New Roman"/>
          <w:b w:val="0"/>
          <w:bCs w:val="0"/>
          <w:sz w:val="32"/>
          <w:szCs w:val="32"/>
        </w:rPr>
        <w:t xml:space="preserve">  </w:t>
      </w:r>
      <w:r>
        <w:rPr>
          <w:rFonts w:hint="default" w:ascii="Times New Roman" w:hAnsi="Times New Roman" w:eastAsia="黑体" w:cs="Times New Roman"/>
          <w:sz w:val="32"/>
          <w:szCs w:val="32"/>
        </w:rPr>
        <w:t>保障</w:t>
      </w:r>
      <w:r>
        <w:rPr>
          <w:rFonts w:hint="default" w:ascii="Times New Roman" w:hAnsi="Times New Roman" w:eastAsia="黑体" w:cs="Times New Roman"/>
          <w:b w:val="0"/>
          <w:bCs w:val="0"/>
          <w:sz w:val="32"/>
          <w:szCs w:val="32"/>
        </w:rPr>
        <w:t>规划</w:t>
      </w:r>
      <w:r>
        <w:rPr>
          <w:rFonts w:hint="default" w:ascii="Times New Roman" w:hAnsi="Times New Roman" w:eastAsia="黑体" w:cs="Times New Roman"/>
          <w:sz w:val="32"/>
          <w:szCs w:val="32"/>
        </w:rPr>
        <w:t>顺利</w:t>
      </w:r>
      <w:r>
        <w:rPr>
          <w:rFonts w:hint="default" w:ascii="Times New Roman" w:hAnsi="Times New Roman" w:eastAsia="黑体" w:cs="Times New Roman"/>
          <w:b w:val="0"/>
          <w:bCs w:val="0"/>
          <w:sz w:val="32"/>
          <w:szCs w:val="32"/>
        </w:rPr>
        <w:t>实施</w:t>
      </w:r>
      <w:bookmarkEnd w:id="638"/>
      <w:bookmarkEnd w:id="639"/>
    </w:p>
    <w:bookmarkEnd w:id="640"/>
    <w:bookmarkEnd w:id="641"/>
    <w:bookmarkEnd w:id="642"/>
    <w:p>
      <w:pPr>
        <w:pStyle w:val="2"/>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推动各项重大战略和任务落实，实现“十四五”规划确定的发展目标，不断完善规划实施机制，健全规划实施保障体系，加强考核监督，动员</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引导全社会力量共同实现未来五年发展蓝图。</w:t>
      </w:r>
    </w:p>
    <w:p>
      <w:pPr>
        <w:spacing w:before="410" w:beforeLines="100" w:after="410" w:afterLines="100" w:line="360" w:lineRule="auto"/>
        <w:ind w:right="72" w:rightChars="24"/>
        <w:jc w:val="center"/>
        <w:outlineLvl w:val="1"/>
        <w:rPr>
          <w:rFonts w:hint="default" w:ascii="Times New Roman" w:hAnsi="Times New Roman" w:eastAsia="仿宋_GB2312" w:cs="Times New Roman"/>
          <w:b/>
          <w:bCs/>
          <w:sz w:val="32"/>
          <w:szCs w:val="32"/>
        </w:rPr>
      </w:pPr>
      <w:bookmarkStart w:id="643" w:name="_Toc15723"/>
      <w:bookmarkStart w:id="644" w:name="_Toc26314"/>
      <w:r>
        <w:rPr>
          <w:rFonts w:hint="default" w:ascii="Times New Roman" w:hAnsi="Times New Roman" w:eastAsia="仿宋_GB2312" w:cs="Times New Roman"/>
          <w:b/>
          <w:bCs/>
          <w:sz w:val="32"/>
          <w:szCs w:val="32"/>
        </w:rPr>
        <w:t>第二十</w:t>
      </w:r>
      <w:bookmarkStart w:id="645" w:name="_Toc505"/>
      <w:bookmarkStart w:id="646" w:name="_Toc12947"/>
      <w:r>
        <w:rPr>
          <w:rFonts w:hint="default" w:ascii="Times New Roman" w:hAnsi="Times New Roman" w:eastAsia="仿宋_GB2312" w:cs="Times New Roman"/>
          <w:b/>
          <w:bCs/>
          <w:sz w:val="32"/>
          <w:szCs w:val="32"/>
        </w:rPr>
        <w:t>九章  坚持党的集中统一领导</w:t>
      </w:r>
      <w:bookmarkEnd w:id="643"/>
      <w:bookmarkEnd w:id="644"/>
    </w:p>
    <w:bookmarkEnd w:id="645"/>
    <w:bookmarkEnd w:id="646"/>
    <w:p>
      <w:pPr>
        <w:pStyle w:val="2"/>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坚持</w:t>
      </w:r>
      <w:r>
        <w:rPr>
          <w:rFonts w:hint="default" w:ascii="Times New Roman" w:hAnsi="Times New Roman" w:eastAsia="仿宋_GB2312" w:cs="Times New Roman"/>
          <w:sz w:val="32"/>
          <w:szCs w:val="32"/>
        </w:rPr>
        <w:t>党总揽全局、协调各方，发挥各级党组织在经济社会发展中的领导核心作用。加强党的各级组织建设，强化基层党组织整体功能，发挥战斗堡垒作用和党员先锋模范作用，更好带领群众推动榆树全面振兴全方位振兴。落实全面从严治党要求，加强党风廉政建设和反腐败工作，为经济社会发展营造良好的政治生态。加强党的理论教育和党性教育，建设高素质专业业干部队伍。全面贯彻党的群众路线，创新群众工作方式方法，注重发挥工会、妇联等群</w:t>
      </w:r>
      <w:r>
        <w:rPr>
          <w:rFonts w:hint="eastAsia"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rPr>
        <w:t>组织作用。坚持党管青年原则，整合各部门资源，建立青年发展规划局际联席会议制度，推进中共吉林省委、吉林省人民政府印发的《吉林省中长期青年发展规划（2018-2025年）》在本地落实。巩固和发展最广泛的爱国统一战线，全面落实党的民族、宗教、侨务等政策，充分发挥民主党派、工商联和无党派人士作用，激发公民的主人翁意识，最大限度凝聚全社会推进改革发展、维护社会稳定的共识和力量。</w:t>
      </w:r>
    </w:p>
    <w:p>
      <w:pPr>
        <w:spacing w:before="206" w:beforeLines="50" w:after="206" w:afterLines="50" w:line="360" w:lineRule="auto"/>
        <w:ind w:right="72" w:rightChars="24"/>
        <w:jc w:val="center"/>
        <w:outlineLvl w:val="1"/>
        <w:rPr>
          <w:rFonts w:hint="default" w:ascii="Times New Roman" w:hAnsi="Times New Roman" w:eastAsia="仿宋_GB2312" w:cs="Times New Roman"/>
          <w:b/>
          <w:bCs/>
          <w:sz w:val="32"/>
          <w:szCs w:val="32"/>
        </w:rPr>
      </w:pPr>
      <w:bookmarkStart w:id="647" w:name="_Toc27032"/>
      <w:bookmarkStart w:id="648" w:name="_Toc25555"/>
      <w:r>
        <w:rPr>
          <w:rFonts w:hint="default" w:ascii="Times New Roman" w:hAnsi="Times New Roman" w:eastAsia="仿宋_GB2312" w:cs="Times New Roman"/>
          <w:b/>
          <w:bCs/>
          <w:sz w:val="32"/>
          <w:szCs w:val="32"/>
        </w:rPr>
        <w:t>第三十</w:t>
      </w:r>
      <w:bookmarkStart w:id="649" w:name="_Toc9071"/>
      <w:bookmarkStart w:id="650" w:name="_Toc12912"/>
      <w:r>
        <w:rPr>
          <w:rFonts w:hint="default" w:ascii="Times New Roman" w:hAnsi="Times New Roman" w:eastAsia="仿宋_GB2312" w:cs="Times New Roman"/>
          <w:b/>
          <w:bCs/>
          <w:sz w:val="32"/>
          <w:szCs w:val="32"/>
        </w:rPr>
        <w:t>章  完善规划实施机制</w:t>
      </w:r>
      <w:bookmarkEnd w:id="647"/>
      <w:bookmarkEnd w:id="64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w:t>
      </w:r>
      <w:bookmarkEnd w:id="649"/>
      <w:bookmarkEnd w:id="650"/>
      <w:r>
        <w:rPr>
          <w:rFonts w:hint="default" w:ascii="Times New Roman" w:hAnsi="Times New Roman" w:eastAsia="仿宋_GB2312" w:cs="Times New Roman"/>
          <w:sz w:val="32"/>
          <w:szCs w:val="32"/>
        </w:rPr>
        <w:t>化全市国民经济和社会发展总体规划的引导地位，市（县）级专项规划和镇（街）规划要切实贯彻全市总体规划的战略意图和主要任务，加强与总体规划各项指标的衔接。以国民经济和社会发展规划为依据，突出主体功能区规划的总控性地位，探索推行主体功能区规划、城乡规划、土地利用规划、环保规划等各类空间规划“多规合一”。探索推进各级经济社会发展规划改革创新，统筹推动全市空间“一张图”管理。</w:t>
      </w:r>
    </w:p>
    <w:p>
      <w:pPr>
        <w:pStyle w:val="2"/>
        <w:spacing w:line="240" w:lineRule="auto"/>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651" w:name="_Toc994"/>
      <w:bookmarkStart w:id="652" w:name="_Toc22574"/>
      <w:r>
        <w:rPr>
          <w:rFonts w:hint="default" w:ascii="Times New Roman" w:hAnsi="Times New Roman" w:eastAsia="仿宋_GB2312" w:cs="Times New Roman"/>
          <w:b/>
          <w:bCs/>
          <w:sz w:val="32"/>
          <w:szCs w:val="32"/>
        </w:rPr>
        <w:t>第三十</w:t>
      </w:r>
      <w:bookmarkStart w:id="653" w:name="_Toc6917"/>
      <w:bookmarkStart w:id="654" w:name="_Toc8620"/>
      <w:r>
        <w:rPr>
          <w:rFonts w:hint="default" w:ascii="Times New Roman" w:hAnsi="Times New Roman" w:eastAsia="仿宋_GB2312" w:cs="Times New Roman"/>
          <w:b/>
          <w:bCs/>
          <w:sz w:val="32"/>
          <w:szCs w:val="32"/>
        </w:rPr>
        <w:t>一章  强化政策扶持引导</w:t>
      </w:r>
      <w:bookmarkEnd w:id="651"/>
      <w:bookmarkEnd w:id="652"/>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w:t>
      </w:r>
      <w:bookmarkEnd w:id="653"/>
      <w:bookmarkEnd w:id="654"/>
      <w:r>
        <w:rPr>
          <w:rFonts w:hint="default" w:ascii="Times New Roman" w:hAnsi="Times New Roman" w:eastAsia="仿宋_GB2312" w:cs="Times New Roman"/>
          <w:sz w:val="32"/>
          <w:szCs w:val="32"/>
        </w:rPr>
        <w:t>化政策引导和要素保障，制定规划年度实施方案，建立保障规划实施的长效机制。</w:t>
      </w:r>
    </w:p>
    <w:p>
      <w:pPr>
        <w:ind w:right="72" w:rightChars="24" w:firstLine="0"/>
        <w:jc w:val="center"/>
        <w:outlineLvl w:val="2"/>
        <w:rPr>
          <w:rFonts w:hint="default" w:ascii="Times New Roman" w:hAnsi="Times New Roman" w:eastAsia="楷体_GB2312" w:cs="Times New Roman"/>
          <w:b/>
          <w:bCs/>
          <w:sz w:val="32"/>
          <w:szCs w:val="32"/>
        </w:rPr>
      </w:pPr>
      <w:bookmarkStart w:id="655" w:name="_Toc4706"/>
      <w:bookmarkStart w:id="656" w:name="_Toc468"/>
      <w:r>
        <w:rPr>
          <w:rFonts w:hint="default" w:ascii="Times New Roman" w:hAnsi="Times New Roman" w:eastAsia="楷体_GB2312" w:cs="Times New Roman"/>
          <w:b/>
          <w:bCs/>
          <w:sz w:val="32"/>
          <w:szCs w:val="32"/>
        </w:rPr>
        <w:t>第一节</w:t>
      </w:r>
      <w:bookmarkStart w:id="657" w:name="_Toc24822"/>
      <w:bookmarkStart w:id="658" w:name="_Toc439867208"/>
      <w:bookmarkStart w:id="659" w:name="_Toc435692160"/>
      <w:bookmarkStart w:id="660" w:name="_Toc12354"/>
      <w:bookmarkStart w:id="661" w:name="_Toc439867100"/>
      <w:r>
        <w:rPr>
          <w:rFonts w:hint="default" w:ascii="Times New Roman" w:hAnsi="Times New Roman" w:eastAsia="楷体_GB2312" w:cs="Times New Roman"/>
          <w:b/>
          <w:bCs/>
          <w:sz w:val="32"/>
          <w:szCs w:val="32"/>
        </w:rPr>
        <w:t xml:space="preserve">  加强政策引导</w:t>
      </w:r>
      <w:bookmarkEnd w:id="655"/>
      <w:bookmarkEnd w:id="656"/>
    </w:p>
    <w:p>
      <w:pPr>
        <w:ind w:right="72" w:rightChars="24"/>
        <w:rPr>
          <w:rFonts w:hint="default" w:ascii="Times New Roman" w:hAnsi="Times New Roman" w:eastAsia="仿宋" w:cs="Times New Roman"/>
          <w:sz w:val="30"/>
          <w:szCs w:val="21"/>
        </w:rPr>
      </w:pPr>
      <w:r>
        <w:rPr>
          <w:rFonts w:hint="default" w:ascii="Times New Roman" w:hAnsi="Times New Roman" w:eastAsia="仿宋_GB2312" w:cs="Times New Roman"/>
          <w:sz w:val="32"/>
          <w:szCs w:val="32"/>
        </w:rPr>
        <w:t>围绕</w:t>
      </w:r>
      <w:bookmarkEnd w:id="657"/>
      <w:bookmarkEnd w:id="658"/>
      <w:bookmarkEnd w:id="659"/>
      <w:bookmarkEnd w:id="660"/>
      <w:bookmarkEnd w:id="661"/>
      <w:r>
        <w:rPr>
          <w:rFonts w:hint="default" w:ascii="Times New Roman" w:hAnsi="Times New Roman" w:eastAsia="仿宋_GB2312" w:cs="Times New Roman"/>
          <w:sz w:val="32"/>
          <w:szCs w:val="32"/>
        </w:rPr>
        <w:t>发展重点领域，研究制定一系列能够有效解决突出矛盾、营造公平环境、激发社会活力的重大政策举措，为各项发展目标提供有力支撑。重点围绕完善现代市场体系、推动经济转型升级和创新驱动发展、提高民生保障水平、促进城乡区域一体化发展、推进资源节约和环境保护、提升文化软实力等重点领域和关键环节，加强政策储备、研究制定和协调落实，推动形成有效的政策预期和导向。</w:t>
      </w:r>
    </w:p>
    <w:p>
      <w:pPr>
        <w:ind w:right="72" w:rightChars="24" w:firstLine="0"/>
        <w:jc w:val="center"/>
        <w:outlineLvl w:val="2"/>
        <w:rPr>
          <w:rFonts w:hint="default" w:ascii="Times New Roman" w:hAnsi="Times New Roman" w:eastAsia="楷体_GB2312" w:cs="Times New Roman"/>
          <w:b/>
          <w:bCs/>
          <w:sz w:val="32"/>
          <w:szCs w:val="32"/>
        </w:rPr>
      </w:pPr>
      <w:bookmarkStart w:id="662" w:name="_Toc20756"/>
      <w:bookmarkStart w:id="663" w:name="_Toc26062"/>
      <w:r>
        <w:rPr>
          <w:rFonts w:hint="default" w:ascii="Times New Roman" w:hAnsi="Times New Roman" w:eastAsia="楷体_GB2312" w:cs="Times New Roman"/>
          <w:b/>
          <w:bCs/>
          <w:sz w:val="32"/>
          <w:szCs w:val="32"/>
        </w:rPr>
        <w:t>第二节</w:t>
      </w:r>
      <w:bookmarkStart w:id="664" w:name="_Toc26031"/>
      <w:bookmarkStart w:id="665" w:name="_Toc5391"/>
      <w:bookmarkStart w:id="666" w:name="_Toc10100"/>
      <w:r>
        <w:rPr>
          <w:rFonts w:hint="default" w:ascii="Times New Roman" w:hAnsi="Times New Roman" w:eastAsia="楷体_GB2312" w:cs="Times New Roman"/>
          <w:b/>
          <w:bCs/>
          <w:sz w:val="32"/>
          <w:szCs w:val="32"/>
        </w:rPr>
        <w:t xml:space="preserve">  制定年度实施方案</w:t>
      </w:r>
      <w:bookmarkEnd w:id="662"/>
      <w:bookmarkEnd w:id="663"/>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bookmarkEnd w:id="664"/>
      <w:bookmarkEnd w:id="665"/>
      <w:bookmarkEnd w:id="666"/>
      <w:r>
        <w:rPr>
          <w:rFonts w:hint="default" w:ascii="Times New Roman" w:hAnsi="Times New Roman" w:eastAsia="仿宋_GB2312" w:cs="Times New Roman"/>
          <w:sz w:val="32"/>
          <w:szCs w:val="32"/>
        </w:rPr>
        <w:t>规划确定的发展目标、主要任务，制定规划年度实施方案，细化工作分工，明确工作责任，逐年逐项落实目标任务。强化对推进全社会各项任务目标的落实，把实施短板指标的推进工作作为年度任务重点，确保完成经济社会高质量发展的目标。加强年度实施方案与年度计划的衔接协调。</w:t>
      </w:r>
    </w:p>
    <w:p>
      <w:pPr>
        <w:ind w:right="72" w:rightChars="24" w:firstLine="0"/>
        <w:jc w:val="center"/>
        <w:outlineLvl w:val="2"/>
        <w:rPr>
          <w:rFonts w:hint="default" w:ascii="Times New Roman" w:hAnsi="Times New Roman" w:eastAsia="楷体_GB2312" w:cs="Times New Roman"/>
          <w:b/>
          <w:bCs/>
          <w:sz w:val="32"/>
          <w:szCs w:val="32"/>
        </w:rPr>
      </w:pPr>
      <w:bookmarkStart w:id="667" w:name="_Toc3971"/>
      <w:bookmarkStart w:id="668" w:name="_Toc30690"/>
      <w:r>
        <w:rPr>
          <w:rFonts w:hint="default" w:ascii="Times New Roman" w:hAnsi="Times New Roman" w:eastAsia="楷体_GB2312" w:cs="Times New Roman"/>
          <w:b/>
          <w:bCs/>
          <w:sz w:val="32"/>
          <w:szCs w:val="32"/>
        </w:rPr>
        <w:t>第三节</w:t>
      </w:r>
      <w:bookmarkStart w:id="669" w:name="_Toc1194"/>
      <w:bookmarkStart w:id="670" w:name="_Toc2511"/>
      <w:bookmarkStart w:id="671" w:name="_Toc28598"/>
      <w:r>
        <w:rPr>
          <w:rFonts w:hint="default" w:ascii="Times New Roman" w:hAnsi="Times New Roman" w:eastAsia="楷体_GB2312" w:cs="Times New Roman"/>
          <w:b/>
          <w:bCs/>
          <w:sz w:val="32"/>
          <w:szCs w:val="32"/>
        </w:rPr>
        <w:t xml:space="preserve">  强化要素保障</w:t>
      </w:r>
      <w:bookmarkEnd w:id="667"/>
      <w:bookmarkEnd w:id="668"/>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w:t>
      </w:r>
      <w:bookmarkEnd w:id="669"/>
      <w:bookmarkEnd w:id="670"/>
      <w:bookmarkEnd w:id="671"/>
      <w:r>
        <w:rPr>
          <w:rFonts w:hint="default" w:ascii="Times New Roman" w:hAnsi="Times New Roman" w:eastAsia="仿宋_GB2312" w:cs="Times New Roman"/>
          <w:sz w:val="32"/>
          <w:szCs w:val="32"/>
        </w:rPr>
        <w:t>资金、土地、能源及重要商品物资等要素对规划实施的保障作用。优化财政支出结构和政府投资结构，优先安排涉及民生、公共服务和城乡一体化等领域的财政支出和项目投入，集中财力保证政府投资重大项目的资金需求。科学调控土地供应，合理调整用地结构，优化土地资源配置和空间布局，优先保证保障性住房、重点发展平台开发、公共服务改善、重大基础设施和高端产业项目建设等方面的土地需求。注重需求侧管理和供给保障能力建设，完善能源和重要商品物资管理。</w:t>
      </w:r>
    </w:p>
    <w:p>
      <w:pPr>
        <w:pStyle w:val="2"/>
        <w:spacing w:line="240" w:lineRule="auto"/>
        <w:rPr>
          <w:rFonts w:hint="default" w:ascii="Times New Roman" w:hAnsi="Times New Roman" w:cs="Times New Roman"/>
        </w:rPr>
      </w:pPr>
    </w:p>
    <w:p>
      <w:pPr>
        <w:spacing w:line="240" w:lineRule="auto"/>
        <w:ind w:right="72" w:rightChars="24"/>
        <w:jc w:val="center"/>
        <w:outlineLvl w:val="1"/>
        <w:rPr>
          <w:rFonts w:hint="default" w:ascii="Times New Roman" w:hAnsi="Times New Roman" w:eastAsia="仿宋_GB2312" w:cs="Times New Roman"/>
          <w:b/>
          <w:bCs/>
          <w:sz w:val="32"/>
          <w:szCs w:val="32"/>
        </w:rPr>
      </w:pPr>
      <w:bookmarkStart w:id="672" w:name="_Toc16719"/>
      <w:bookmarkStart w:id="673" w:name="_Toc23889"/>
      <w:r>
        <w:rPr>
          <w:rFonts w:hint="default" w:ascii="Times New Roman" w:hAnsi="Times New Roman" w:eastAsia="仿宋_GB2312" w:cs="Times New Roman"/>
          <w:b/>
          <w:bCs/>
          <w:sz w:val="32"/>
          <w:szCs w:val="32"/>
        </w:rPr>
        <w:t>第三十</w:t>
      </w:r>
      <w:bookmarkStart w:id="674" w:name="_Toc11466"/>
      <w:bookmarkStart w:id="675" w:name="_Toc21933"/>
      <w:bookmarkStart w:id="676" w:name="_Toc28328"/>
      <w:bookmarkStart w:id="677" w:name="_Toc443381529"/>
      <w:bookmarkStart w:id="678" w:name="_Toc439867209"/>
      <w:bookmarkStart w:id="679" w:name="_Toc435692161"/>
      <w:bookmarkStart w:id="680" w:name="_Toc439867101"/>
      <w:r>
        <w:rPr>
          <w:rFonts w:hint="default" w:ascii="Times New Roman" w:hAnsi="Times New Roman" w:eastAsia="仿宋_GB2312" w:cs="Times New Roman"/>
          <w:b/>
          <w:bCs/>
          <w:sz w:val="32"/>
          <w:szCs w:val="32"/>
        </w:rPr>
        <w:t>二章  健全监测考评体系</w:t>
      </w:r>
      <w:bookmarkEnd w:id="672"/>
      <w:bookmarkEnd w:id="673"/>
    </w:p>
    <w:p>
      <w:pPr>
        <w:spacing w:line="240" w:lineRule="auto"/>
        <w:ind w:right="72" w:rightChars="24"/>
        <w:rPr>
          <w:rFonts w:hint="default" w:ascii="Times New Roman" w:hAnsi="Times New Roman" w:eastAsia="仿宋_GB2312" w:cs="Times New Roman"/>
          <w:sz w:val="32"/>
          <w:szCs w:val="32"/>
        </w:rPr>
      </w:pP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w:t>
      </w:r>
      <w:bookmarkEnd w:id="674"/>
      <w:bookmarkEnd w:id="675"/>
      <w:r>
        <w:rPr>
          <w:rFonts w:hint="default" w:ascii="Times New Roman" w:hAnsi="Times New Roman" w:eastAsia="仿宋_GB2312" w:cs="Times New Roman"/>
          <w:sz w:val="32"/>
          <w:szCs w:val="32"/>
        </w:rPr>
        <w:t>善</w:t>
      </w:r>
      <w:bookmarkEnd w:id="676"/>
      <w:bookmarkEnd w:id="677"/>
      <w:r>
        <w:rPr>
          <w:rFonts w:hint="default" w:ascii="Times New Roman" w:hAnsi="Times New Roman" w:eastAsia="仿宋_GB2312" w:cs="Times New Roman"/>
          <w:sz w:val="32"/>
          <w:szCs w:val="32"/>
        </w:rPr>
        <w:t>规划实施监督评估制度，强化组织实施，扩大公众参与，落实规划目标任务。</w:t>
      </w:r>
    </w:p>
    <w:p>
      <w:pPr>
        <w:ind w:right="72" w:rightChars="24" w:firstLine="0"/>
        <w:jc w:val="center"/>
        <w:outlineLvl w:val="2"/>
        <w:rPr>
          <w:rFonts w:hint="default" w:ascii="Times New Roman" w:hAnsi="Times New Roman" w:eastAsia="仿宋_GB2312" w:cs="Times New Roman"/>
          <w:sz w:val="32"/>
          <w:szCs w:val="32"/>
        </w:rPr>
      </w:pPr>
      <w:bookmarkStart w:id="681" w:name="_Toc30974"/>
      <w:bookmarkStart w:id="682" w:name="_Toc11907"/>
      <w:r>
        <w:rPr>
          <w:rFonts w:hint="default" w:ascii="Times New Roman" w:hAnsi="Times New Roman" w:eastAsia="楷体_GB2312" w:cs="Times New Roman"/>
          <w:b/>
          <w:bCs/>
          <w:sz w:val="32"/>
          <w:szCs w:val="32"/>
        </w:rPr>
        <w:t>第一节</w:t>
      </w:r>
      <w:bookmarkStart w:id="683" w:name="_Toc29123"/>
      <w:bookmarkStart w:id="684" w:name="_Toc7364"/>
      <w:bookmarkStart w:id="685" w:name="_Toc435692164"/>
      <w:bookmarkStart w:id="686" w:name="_Toc439867104"/>
      <w:bookmarkStart w:id="687" w:name="_Toc439867212"/>
      <w:r>
        <w:rPr>
          <w:rFonts w:hint="default" w:ascii="Times New Roman" w:hAnsi="Times New Roman" w:eastAsia="楷体_GB2312" w:cs="Times New Roman"/>
          <w:b/>
          <w:bCs/>
          <w:sz w:val="32"/>
          <w:szCs w:val="32"/>
        </w:rPr>
        <w:t xml:space="preserve">  加强指标约束</w:t>
      </w:r>
      <w:bookmarkEnd w:id="681"/>
      <w:bookmarkEnd w:id="682"/>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w:t>
      </w:r>
      <w:bookmarkEnd w:id="683"/>
      <w:bookmarkEnd w:id="684"/>
      <w:bookmarkEnd w:id="685"/>
      <w:bookmarkEnd w:id="686"/>
      <w:bookmarkEnd w:id="687"/>
      <w:r>
        <w:rPr>
          <w:rFonts w:hint="default" w:ascii="Times New Roman" w:hAnsi="Times New Roman" w:eastAsia="仿宋_GB2312" w:cs="Times New Roman"/>
          <w:sz w:val="32"/>
          <w:szCs w:val="32"/>
        </w:rPr>
        <w:t>划确定的约束性指标要纳入镇（街）、市直有关部门经济社会发展综合评价和绩效考核，并分解落实到各镇（街）和市直有关部门，实行规划目标责任制。市政府要将约束性指标和各项任务分解到年度，纳入经济社会发展年度计划。</w:t>
      </w:r>
    </w:p>
    <w:p>
      <w:pPr>
        <w:ind w:right="72" w:rightChars="24" w:firstLine="0"/>
        <w:jc w:val="center"/>
        <w:outlineLvl w:val="2"/>
        <w:rPr>
          <w:rFonts w:hint="default" w:ascii="Times New Roman" w:hAnsi="Times New Roman" w:eastAsia="仿宋_GB2312" w:cs="Times New Roman"/>
          <w:sz w:val="32"/>
          <w:szCs w:val="32"/>
        </w:rPr>
      </w:pPr>
      <w:bookmarkStart w:id="688" w:name="_Toc18768"/>
      <w:bookmarkStart w:id="689" w:name="_Toc7481"/>
      <w:r>
        <w:rPr>
          <w:rFonts w:hint="default" w:ascii="Times New Roman" w:hAnsi="Times New Roman" w:eastAsia="楷体_GB2312" w:cs="Times New Roman"/>
          <w:b/>
          <w:bCs/>
          <w:sz w:val="32"/>
          <w:szCs w:val="32"/>
        </w:rPr>
        <w:t>第二节</w:t>
      </w:r>
      <w:bookmarkStart w:id="690" w:name="_Toc435692165"/>
      <w:bookmarkStart w:id="691" w:name="_Toc439867105"/>
      <w:bookmarkStart w:id="692" w:name="_Toc21764"/>
      <w:bookmarkStart w:id="693" w:name="_Toc27699"/>
      <w:bookmarkStart w:id="694" w:name="_Toc439867213"/>
      <w:r>
        <w:rPr>
          <w:rFonts w:hint="default" w:ascii="Times New Roman" w:hAnsi="Times New Roman" w:eastAsia="楷体_GB2312" w:cs="Times New Roman"/>
          <w:b/>
          <w:bCs/>
          <w:sz w:val="32"/>
          <w:szCs w:val="32"/>
        </w:rPr>
        <w:t xml:space="preserve">  加强评估考核</w:t>
      </w:r>
      <w:bookmarkEnd w:id="688"/>
      <w:bookmarkEnd w:id="689"/>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w:t>
      </w:r>
      <w:bookmarkEnd w:id="690"/>
      <w:bookmarkEnd w:id="691"/>
      <w:bookmarkEnd w:id="692"/>
      <w:bookmarkEnd w:id="693"/>
      <w:bookmarkEnd w:id="694"/>
      <w:r>
        <w:rPr>
          <w:rFonts w:hint="default" w:ascii="Times New Roman" w:hAnsi="Times New Roman" w:eastAsia="仿宋_GB2312" w:cs="Times New Roman"/>
          <w:sz w:val="32"/>
          <w:szCs w:val="32"/>
        </w:rPr>
        <w:t>政府要强化对规划有关结构优化、民生改善、资源节约、生态环境、社会环境和基本公共服务等方面目标任务完成情况的综合评价考核，建立科学合理的各级政府考核机制。考核结果作为各级政府领导班子调整和领导干部选拔任用、奖励惩戒的重要依据。完善规划年度考核和中期评估制度，检查规划落实情况，分析规划实施效果，及时查找问题、解决问题。</w:t>
      </w:r>
    </w:p>
    <w:p>
      <w:pPr>
        <w:ind w:right="72" w:rightChars="24" w:firstLine="0"/>
        <w:jc w:val="center"/>
        <w:outlineLvl w:val="2"/>
        <w:rPr>
          <w:rFonts w:hint="default" w:ascii="Times New Roman" w:hAnsi="Times New Roman" w:eastAsia="仿宋_GB2312" w:cs="Times New Roman"/>
          <w:sz w:val="32"/>
          <w:szCs w:val="32"/>
        </w:rPr>
      </w:pPr>
      <w:bookmarkStart w:id="695" w:name="_Toc31010"/>
      <w:bookmarkStart w:id="696" w:name="_Toc21295"/>
      <w:r>
        <w:rPr>
          <w:rFonts w:hint="default" w:ascii="Times New Roman" w:hAnsi="Times New Roman" w:eastAsia="楷体_GB2312" w:cs="Times New Roman"/>
          <w:b/>
          <w:bCs/>
          <w:sz w:val="32"/>
          <w:szCs w:val="32"/>
        </w:rPr>
        <w:t>第三节</w:t>
      </w:r>
      <w:bookmarkStart w:id="697" w:name="_Toc439867106"/>
      <w:bookmarkStart w:id="698" w:name="_Toc22142"/>
      <w:bookmarkStart w:id="699" w:name="_Toc24678"/>
      <w:bookmarkStart w:id="700" w:name="_Toc435692166"/>
      <w:bookmarkStart w:id="701" w:name="_Toc439867214"/>
      <w:r>
        <w:rPr>
          <w:rFonts w:hint="default" w:ascii="Times New Roman" w:hAnsi="Times New Roman" w:eastAsia="楷体_GB2312" w:cs="Times New Roman"/>
          <w:b/>
          <w:bCs/>
          <w:sz w:val="32"/>
          <w:szCs w:val="32"/>
        </w:rPr>
        <w:t xml:space="preserve">  加强社会监督</w:t>
      </w:r>
      <w:bookmarkEnd w:id="695"/>
      <w:bookmarkEnd w:id="696"/>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w:t>
      </w:r>
      <w:bookmarkEnd w:id="697"/>
      <w:bookmarkEnd w:id="698"/>
      <w:bookmarkEnd w:id="699"/>
      <w:bookmarkEnd w:id="700"/>
      <w:bookmarkEnd w:id="701"/>
      <w:r>
        <w:rPr>
          <w:rFonts w:hint="default" w:ascii="Times New Roman" w:hAnsi="Times New Roman" w:eastAsia="仿宋_GB2312" w:cs="Times New Roman"/>
          <w:sz w:val="32"/>
          <w:szCs w:val="32"/>
        </w:rPr>
        <w:t>规划宣传力度，使公众深入了解“十四五”经济社会发展宏伟蓝图，进一步凝聚社会共识，激发发展热情。积极探索创新公众参与形式，拓宽公众参与渠道，完善规划实施的公众参与和民主监督机制。及时公开规划实施情况，主动接受社会民主监督。</w:t>
      </w:r>
    </w:p>
    <w:p>
      <w:pPr>
        <w:ind w:right="72" w:rightChars="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十四五”时期发展目标，前景光明，任务繁重。全市上下务必要更加紧密地团结在以习近平同志为核心的党中央周围，高举习近平新时代中国特色社会主义思想伟大旗帜，坚定不移走中国特色社会主义道路，解放思想、实事求是，务实担当、开拓进取，为完成“十四五”时期经济社会发展目标任务、实现全面振兴全方位振兴、全面建设社会主义现代化新榆树而奋斗！</w:t>
      </w:r>
    </w:p>
    <w:bookmarkEnd w:id="678"/>
    <w:bookmarkEnd w:id="679"/>
    <w:bookmarkEnd w:id="680"/>
    <w:p>
      <w:pPr>
        <w:ind w:right="72" w:rightChars="24"/>
        <w:rPr>
          <w:rFonts w:hint="default" w:ascii="Times New Roman" w:hAnsi="Times New Roman" w:eastAsia="仿宋_GB2312" w:cs="Times New Roman"/>
          <w:sz w:val="32"/>
          <w:szCs w:val="32"/>
        </w:rPr>
      </w:pPr>
    </w:p>
    <w:sectPr>
      <w:headerReference r:id="rId6" w:type="default"/>
      <w:footerReference r:id="rId7" w:type="default"/>
      <w:footnotePr>
        <w:numFmt w:val="decimalEnclosedCircleChinese"/>
      </w:footnotePr>
      <w:pgSz w:w="11910" w:h="16840"/>
      <w:pgMar w:top="1418" w:right="1418" w:bottom="1418" w:left="1587" w:header="850" w:footer="567" w:gutter="0"/>
      <w:paperSrc w:first="7" w:other="7"/>
      <w:pgBorders>
        <w:top w:val="none" w:sz="0" w:space="0"/>
        <w:left w:val="none" w:sz="0" w:space="0"/>
        <w:bottom w:val="none" w:sz="0" w:space="0"/>
        <w:right w:val="none" w:sz="0" w:space="0"/>
      </w:pgBorders>
      <w:pgNumType w:fmt="decimal" w:start="1"/>
      <w:cols w:space="720" w:num="1"/>
      <w:docGrid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0">
                        <a:noFill/>
                      </a:ln>
                    </wps:spPr>
                    <wps:txbx>
                      <w:txbxContent>
                        <w:p>
                          <w:pPr>
                            <w:pStyle w:val="2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6</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QMhXrPAAAABQEAAA8AAAAAAAAA&#10;AQAgAAAAIgAAAGRycy9kb3ducmV2LnhtbFBLAQIUABQAAAAIAIdO4kAFRRFq4QEAAMQDAAAOAAAA&#10;AAAAAAEAIAAAAB4BAABkcnMvZTJvRG9jLnhtbFBLBQYAAAAABgAGAFkBAABxBQAAAAA=&#10;">
              <v:fill on="f" focussize="0,0"/>
              <v:stroke on="f" weight="0pt"/>
              <v:imagedata o:title=""/>
              <o:lock v:ext="edit" aspectratio="f"/>
              <v:textbox inset="0mm,0mm,0mm,0mm" style="mso-fit-shape-to-text:t;">
                <w:txbxContent>
                  <w:p>
                    <w:pPr>
                      <w:pStyle w:val="2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6</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3530A"/>
    <w:multiLevelType w:val="singleLevel"/>
    <w:tmpl w:val="C903530A"/>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s.小葵">
    <w15:presenceInfo w15:providerId="None" w15:userId="Mrs.小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DBkZjkxY2U4NmQwMjQ1YjUxYzgzNjkzMWQ4ZTIifQ=="/>
  </w:docVars>
  <w:rsids>
    <w:rsidRoot w:val="003E30AB"/>
    <w:rsid w:val="00003573"/>
    <w:rsid w:val="00003DE3"/>
    <w:rsid w:val="00003FA2"/>
    <w:rsid w:val="0000653B"/>
    <w:rsid w:val="0000666E"/>
    <w:rsid w:val="00012D96"/>
    <w:rsid w:val="000136B7"/>
    <w:rsid w:val="000136D1"/>
    <w:rsid w:val="00032912"/>
    <w:rsid w:val="000358E2"/>
    <w:rsid w:val="00047345"/>
    <w:rsid w:val="0005286E"/>
    <w:rsid w:val="00052C9D"/>
    <w:rsid w:val="00056DCA"/>
    <w:rsid w:val="00060EB2"/>
    <w:rsid w:val="00070F62"/>
    <w:rsid w:val="0007526A"/>
    <w:rsid w:val="00081A7E"/>
    <w:rsid w:val="000855DB"/>
    <w:rsid w:val="00096085"/>
    <w:rsid w:val="000A072F"/>
    <w:rsid w:val="000A0C9E"/>
    <w:rsid w:val="000A1A8D"/>
    <w:rsid w:val="000B378E"/>
    <w:rsid w:val="000B3923"/>
    <w:rsid w:val="000B4594"/>
    <w:rsid w:val="000B4C68"/>
    <w:rsid w:val="000C07DF"/>
    <w:rsid w:val="000E24BE"/>
    <w:rsid w:val="000E58C8"/>
    <w:rsid w:val="000E63F7"/>
    <w:rsid w:val="000E6C93"/>
    <w:rsid w:val="000E797E"/>
    <w:rsid w:val="0012052E"/>
    <w:rsid w:val="00123D7D"/>
    <w:rsid w:val="001269A8"/>
    <w:rsid w:val="00141929"/>
    <w:rsid w:val="00142C17"/>
    <w:rsid w:val="0014387A"/>
    <w:rsid w:val="00144272"/>
    <w:rsid w:val="00145EB8"/>
    <w:rsid w:val="00151E48"/>
    <w:rsid w:val="00151EC8"/>
    <w:rsid w:val="00153168"/>
    <w:rsid w:val="00155305"/>
    <w:rsid w:val="001609E4"/>
    <w:rsid w:val="00161B02"/>
    <w:rsid w:val="00163849"/>
    <w:rsid w:val="00166304"/>
    <w:rsid w:val="00173E1E"/>
    <w:rsid w:val="001861C6"/>
    <w:rsid w:val="0018658D"/>
    <w:rsid w:val="00186ACE"/>
    <w:rsid w:val="00192252"/>
    <w:rsid w:val="00192989"/>
    <w:rsid w:val="001930F8"/>
    <w:rsid w:val="0019345E"/>
    <w:rsid w:val="001A1938"/>
    <w:rsid w:val="001A2555"/>
    <w:rsid w:val="001A5BC4"/>
    <w:rsid w:val="001B0285"/>
    <w:rsid w:val="001B2B41"/>
    <w:rsid w:val="001B41E4"/>
    <w:rsid w:val="001B6DD4"/>
    <w:rsid w:val="001C3B2F"/>
    <w:rsid w:val="001C4E75"/>
    <w:rsid w:val="001E1D27"/>
    <w:rsid w:val="001E4807"/>
    <w:rsid w:val="001F29AA"/>
    <w:rsid w:val="0020054C"/>
    <w:rsid w:val="0020503E"/>
    <w:rsid w:val="00214F82"/>
    <w:rsid w:val="00223576"/>
    <w:rsid w:val="0022754B"/>
    <w:rsid w:val="00232ED0"/>
    <w:rsid w:val="002355D3"/>
    <w:rsid w:val="00252043"/>
    <w:rsid w:val="0025252E"/>
    <w:rsid w:val="0025491A"/>
    <w:rsid w:val="00255DAC"/>
    <w:rsid w:val="0025695F"/>
    <w:rsid w:val="0026040F"/>
    <w:rsid w:val="00261B09"/>
    <w:rsid w:val="0027064F"/>
    <w:rsid w:val="00274F20"/>
    <w:rsid w:val="0028374E"/>
    <w:rsid w:val="00285D49"/>
    <w:rsid w:val="0029484D"/>
    <w:rsid w:val="002A2341"/>
    <w:rsid w:val="002B068F"/>
    <w:rsid w:val="002B7FA2"/>
    <w:rsid w:val="002C1628"/>
    <w:rsid w:val="002C2EDD"/>
    <w:rsid w:val="002C3DBB"/>
    <w:rsid w:val="002D3D8D"/>
    <w:rsid w:val="002D5473"/>
    <w:rsid w:val="002D70F6"/>
    <w:rsid w:val="002D7E58"/>
    <w:rsid w:val="002E0B68"/>
    <w:rsid w:val="002E5BFD"/>
    <w:rsid w:val="002E72C0"/>
    <w:rsid w:val="002E76BF"/>
    <w:rsid w:val="002F0A3F"/>
    <w:rsid w:val="002F1E0B"/>
    <w:rsid w:val="002F302E"/>
    <w:rsid w:val="002F51D2"/>
    <w:rsid w:val="00300F54"/>
    <w:rsid w:val="00310B80"/>
    <w:rsid w:val="00311236"/>
    <w:rsid w:val="0031572F"/>
    <w:rsid w:val="0032092F"/>
    <w:rsid w:val="00323CF9"/>
    <w:rsid w:val="00325028"/>
    <w:rsid w:val="00325AF3"/>
    <w:rsid w:val="0033068F"/>
    <w:rsid w:val="00333994"/>
    <w:rsid w:val="0033440D"/>
    <w:rsid w:val="0034399E"/>
    <w:rsid w:val="00347828"/>
    <w:rsid w:val="00350B58"/>
    <w:rsid w:val="00351697"/>
    <w:rsid w:val="00352D3A"/>
    <w:rsid w:val="0036111B"/>
    <w:rsid w:val="003629B6"/>
    <w:rsid w:val="00363DFA"/>
    <w:rsid w:val="00366F08"/>
    <w:rsid w:val="003720DC"/>
    <w:rsid w:val="0037257B"/>
    <w:rsid w:val="00375524"/>
    <w:rsid w:val="00377075"/>
    <w:rsid w:val="003821D9"/>
    <w:rsid w:val="0039302A"/>
    <w:rsid w:val="00394F93"/>
    <w:rsid w:val="003C0025"/>
    <w:rsid w:val="003C049A"/>
    <w:rsid w:val="003C34E5"/>
    <w:rsid w:val="003C3F76"/>
    <w:rsid w:val="003D35A2"/>
    <w:rsid w:val="003D52FE"/>
    <w:rsid w:val="003D57D6"/>
    <w:rsid w:val="003D7CCF"/>
    <w:rsid w:val="003E30AB"/>
    <w:rsid w:val="003E315B"/>
    <w:rsid w:val="003E37F1"/>
    <w:rsid w:val="003E4C3C"/>
    <w:rsid w:val="003F0ECA"/>
    <w:rsid w:val="003F30C2"/>
    <w:rsid w:val="003F75CC"/>
    <w:rsid w:val="00400A80"/>
    <w:rsid w:val="00402C46"/>
    <w:rsid w:val="004057BE"/>
    <w:rsid w:val="004069FF"/>
    <w:rsid w:val="00412C40"/>
    <w:rsid w:val="004225C7"/>
    <w:rsid w:val="00422613"/>
    <w:rsid w:val="004226EC"/>
    <w:rsid w:val="00424CE8"/>
    <w:rsid w:val="0043036A"/>
    <w:rsid w:val="0043065D"/>
    <w:rsid w:val="00433B98"/>
    <w:rsid w:val="00436382"/>
    <w:rsid w:val="00440187"/>
    <w:rsid w:val="00442436"/>
    <w:rsid w:val="00460ECD"/>
    <w:rsid w:val="00462ED7"/>
    <w:rsid w:val="00464193"/>
    <w:rsid w:val="004730E2"/>
    <w:rsid w:val="00476B04"/>
    <w:rsid w:val="00485149"/>
    <w:rsid w:val="004876EE"/>
    <w:rsid w:val="004907D1"/>
    <w:rsid w:val="004936D8"/>
    <w:rsid w:val="00493972"/>
    <w:rsid w:val="004A39B1"/>
    <w:rsid w:val="004A533B"/>
    <w:rsid w:val="004B1A86"/>
    <w:rsid w:val="004B417E"/>
    <w:rsid w:val="004C1BDD"/>
    <w:rsid w:val="004C1C04"/>
    <w:rsid w:val="004C1EEB"/>
    <w:rsid w:val="004D3E5A"/>
    <w:rsid w:val="004D7F97"/>
    <w:rsid w:val="004F1ADA"/>
    <w:rsid w:val="004F27A6"/>
    <w:rsid w:val="005027D1"/>
    <w:rsid w:val="00502FFC"/>
    <w:rsid w:val="00505884"/>
    <w:rsid w:val="00506303"/>
    <w:rsid w:val="005068B9"/>
    <w:rsid w:val="005131B3"/>
    <w:rsid w:val="005222FB"/>
    <w:rsid w:val="00525372"/>
    <w:rsid w:val="00531F3A"/>
    <w:rsid w:val="00533394"/>
    <w:rsid w:val="00534DDF"/>
    <w:rsid w:val="00535735"/>
    <w:rsid w:val="00541443"/>
    <w:rsid w:val="00543B22"/>
    <w:rsid w:val="00544579"/>
    <w:rsid w:val="00553A7B"/>
    <w:rsid w:val="005544D5"/>
    <w:rsid w:val="00557B79"/>
    <w:rsid w:val="00560EF0"/>
    <w:rsid w:val="005646C6"/>
    <w:rsid w:val="00570ADA"/>
    <w:rsid w:val="00573A92"/>
    <w:rsid w:val="00575A7A"/>
    <w:rsid w:val="00582E20"/>
    <w:rsid w:val="00586448"/>
    <w:rsid w:val="005864FD"/>
    <w:rsid w:val="005877FE"/>
    <w:rsid w:val="005907F2"/>
    <w:rsid w:val="00591B63"/>
    <w:rsid w:val="0059550F"/>
    <w:rsid w:val="005A1B00"/>
    <w:rsid w:val="005A35E3"/>
    <w:rsid w:val="005A4A75"/>
    <w:rsid w:val="005A72F3"/>
    <w:rsid w:val="005B0096"/>
    <w:rsid w:val="005B7E74"/>
    <w:rsid w:val="005C00AC"/>
    <w:rsid w:val="005C12DB"/>
    <w:rsid w:val="005C2A6E"/>
    <w:rsid w:val="005D1C78"/>
    <w:rsid w:val="005D333B"/>
    <w:rsid w:val="005D4153"/>
    <w:rsid w:val="005D59AD"/>
    <w:rsid w:val="005E1D05"/>
    <w:rsid w:val="005F393D"/>
    <w:rsid w:val="005F6A1E"/>
    <w:rsid w:val="005F7B2D"/>
    <w:rsid w:val="00600D5B"/>
    <w:rsid w:val="006052FF"/>
    <w:rsid w:val="00605D0A"/>
    <w:rsid w:val="006106F0"/>
    <w:rsid w:val="00614043"/>
    <w:rsid w:val="00622B8D"/>
    <w:rsid w:val="00623307"/>
    <w:rsid w:val="006449BF"/>
    <w:rsid w:val="0064512F"/>
    <w:rsid w:val="00650DB5"/>
    <w:rsid w:val="00651139"/>
    <w:rsid w:val="00653DFC"/>
    <w:rsid w:val="006547C3"/>
    <w:rsid w:val="00661E0F"/>
    <w:rsid w:val="0066373F"/>
    <w:rsid w:val="006639EC"/>
    <w:rsid w:val="006670B7"/>
    <w:rsid w:val="0067314E"/>
    <w:rsid w:val="00677E54"/>
    <w:rsid w:val="00682967"/>
    <w:rsid w:val="00682FAC"/>
    <w:rsid w:val="006876B2"/>
    <w:rsid w:val="00687E4E"/>
    <w:rsid w:val="006940D3"/>
    <w:rsid w:val="006964AB"/>
    <w:rsid w:val="006970FA"/>
    <w:rsid w:val="00697A64"/>
    <w:rsid w:val="006A201A"/>
    <w:rsid w:val="006A2952"/>
    <w:rsid w:val="006B25F6"/>
    <w:rsid w:val="006B6891"/>
    <w:rsid w:val="006C164B"/>
    <w:rsid w:val="006C1B26"/>
    <w:rsid w:val="006C28D6"/>
    <w:rsid w:val="006C446D"/>
    <w:rsid w:val="006C6447"/>
    <w:rsid w:val="006D3273"/>
    <w:rsid w:val="006D5DC7"/>
    <w:rsid w:val="006E1523"/>
    <w:rsid w:val="006E1F5B"/>
    <w:rsid w:val="006E2C60"/>
    <w:rsid w:val="006E32E0"/>
    <w:rsid w:val="006E600A"/>
    <w:rsid w:val="006E7275"/>
    <w:rsid w:val="006F44EC"/>
    <w:rsid w:val="007007A9"/>
    <w:rsid w:val="00701F19"/>
    <w:rsid w:val="00703990"/>
    <w:rsid w:val="00703E38"/>
    <w:rsid w:val="00726D58"/>
    <w:rsid w:val="00733801"/>
    <w:rsid w:val="007344C4"/>
    <w:rsid w:val="00735C88"/>
    <w:rsid w:val="00741F3C"/>
    <w:rsid w:val="0074232D"/>
    <w:rsid w:val="00751014"/>
    <w:rsid w:val="0075269E"/>
    <w:rsid w:val="00763412"/>
    <w:rsid w:val="00763768"/>
    <w:rsid w:val="0076485F"/>
    <w:rsid w:val="007665E9"/>
    <w:rsid w:val="00772335"/>
    <w:rsid w:val="007774FE"/>
    <w:rsid w:val="00780E89"/>
    <w:rsid w:val="00786F20"/>
    <w:rsid w:val="007953ED"/>
    <w:rsid w:val="00795C72"/>
    <w:rsid w:val="007A01F4"/>
    <w:rsid w:val="007A1967"/>
    <w:rsid w:val="007A1A48"/>
    <w:rsid w:val="007A438C"/>
    <w:rsid w:val="007B4625"/>
    <w:rsid w:val="007C732F"/>
    <w:rsid w:val="007D369C"/>
    <w:rsid w:val="007D3C2B"/>
    <w:rsid w:val="007D6945"/>
    <w:rsid w:val="007E0B37"/>
    <w:rsid w:val="007F2A66"/>
    <w:rsid w:val="007F74F9"/>
    <w:rsid w:val="008007CB"/>
    <w:rsid w:val="00800C2E"/>
    <w:rsid w:val="00803E40"/>
    <w:rsid w:val="00810153"/>
    <w:rsid w:val="008128B3"/>
    <w:rsid w:val="008233BC"/>
    <w:rsid w:val="008242C0"/>
    <w:rsid w:val="008269CF"/>
    <w:rsid w:val="00827D87"/>
    <w:rsid w:val="00834639"/>
    <w:rsid w:val="008366E7"/>
    <w:rsid w:val="00837632"/>
    <w:rsid w:val="00840179"/>
    <w:rsid w:val="00840E61"/>
    <w:rsid w:val="00843F45"/>
    <w:rsid w:val="0084403F"/>
    <w:rsid w:val="00852E7B"/>
    <w:rsid w:val="008554A7"/>
    <w:rsid w:val="00856330"/>
    <w:rsid w:val="00866698"/>
    <w:rsid w:val="008670F5"/>
    <w:rsid w:val="00871F64"/>
    <w:rsid w:val="00874B72"/>
    <w:rsid w:val="00874C54"/>
    <w:rsid w:val="00875632"/>
    <w:rsid w:val="00877C31"/>
    <w:rsid w:val="0088105E"/>
    <w:rsid w:val="00885031"/>
    <w:rsid w:val="008974C2"/>
    <w:rsid w:val="008979F2"/>
    <w:rsid w:val="008A6989"/>
    <w:rsid w:val="008B2535"/>
    <w:rsid w:val="008C21E7"/>
    <w:rsid w:val="008C2A32"/>
    <w:rsid w:val="008C3264"/>
    <w:rsid w:val="008C33F6"/>
    <w:rsid w:val="008C47C3"/>
    <w:rsid w:val="008D4826"/>
    <w:rsid w:val="008F09F0"/>
    <w:rsid w:val="008F10CF"/>
    <w:rsid w:val="008F3519"/>
    <w:rsid w:val="008F612F"/>
    <w:rsid w:val="009004AB"/>
    <w:rsid w:val="0090359F"/>
    <w:rsid w:val="0090406B"/>
    <w:rsid w:val="00904B1A"/>
    <w:rsid w:val="009065D0"/>
    <w:rsid w:val="00911EB8"/>
    <w:rsid w:val="00916850"/>
    <w:rsid w:val="00924EA8"/>
    <w:rsid w:val="0092559A"/>
    <w:rsid w:val="0092576A"/>
    <w:rsid w:val="0092600A"/>
    <w:rsid w:val="00926777"/>
    <w:rsid w:val="0094146D"/>
    <w:rsid w:val="0094332A"/>
    <w:rsid w:val="00943FC8"/>
    <w:rsid w:val="00951021"/>
    <w:rsid w:val="009519C0"/>
    <w:rsid w:val="009533CD"/>
    <w:rsid w:val="009552B1"/>
    <w:rsid w:val="00955CBF"/>
    <w:rsid w:val="00956D70"/>
    <w:rsid w:val="0096398B"/>
    <w:rsid w:val="00964E48"/>
    <w:rsid w:val="00966162"/>
    <w:rsid w:val="00971552"/>
    <w:rsid w:val="00973243"/>
    <w:rsid w:val="009906AA"/>
    <w:rsid w:val="00995524"/>
    <w:rsid w:val="009A7301"/>
    <w:rsid w:val="009B4595"/>
    <w:rsid w:val="009B459B"/>
    <w:rsid w:val="009C21CB"/>
    <w:rsid w:val="009F2234"/>
    <w:rsid w:val="009F22BC"/>
    <w:rsid w:val="009F4035"/>
    <w:rsid w:val="00A0081F"/>
    <w:rsid w:val="00A05B73"/>
    <w:rsid w:val="00A068EB"/>
    <w:rsid w:val="00A07326"/>
    <w:rsid w:val="00A21721"/>
    <w:rsid w:val="00A23E9B"/>
    <w:rsid w:val="00A25124"/>
    <w:rsid w:val="00A26AD5"/>
    <w:rsid w:val="00A3218C"/>
    <w:rsid w:val="00A340FB"/>
    <w:rsid w:val="00A359DE"/>
    <w:rsid w:val="00A36CA4"/>
    <w:rsid w:val="00A415A5"/>
    <w:rsid w:val="00A4165D"/>
    <w:rsid w:val="00A45457"/>
    <w:rsid w:val="00A47FA3"/>
    <w:rsid w:val="00A52D7C"/>
    <w:rsid w:val="00A54639"/>
    <w:rsid w:val="00A578A3"/>
    <w:rsid w:val="00A62274"/>
    <w:rsid w:val="00A73B1F"/>
    <w:rsid w:val="00A85363"/>
    <w:rsid w:val="00A86278"/>
    <w:rsid w:val="00A87650"/>
    <w:rsid w:val="00A87F86"/>
    <w:rsid w:val="00A90BE7"/>
    <w:rsid w:val="00A90D8C"/>
    <w:rsid w:val="00A9487D"/>
    <w:rsid w:val="00A9636B"/>
    <w:rsid w:val="00A9774A"/>
    <w:rsid w:val="00AA5933"/>
    <w:rsid w:val="00AB198E"/>
    <w:rsid w:val="00AB7167"/>
    <w:rsid w:val="00AC038F"/>
    <w:rsid w:val="00AC570A"/>
    <w:rsid w:val="00AC5F66"/>
    <w:rsid w:val="00AD3C58"/>
    <w:rsid w:val="00AD415B"/>
    <w:rsid w:val="00AD51F5"/>
    <w:rsid w:val="00AE4D48"/>
    <w:rsid w:val="00AE53ED"/>
    <w:rsid w:val="00AE6709"/>
    <w:rsid w:val="00AE6CE9"/>
    <w:rsid w:val="00AF6A33"/>
    <w:rsid w:val="00B05937"/>
    <w:rsid w:val="00B1196C"/>
    <w:rsid w:val="00B17A5B"/>
    <w:rsid w:val="00B20662"/>
    <w:rsid w:val="00B23323"/>
    <w:rsid w:val="00B2472D"/>
    <w:rsid w:val="00B31960"/>
    <w:rsid w:val="00B40930"/>
    <w:rsid w:val="00B43C23"/>
    <w:rsid w:val="00B47969"/>
    <w:rsid w:val="00B55500"/>
    <w:rsid w:val="00B56237"/>
    <w:rsid w:val="00B567D0"/>
    <w:rsid w:val="00B62D08"/>
    <w:rsid w:val="00B64889"/>
    <w:rsid w:val="00B651D3"/>
    <w:rsid w:val="00B70AB4"/>
    <w:rsid w:val="00B7655A"/>
    <w:rsid w:val="00B77FB0"/>
    <w:rsid w:val="00B842DC"/>
    <w:rsid w:val="00B95EBA"/>
    <w:rsid w:val="00B9797A"/>
    <w:rsid w:val="00B97CCF"/>
    <w:rsid w:val="00BA2913"/>
    <w:rsid w:val="00BA2AC1"/>
    <w:rsid w:val="00BA2F26"/>
    <w:rsid w:val="00BA368D"/>
    <w:rsid w:val="00BA4B87"/>
    <w:rsid w:val="00BA6CFB"/>
    <w:rsid w:val="00BC4199"/>
    <w:rsid w:val="00BC5AB9"/>
    <w:rsid w:val="00BD2BBC"/>
    <w:rsid w:val="00BD40C4"/>
    <w:rsid w:val="00BD6C9B"/>
    <w:rsid w:val="00BE131A"/>
    <w:rsid w:val="00BF0103"/>
    <w:rsid w:val="00BF61BA"/>
    <w:rsid w:val="00C036A6"/>
    <w:rsid w:val="00C0374F"/>
    <w:rsid w:val="00C03BC6"/>
    <w:rsid w:val="00C05B6D"/>
    <w:rsid w:val="00C0607C"/>
    <w:rsid w:val="00C064D7"/>
    <w:rsid w:val="00C06B05"/>
    <w:rsid w:val="00C11EB1"/>
    <w:rsid w:val="00C14554"/>
    <w:rsid w:val="00C200FF"/>
    <w:rsid w:val="00C2213E"/>
    <w:rsid w:val="00C23EA5"/>
    <w:rsid w:val="00C25989"/>
    <w:rsid w:val="00C25ECD"/>
    <w:rsid w:val="00C359ED"/>
    <w:rsid w:val="00C37EFF"/>
    <w:rsid w:val="00C404D2"/>
    <w:rsid w:val="00C40E6F"/>
    <w:rsid w:val="00C415A6"/>
    <w:rsid w:val="00C421B6"/>
    <w:rsid w:val="00C4286F"/>
    <w:rsid w:val="00C439DF"/>
    <w:rsid w:val="00C46E1C"/>
    <w:rsid w:val="00C52FC8"/>
    <w:rsid w:val="00C53858"/>
    <w:rsid w:val="00C62968"/>
    <w:rsid w:val="00C62A28"/>
    <w:rsid w:val="00C6329C"/>
    <w:rsid w:val="00C73252"/>
    <w:rsid w:val="00C7356A"/>
    <w:rsid w:val="00C92653"/>
    <w:rsid w:val="00C93256"/>
    <w:rsid w:val="00C94232"/>
    <w:rsid w:val="00C95D5D"/>
    <w:rsid w:val="00C96C10"/>
    <w:rsid w:val="00CA1070"/>
    <w:rsid w:val="00CA128E"/>
    <w:rsid w:val="00CA2209"/>
    <w:rsid w:val="00CA3566"/>
    <w:rsid w:val="00CA383E"/>
    <w:rsid w:val="00CB41FF"/>
    <w:rsid w:val="00CB4AC8"/>
    <w:rsid w:val="00CB7421"/>
    <w:rsid w:val="00CC641D"/>
    <w:rsid w:val="00CD12DF"/>
    <w:rsid w:val="00CD263B"/>
    <w:rsid w:val="00CD7DFB"/>
    <w:rsid w:val="00CE21BD"/>
    <w:rsid w:val="00CE3707"/>
    <w:rsid w:val="00CE3715"/>
    <w:rsid w:val="00CE3EFD"/>
    <w:rsid w:val="00CE5571"/>
    <w:rsid w:val="00CF04AD"/>
    <w:rsid w:val="00CF1E7C"/>
    <w:rsid w:val="00CF3C73"/>
    <w:rsid w:val="00CF3E15"/>
    <w:rsid w:val="00CF46FE"/>
    <w:rsid w:val="00CF71A5"/>
    <w:rsid w:val="00D06BEF"/>
    <w:rsid w:val="00D11CC8"/>
    <w:rsid w:val="00D13BF8"/>
    <w:rsid w:val="00D1776E"/>
    <w:rsid w:val="00D22E9F"/>
    <w:rsid w:val="00D3057D"/>
    <w:rsid w:val="00D312A1"/>
    <w:rsid w:val="00D3274F"/>
    <w:rsid w:val="00D337CA"/>
    <w:rsid w:val="00D35235"/>
    <w:rsid w:val="00D35607"/>
    <w:rsid w:val="00D443D1"/>
    <w:rsid w:val="00D47064"/>
    <w:rsid w:val="00D4757B"/>
    <w:rsid w:val="00D5052B"/>
    <w:rsid w:val="00D529AD"/>
    <w:rsid w:val="00D55082"/>
    <w:rsid w:val="00D5541B"/>
    <w:rsid w:val="00D57365"/>
    <w:rsid w:val="00D66371"/>
    <w:rsid w:val="00D67F7A"/>
    <w:rsid w:val="00D80CC9"/>
    <w:rsid w:val="00D83B5C"/>
    <w:rsid w:val="00D9251B"/>
    <w:rsid w:val="00D9376A"/>
    <w:rsid w:val="00D97500"/>
    <w:rsid w:val="00DA1992"/>
    <w:rsid w:val="00DA4687"/>
    <w:rsid w:val="00DA72CE"/>
    <w:rsid w:val="00DB417A"/>
    <w:rsid w:val="00DB4C24"/>
    <w:rsid w:val="00DB565B"/>
    <w:rsid w:val="00DC105E"/>
    <w:rsid w:val="00DC2153"/>
    <w:rsid w:val="00DC5109"/>
    <w:rsid w:val="00DD13E0"/>
    <w:rsid w:val="00DD35DC"/>
    <w:rsid w:val="00DD6FDC"/>
    <w:rsid w:val="00DD7ECE"/>
    <w:rsid w:val="00DE0F0D"/>
    <w:rsid w:val="00DE2B1B"/>
    <w:rsid w:val="00DE60B3"/>
    <w:rsid w:val="00DF01BE"/>
    <w:rsid w:val="00DF1C68"/>
    <w:rsid w:val="00DF474F"/>
    <w:rsid w:val="00DF54AC"/>
    <w:rsid w:val="00E030B1"/>
    <w:rsid w:val="00E045B0"/>
    <w:rsid w:val="00E16AF5"/>
    <w:rsid w:val="00E16D68"/>
    <w:rsid w:val="00E235EF"/>
    <w:rsid w:val="00E23A1F"/>
    <w:rsid w:val="00E24917"/>
    <w:rsid w:val="00E25A40"/>
    <w:rsid w:val="00E26AEE"/>
    <w:rsid w:val="00E30856"/>
    <w:rsid w:val="00E344BB"/>
    <w:rsid w:val="00E34984"/>
    <w:rsid w:val="00E35222"/>
    <w:rsid w:val="00E44500"/>
    <w:rsid w:val="00E45E50"/>
    <w:rsid w:val="00E46E77"/>
    <w:rsid w:val="00E47C64"/>
    <w:rsid w:val="00E52499"/>
    <w:rsid w:val="00E5746F"/>
    <w:rsid w:val="00E600BF"/>
    <w:rsid w:val="00E62906"/>
    <w:rsid w:val="00E70A2B"/>
    <w:rsid w:val="00E7147C"/>
    <w:rsid w:val="00E8312A"/>
    <w:rsid w:val="00E84F93"/>
    <w:rsid w:val="00E90334"/>
    <w:rsid w:val="00E93E92"/>
    <w:rsid w:val="00E96141"/>
    <w:rsid w:val="00EA1FD1"/>
    <w:rsid w:val="00EA33B0"/>
    <w:rsid w:val="00EA35E6"/>
    <w:rsid w:val="00EA4485"/>
    <w:rsid w:val="00EA5B78"/>
    <w:rsid w:val="00EC15C8"/>
    <w:rsid w:val="00EC7F65"/>
    <w:rsid w:val="00ED35A1"/>
    <w:rsid w:val="00ED4148"/>
    <w:rsid w:val="00ED4EFB"/>
    <w:rsid w:val="00ED56DD"/>
    <w:rsid w:val="00EE2D7D"/>
    <w:rsid w:val="00EE317E"/>
    <w:rsid w:val="00EE6756"/>
    <w:rsid w:val="00EF0A2A"/>
    <w:rsid w:val="00EF32C9"/>
    <w:rsid w:val="00EF77D4"/>
    <w:rsid w:val="00F00AD7"/>
    <w:rsid w:val="00F12E7A"/>
    <w:rsid w:val="00F20556"/>
    <w:rsid w:val="00F21706"/>
    <w:rsid w:val="00F229E6"/>
    <w:rsid w:val="00F25563"/>
    <w:rsid w:val="00F27A99"/>
    <w:rsid w:val="00F308A2"/>
    <w:rsid w:val="00F3258A"/>
    <w:rsid w:val="00F409DE"/>
    <w:rsid w:val="00F411A6"/>
    <w:rsid w:val="00F514E7"/>
    <w:rsid w:val="00F5201A"/>
    <w:rsid w:val="00F65D1E"/>
    <w:rsid w:val="00F720BE"/>
    <w:rsid w:val="00F7373D"/>
    <w:rsid w:val="00F75D55"/>
    <w:rsid w:val="00F82977"/>
    <w:rsid w:val="00F87AC6"/>
    <w:rsid w:val="00F9211A"/>
    <w:rsid w:val="00F9598E"/>
    <w:rsid w:val="00F96CC5"/>
    <w:rsid w:val="00FA072E"/>
    <w:rsid w:val="00FA0DED"/>
    <w:rsid w:val="00FA6041"/>
    <w:rsid w:val="00FB09AB"/>
    <w:rsid w:val="00FB6435"/>
    <w:rsid w:val="00FC0D62"/>
    <w:rsid w:val="00FC3342"/>
    <w:rsid w:val="00FC5D29"/>
    <w:rsid w:val="00FD7F79"/>
    <w:rsid w:val="00FE358F"/>
    <w:rsid w:val="00FE46F6"/>
    <w:rsid w:val="00FF2DFA"/>
    <w:rsid w:val="015A4132"/>
    <w:rsid w:val="015D302F"/>
    <w:rsid w:val="01AB0F39"/>
    <w:rsid w:val="020E1A38"/>
    <w:rsid w:val="02655B17"/>
    <w:rsid w:val="027022A1"/>
    <w:rsid w:val="02BB0DBE"/>
    <w:rsid w:val="02FA7546"/>
    <w:rsid w:val="03567BC3"/>
    <w:rsid w:val="036C090B"/>
    <w:rsid w:val="03E553FC"/>
    <w:rsid w:val="03E61C14"/>
    <w:rsid w:val="043B1C67"/>
    <w:rsid w:val="04865F58"/>
    <w:rsid w:val="04CC7E6F"/>
    <w:rsid w:val="05151944"/>
    <w:rsid w:val="053C4D06"/>
    <w:rsid w:val="055062C0"/>
    <w:rsid w:val="05B14F14"/>
    <w:rsid w:val="06A57B8E"/>
    <w:rsid w:val="07B77B9E"/>
    <w:rsid w:val="081F53E5"/>
    <w:rsid w:val="082302B5"/>
    <w:rsid w:val="08795DA0"/>
    <w:rsid w:val="08D45F6B"/>
    <w:rsid w:val="08D86706"/>
    <w:rsid w:val="094A55E5"/>
    <w:rsid w:val="09D25A5D"/>
    <w:rsid w:val="0A040534"/>
    <w:rsid w:val="0A6816EE"/>
    <w:rsid w:val="0BF57444"/>
    <w:rsid w:val="0C157E11"/>
    <w:rsid w:val="0C24184B"/>
    <w:rsid w:val="0C5F682C"/>
    <w:rsid w:val="0C8743BD"/>
    <w:rsid w:val="0CD8461A"/>
    <w:rsid w:val="0D973F6F"/>
    <w:rsid w:val="0DA03692"/>
    <w:rsid w:val="0DF06A73"/>
    <w:rsid w:val="0E0A15B7"/>
    <w:rsid w:val="0E8F1C6A"/>
    <w:rsid w:val="0E993022"/>
    <w:rsid w:val="0F1E22E3"/>
    <w:rsid w:val="0F2C3902"/>
    <w:rsid w:val="10802D96"/>
    <w:rsid w:val="10F65104"/>
    <w:rsid w:val="114E75F9"/>
    <w:rsid w:val="117269BF"/>
    <w:rsid w:val="11744826"/>
    <w:rsid w:val="121A1DDC"/>
    <w:rsid w:val="12305958"/>
    <w:rsid w:val="128C323A"/>
    <w:rsid w:val="1295396C"/>
    <w:rsid w:val="12960134"/>
    <w:rsid w:val="12B77A72"/>
    <w:rsid w:val="12D93081"/>
    <w:rsid w:val="13421AE6"/>
    <w:rsid w:val="13CB36AD"/>
    <w:rsid w:val="13CE3455"/>
    <w:rsid w:val="13D86E53"/>
    <w:rsid w:val="14BA5D39"/>
    <w:rsid w:val="14F15BCD"/>
    <w:rsid w:val="14F365CF"/>
    <w:rsid w:val="14F41587"/>
    <w:rsid w:val="15EB648F"/>
    <w:rsid w:val="15ED6F90"/>
    <w:rsid w:val="16006D3C"/>
    <w:rsid w:val="16200BEB"/>
    <w:rsid w:val="162152F4"/>
    <w:rsid w:val="16431CE5"/>
    <w:rsid w:val="165A2BD0"/>
    <w:rsid w:val="165D4CE1"/>
    <w:rsid w:val="16B332DD"/>
    <w:rsid w:val="17C73B7F"/>
    <w:rsid w:val="17D22B36"/>
    <w:rsid w:val="185E1613"/>
    <w:rsid w:val="19E12A1A"/>
    <w:rsid w:val="1A0C059F"/>
    <w:rsid w:val="1B6B302F"/>
    <w:rsid w:val="1C45263E"/>
    <w:rsid w:val="1C5C6E57"/>
    <w:rsid w:val="1CDB511F"/>
    <w:rsid w:val="1E4E7193"/>
    <w:rsid w:val="1E676DCF"/>
    <w:rsid w:val="1EE82513"/>
    <w:rsid w:val="20627177"/>
    <w:rsid w:val="206419E5"/>
    <w:rsid w:val="207733DE"/>
    <w:rsid w:val="209C310D"/>
    <w:rsid w:val="20B05BC6"/>
    <w:rsid w:val="20DF2D33"/>
    <w:rsid w:val="20F155AE"/>
    <w:rsid w:val="213C3AA5"/>
    <w:rsid w:val="218A4A60"/>
    <w:rsid w:val="21D47CBB"/>
    <w:rsid w:val="21E219E0"/>
    <w:rsid w:val="21FD6776"/>
    <w:rsid w:val="224B556D"/>
    <w:rsid w:val="225A6D41"/>
    <w:rsid w:val="236D3FDF"/>
    <w:rsid w:val="2423659F"/>
    <w:rsid w:val="244B1446"/>
    <w:rsid w:val="24A334B8"/>
    <w:rsid w:val="24F41CDA"/>
    <w:rsid w:val="250D1711"/>
    <w:rsid w:val="25394426"/>
    <w:rsid w:val="255940C7"/>
    <w:rsid w:val="259466A4"/>
    <w:rsid w:val="25B4066F"/>
    <w:rsid w:val="25B52A31"/>
    <w:rsid w:val="26565B71"/>
    <w:rsid w:val="265F1933"/>
    <w:rsid w:val="278F1936"/>
    <w:rsid w:val="27FD437A"/>
    <w:rsid w:val="281D6A04"/>
    <w:rsid w:val="28211DAD"/>
    <w:rsid w:val="28601C82"/>
    <w:rsid w:val="2887079E"/>
    <w:rsid w:val="288828A1"/>
    <w:rsid w:val="28B36F64"/>
    <w:rsid w:val="28C75D69"/>
    <w:rsid w:val="29206827"/>
    <w:rsid w:val="295F5405"/>
    <w:rsid w:val="299440ED"/>
    <w:rsid w:val="29AC04FF"/>
    <w:rsid w:val="2A112BCD"/>
    <w:rsid w:val="2A8F4478"/>
    <w:rsid w:val="2AFC73D8"/>
    <w:rsid w:val="2B1F4F76"/>
    <w:rsid w:val="2B732F57"/>
    <w:rsid w:val="2BF01061"/>
    <w:rsid w:val="2C1D3259"/>
    <w:rsid w:val="2C5D245B"/>
    <w:rsid w:val="2C630346"/>
    <w:rsid w:val="2CD80003"/>
    <w:rsid w:val="2D556130"/>
    <w:rsid w:val="2DD04279"/>
    <w:rsid w:val="2E2D3FFC"/>
    <w:rsid w:val="2E8E725D"/>
    <w:rsid w:val="2EA75B1F"/>
    <w:rsid w:val="2F02209F"/>
    <w:rsid w:val="2F2D47D8"/>
    <w:rsid w:val="2F4C75A1"/>
    <w:rsid w:val="2F731FDD"/>
    <w:rsid w:val="2F8D76B0"/>
    <w:rsid w:val="2F8E12D3"/>
    <w:rsid w:val="2FCA2888"/>
    <w:rsid w:val="2FD9253E"/>
    <w:rsid w:val="300A37EC"/>
    <w:rsid w:val="30A827E9"/>
    <w:rsid w:val="30BA3F7E"/>
    <w:rsid w:val="31357AA4"/>
    <w:rsid w:val="32AE4F0F"/>
    <w:rsid w:val="32CF7017"/>
    <w:rsid w:val="332261CE"/>
    <w:rsid w:val="332E4383"/>
    <w:rsid w:val="33AC12CD"/>
    <w:rsid w:val="34253A24"/>
    <w:rsid w:val="34EE78A5"/>
    <w:rsid w:val="35717A42"/>
    <w:rsid w:val="35CA22B5"/>
    <w:rsid w:val="36984928"/>
    <w:rsid w:val="36A2609A"/>
    <w:rsid w:val="36A60433"/>
    <w:rsid w:val="36AC3994"/>
    <w:rsid w:val="36C0668C"/>
    <w:rsid w:val="36D21B5F"/>
    <w:rsid w:val="370A59EF"/>
    <w:rsid w:val="381B3750"/>
    <w:rsid w:val="39035CE6"/>
    <w:rsid w:val="396E1EF9"/>
    <w:rsid w:val="39D10AE3"/>
    <w:rsid w:val="3A9B0074"/>
    <w:rsid w:val="3ABF69BD"/>
    <w:rsid w:val="3B572CFE"/>
    <w:rsid w:val="3B7D6889"/>
    <w:rsid w:val="3C0627ED"/>
    <w:rsid w:val="3C9E2ED8"/>
    <w:rsid w:val="3CC653C2"/>
    <w:rsid w:val="3D2159CC"/>
    <w:rsid w:val="3D4E4828"/>
    <w:rsid w:val="3DA270E3"/>
    <w:rsid w:val="3E866075"/>
    <w:rsid w:val="3F863747"/>
    <w:rsid w:val="405149BF"/>
    <w:rsid w:val="40F5397E"/>
    <w:rsid w:val="414D6E06"/>
    <w:rsid w:val="41723F5D"/>
    <w:rsid w:val="41830FE8"/>
    <w:rsid w:val="429B0111"/>
    <w:rsid w:val="42ED1A5E"/>
    <w:rsid w:val="43267F90"/>
    <w:rsid w:val="433C6A33"/>
    <w:rsid w:val="43641F72"/>
    <w:rsid w:val="44225C1F"/>
    <w:rsid w:val="44655335"/>
    <w:rsid w:val="447D09F2"/>
    <w:rsid w:val="452B3CFB"/>
    <w:rsid w:val="45321820"/>
    <w:rsid w:val="458B3C30"/>
    <w:rsid w:val="458C5F89"/>
    <w:rsid w:val="45901616"/>
    <w:rsid w:val="45DF46D9"/>
    <w:rsid w:val="462B4765"/>
    <w:rsid w:val="464C4DCB"/>
    <w:rsid w:val="46951F91"/>
    <w:rsid w:val="46BA4737"/>
    <w:rsid w:val="46CC1223"/>
    <w:rsid w:val="46CE6670"/>
    <w:rsid w:val="46DA4ECD"/>
    <w:rsid w:val="46DF25E2"/>
    <w:rsid w:val="470400F0"/>
    <w:rsid w:val="47EC32BC"/>
    <w:rsid w:val="489551FD"/>
    <w:rsid w:val="48A61D75"/>
    <w:rsid w:val="48C72092"/>
    <w:rsid w:val="48E765D0"/>
    <w:rsid w:val="48FD40FA"/>
    <w:rsid w:val="49D002A8"/>
    <w:rsid w:val="4A316BDD"/>
    <w:rsid w:val="4A4F1FBF"/>
    <w:rsid w:val="4A796343"/>
    <w:rsid w:val="4A8E4194"/>
    <w:rsid w:val="4AF119C3"/>
    <w:rsid w:val="4B5A2EF7"/>
    <w:rsid w:val="4BAD37CD"/>
    <w:rsid w:val="4C095E0B"/>
    <w:rsid w:val="4CAC0387"/>
    <w:rsid w:val="4CC40F3F"/>
    <w:rsid w:val="4CE563DF"/>
    <w:rsid w:val="4D3C6BFD"/>
    <w:rsid w:val="4D95315D"/>
    <w:rsid w:val="4DAC0A25"/>
    <w:rsid w:val="4DBF1AFA"/>
    <w:rsid w:val="4DF47DC2"/>
    <w:rsid w:val="4E800728"/>
    <w:rsid w:val="4F430707"/>
    <w:rsid w:val="4F4B69A0"/>
    <w:rsid w:val="4F580DE1"/>
    <w:rsid w:val="501F5AF6"/>
    <w:rsid w:val="50363F3F"/>
    <w:rsid w:val="506E5153"/>
    <w:rsid w:val="509C6583"/>
    <w:rsid w:val="50B614BC"/>
    <w:rsid w:val="51A23BD2"/>
    <w:rsid w:val="51CD5EB0"/>
    <w:rsid w:val="51DE3CFB"/>
    <w:rsid w:val="52160FE3"/>
    <w:rsid w:val="525B7920"/>
    <w:rsid w:val="52907FA2"/>
    <w:rsid w:val="52E7721A"/>
    <w:rsid w:val="530512C9"/>
    <w:rsid w:val="546B76D4"/>
    <w:rsid w:val="54C84F91"/>
    <w:rsid w:val="552B23AD"/>
    <w:rsid w:val="55514A1A"/>
    <w:rsid w:val="55BE44DD"/>
    <w:rsid w:val="565C3628"/>
    <w:rsid w:val="57045497"/>
    <w:rsid w:val="571F3E25"/>
    <w:rsid w:val="572C49BB"/>
    <w:rsid w:val="57467B75"/>
    <w:rsid w:val="579367A2"/>
    <w:rsid w:val="57C1117A"/>
    <w:rsid w:val="581155C6"/>
    <w:rsid w:val="583E5547"/>
    <w:rsid w:val="58623F12"/>
    <w:rsid w:val="58835CE3"/>
    <w:rsid w:val="58C3360F"/>
    <w:rsid w:val="58DB67E0"/>
    <w:rsid w:val="596D51C6"/>
    <w:rsid w:val="599B1545"/>
    <w:rsid w:val="59BF080C"/>
    <w:rsid w:val="5A861E4F"/>
    <w:rsid w:val="5BBB45C6"/>
    <w:rsid w:val="5BCB0311"/>
    <w:rsid w:val="5C1F0274"/>
    <w:rsid w:val="5C916A27"/>
    <w:rsid w:val="5CB61701"/>
    <w:rsid w:val="5CCA121B"/>
    <w:rsid w:val="5D26646B"/>
    <w:rsid w:val="5D4C2518"/>
    <w:rsid w:val="5D5C13FE"/>
    <w:rsid w:val="5E5A3F19"/>
    <w:rsid w:val="5EF95AB4"/>
    <w:rsid w:val="5F4624BE"/>
    <w:rsid w:val="5F4D2CA3"/>
    <w:rsid w:val="5FD73B4F"/>
    <w:rsid w:val="60383354"/>
    <w:rsid w:val="608B6625"/>
    <w:rsid w:val="611307A4"/>
    <w:rsid w:val="61C93945"/>
    <w:rsid w:val="61E05A41"/>
    <w:rsid w:val="62423B3A"/>
    <w:rsid w:val="624C47AE"/>
    <w:rsid w:val="62A335D3"/>
    <w:rsid w:val="62CB0BC1"/>
    <w:rsid w:val="63034382"/>
    <w:rsid w:val="64A06678"/>
    <w:rsid w:val="64E96CAE"/>
    <w:rsid w:val="64F067F3"/>
    <w:rsid w:val="65773C6A"/>
    <w:rsid w:val="67061B46"/>
    <w:rsid w:val="68465AA4"/>
    <w:rsid w:val="68ED0BE9"/>
    <w:rsid w:val="6A2344A2"/>
    <w:rsid w:val="6A2E77EB"/>
    <w:rsid w:val="6A5A266B"/>
    <w:rsid w:val="6A9E746F"/>
    <w:rsid w:val="6AA37F7E"/>
    <w:rsid w:val="6AC02A37"/>
    <w:rsid w:val="6AEA630D"/>
    <w:rsid w:val="6AF15B26"/>
    <w:rsid w:val="6B06666B"/>
    <w:rsid w:val="6B0F1777"/>
    <w:rsid w:val="6B691746"/>
    <w:rsid w:val="6B7308FD"/>
    <w:rsid w:val="6B870145"/>
    <w:rsid w:val="6BB14700"/>
    <w:rsid w:val="6BC354E8"/>
    <w:rsid w:val="6C0D4155"/>
    <w:rsid w:val="6C13692D"/>
    <w:rsid w:val="6C731A68"/>
    <w:rsid w:val="6CD84391"/>
    <w:rsid w:val="6D5D3331"/>
    <w:rsid w:val="6DA74DAE"/>
    <w:rsid w:val="6DCC4E89"/>
    <w:rsid w:val="6DE50FAE"/>
    <w:rsid w:val="6DE57FAA"/>
    <w:rsid w:val="6E76792C"/>
    <w:rsid w:val="6EE6634A"/>
    <w:rsid w:val="6F762C06"/>
    <w:rsid w:val="6FD565C6"/>
    <w:rsid w:val="705E09E7"/>
    <w:rsid w:val="707B2535"/>
    <w:rsid w:val="70C34402"/>
    <w:rsid w:val="70CF77DD"/>
    <w:rsid w:val="71170EAE"/>
    <w:rsid w:val="713749C2"/>
    <w:rsid w:val="71817B50"/>
    <w:rsid w:val="7240600E"/>
    <w:rsid w:val="72D352FA"/>
    <w:rsid w:val="730A593A"/>
    <w:rsid w:val="731E4B03"/>
    <w:rsid w:val="73285FEB"/>
    <w:rsid w:val="733A0577"/>
    <w:rsid w:val="735445C7"/>
    <w:rsid w:val="7385789F"/>
    <w:rsid w:val="73F515DD"/>
    <w:rsid w:val="744E59A6"/>
    <w:rsid w:val="7599571C"/>
    <w:rsid w:val="75D22A13"/>
    <w:rsid w:val="75F46DDD"/>
    <w:rsid w:val="75F929D9"/>
    <w:rsid w:val="762B479C"/>
    <w:rsid w:val="767A707A"/>
    <w:rsid w:val="76AE368A"/>
    <w:rsid w:val="76C10051"/>
    <w:rsid w:val="772F0E90"/>
    <w:rsid w:val="787E7392"/>
    <w:rsid w:val="792A7894"/>
    <w:rsid w:val="797E5AE1"/>
    <w:rsid w:val="798619B2"/>
    <w:rsid w:val="79D507B4"/>
    <w:rsid w:val="79DE3918"/>
    <w:rsid w:val="7A566342"/>
    <w:rsid w:val="7A753AE0"/>
    <w:rsid w:val="7AA61009"/>
    <w:rsid w:val="7AB82F5B"/>
    <w:rsid w:val="7B713A28"/>
    <w:rsid w:val="7B79680F"/>
    <w:rsid w:val="7BE25FBE"/>
    <w:rsid w:val="7C681ABB"/>
    <w:rsid w:val="7CB34BBF"/>
    <w:rsid w:val="7D2D5365"/>
    <w:rsid w:val="7D7C1E37"/>
    <w:rsid w:val="7D870BCB"/>
    <w:rsid w:val="7DA17BB0"/>
    <w:rsid w:val="7DDD6A63"/>
    <w:rsid w:val="7EF277D0"/>
    <w:rsid w:val="7F1A0C8E"/>
    <w:rsid w:val="7F7764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ind w:firstLine="601"/>
      <w:jc w:val="both"/>
    </w:pPr>
    <w:rPr>
      <w:rFonts w:ascii="Calibri" w:hAnsi="Calibri" w:eastAsia="仿宋" w:cs="Times New Roman"/>
      <w:kern w:val="2"/>
      <w:sz w:val="30"/>
      <w:szCs w:val="21"/>
      <w:lang w:val="en-US" w:eastAsia="zh-CN" w:bidi="ar-SA"/>
    </w:rPr>
  </w:style>
  <w:style w:type="paragraph" w:styleId="4">
    <w:name w:val="heading 1"/>
    <w:basedOn w:val="1"/>
    <w:next w:val="1"/>
    <w:link w:val="41"/>
    <w:qFormat/>
    <w:uiPriority w:val="9"/>
    <w:pPr>
      <w:keepNext/>
      <w:keepLines/>
      <w:spacing w:before="340"/>
      <w:ind w:left="425" w:hanging="425"/>
      <w:jc w:val="center"/>
      <w:outlineLvl w:val="0"/>
    </w:pPr>
    <w:rPr>
      <w:b/>
      <w:bCs/>
      <w:kern w:val="44"/>
      <w:sz w:val="36"/>
      <w:szCs w:val="44"/>
    </w:rPr>
  </w:style>
  <w:style w:type="paragraph" w:styleId="5">
    <w:name w:val="heading 2"/>
    <w:basedOn w:val="1"/>
    <w:next w:val="1"/>
    <w:link w:val="42"/>
    <w:qFormat/>
    <w:uiPriority w:val="9"/>
    <w:pPr>
      <w:keepNext/>
      <w:keepLines/>
      <w:spacing w:before="260"/>
      <w:ind w:left="992" w:hanging="391"/>
      <w:outlineLvl w:val="1"/>
    </w:pPr>
    <w:rPr>
      <w:b/>
      <w:bCs/>
      <w:szCs w:val="32"/>
    </w:rPr>
  </w:style>
  <w:style w:type="paragraph" w:styleId="6">
    <w:name w:val="heading 3"/>
    <w:basedOn w:val="1"/>
    <w:next w:val="1"/>
    <w:link w:val="43"/>
    <w:qFormat/>
    <w:uiPriority w:val="9"/>
    <w:pPr>
      <w:keepNext/>
      <w:keepLines/>
      <w:adjustRightInd w:val="0"/>
      <w:ind w:left="1418" w:hanging="817"/>
      <w:outlineLvl w:val="2"/>
    </w:pPr>
    <w:rPr>
      <w:b/>
      <w:bCs/>
      <w:szCs w:val="32"/>
    </w:rPr>
  </w:style>
  <w:style w:type="paragraph" w:styleId="7">
    <w:name w:val="heading 4"/>
    <w:basedOn w:val="1"/>
    <w:next w:val="1"/>
    <w:link w:val="44"/>
    <w:qFormat/>
    <w:uiPriority w:val="9"/>
    <w:pPr>
      <w:outlineLvl w:val="3"/>
    </w:pPr>
    <w:rPr>
      <w:color w:val="000000"/>
      <w:szCs w:val="28"/>
    </w:rPr>
  </w:style>
  <w:style w:type="paragraph" w:styleId="8">
    <w:name w:val="heading 5"/>
    <w:basedOn w:val="1"/>
    <w:next w:val="1"/>
    <w:link w:val="45"/>
    <w:qFormat/>
    <w:uiPriority w:val="9"/>
    <w:pPr>
      <w:keepNext/>
      <w:keepLines/>
      <w:spacing w:before="280" w:after="290" w:line="376" w:lineRule="auto"/>
      <w:outlineLvl w:val="4"/>
    </w:pPr>
    <w:rPr>
      <w:b/>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eastAsia="宋体"/>
    </w:rPr>
  </w:style>
  <w:style w:type="paragraph" w:styleId="3">
    <w:name w:val="Body Text Indent"/>
    <w:basedOn w:val="1"/>
    <w:qFormat/>
    <w:uiPriority w:val="0"/>
    <w:pPr>
      <w:ind w:firstLine="555"/>
    </w:pPr>
    <w:rPr>
      <w:sz w:val="28"/>
      <w:szCs w:val="20"/>
    </w:rPr>
  </w:style>
  <w:style w:type="paragraph" w:styleId="9">
    <w:name w:val="toc 7"/>
    <w:basedOn w:val="1"/>
    <w:next w:val="1"/>
    <w:unhideWhenUsed/>
    <w:qFormat/>
    <w:uiPriority w:val="39"/>
    <w:pPr>
      <w:ind w:left="1800"/>
      <w:jc w:val="left"/>
    </w:pPr>
    <w:rPr>
      <w:rFonts w:ascii="等线" w:eastAsia="等线"/>
      <w:sz w:val="18"/>
      <w:szCs w:val="18"/>
    </w:rPr>
  </w:style>
  <w:style w:type="paragraph" w:styleId="10">
    <w:name w:val="Normal Indent"/>
    <w:basedOn w:val="1"/>
    <w:unhideWhenUsed/>
    <w:uiPriority w:val="99"/>
    <w:pPr>
      <w:ind w:firstLine="420" w:firstLineChars="200"/>
    </w:pPr>
  </w:style>
  <w:style w:type="paragraph" w:styleId="11">
    <w:name w:val="index 5"/>
    <w:basedOn w:val="1"/>
    <w:next w:val="1"/>
    <w:unhideWhenUsed/>
    <w:uiPriority w:val="99"/>
    <w:pPr>
      <w:snapToGrid w:val="0"/>
      <w:spacing w:line="360" w:lineRule="auto"/>
      <w:ind w:firstLine="640" w:firstLineChars="200"/>
    </w:pPr>
    <w:rPr>
      <w:rFonts w:ascii="黑体" w:hAnsi="黑体" w:eastAsia="黑体" w:cs="仿宋_GB2312"/>
      <w:bCs/>
      <w:kern w:val="0"/>
      <w:sz w:val="32"/>
      <w:szCs w:val="32"/>
    </w:rPr>
  </w:style>
  <w:style w:type="paragraph" w:styleId="12">
    <w:name w:val="Document Map"/>
    <w:basedOn w:val="1"/>
    <w:link w:val="46"/>
    <w:unhideWhenUsed/>
    <w:qFormat/>
    <w:uiPriority w:val="99"/>
    <w:rPr>
      <w:rFonts w:ascii="宋体" w:eastAsia="宋体"/>
      <w:sz w:val="18"/>
      <w:szCs w:val="18"/>
    </w:rPr>
  </w:style>
  <w:style w:type="paragraph" w:styleId="13">
    <w:name w:val="annotation text"/>
    <w:basedOn w:val="1"/>
    <w:link w:val="47"/>
    <w:unhideWhenUsed/>
    <w:qFormat/>
    <w:uiPriority w:val="99"/>
    <w:pPr>
      <w:jc w:val="left"/>
    </w:pPr>
  </w:style>
  <w:style w:type="paragraph" w:styleId="14">
    <w:name w:val="Body Text"/>
    <w:basedOn w:val="1"/>
    <w:qFormat/>
    <w:uiPriority w:val="1"/>
    <w:rPr>
      <w:rFonts w:ascii="仿宋" w:hAnsi="仿宋" w:cs="仿宋"/>
      <w:szCs w:val="30"/>
      <w:lang w:val="zh-CN" w:bidi="zh-CN"/>
    </w:rPr>
  </w:style>
  <w:style w:type="paragraph" w:styleId="15">
    <w:name w:val="toc 5"/>
    <w:basedOn w:val="1"/>
    <w:next w:val="1"/>
    <w:unhideWhenUsed/>
    <w:qFormat/>
    <w:uiPriority w:val="39"/>
    <w:pPr>
      <w:ind w:left="1200"/>
      <w:jc w:val="left"/>
    </w:pPr>
    <w:rPr>
      <w:rFonts w:ascii="等线" w:eastAsia="等线"/>
      <w:sz w:val="18"/>
      <w:szCs w:val="18"/>
    </w:rPr>
  </w:style>
  <w:style w:type="paragraph" w:styleId="16">
    <w:name w:val="toc 3"/>
    <w:basedOn w:val="1"/>
    <w:next w:val="1"/>
    <w:unhideWhenUsed/>
    <w:qFormat/>
    <w:uiPriority w:val="39"/>
    <w:pPr>
      <w:ind w:left="600"/>
      <w:jc w:val="left"/>
    </w:pPr>
    <w:rPr>
      <w:rFonts w:ascii="等线" w:eastAsia="等线"/>
      <w:i/>
      <w:iCs/>
      <w:sz w:val="20"/>
      <w:szCs w:val="20"/>
    </w:rPr>
  </w:style>
  <w:style w:type="paragraph" w:styleId="17">
    <w:name w:val="toc 8"/>
    <w:basedOn w:val="1"/>
    <w:next w:val="1"/>
    <w:unhideWhenUsed/>
    <w:qFormat/>
    <w:uiPriority w:val="39"/>
    <w:pPr>
      <w:ind w:left="2100"/>
      <w:jc w:val="left"/>
    </w:pPr>
    <w:rPr>
      <w:rFonts w:ascii="等线" w:eastAsia="等线"/>
      <w:sz w:val="18"/>
      <w:szCs w:val="18"/>
    </w:rPr>
  </w:style>
  <w:style w:type="paragraph" w:styleId="18">
    <w:name w:val="endnote text"/>
    <w:basedOn w:val="1"/>
    <w:link w:val="48"/>
    <w:unhideWhenUsed/>
    <w:qFormat/>
    <w:uiPriority w:val="99"/>
    <w:pPr>
      <w:jc w:val="left"/>
    </w:pPr>
  </w:style>
  <w:style w:type="paragraph" w:styleId="19">
    <w:name w:val="Balloon Text"/>
    <w:basedOn w:val="1"/>
    <w:link w:val="49"/>
    <w:unhideWhenUsed/>
    <w:qFormat/>
    <w:uiPriority w:val="99"/>
    <w:rPr>
      <w:rFonts w:eastAsia="宋体"/>
      <w:kern w:val="0"/>
      <w:sz w:val="18"/>
      <w:szCs w:val="18"/>
    </w:rPr>
  </w:style>
  <w:style w:type="paragraph" w:styleId="20">
    <w:name w:val="footer"/>
    <w:basedOn w:val="1"/>
    <w:link w:val="50"/>
    <w:unhideWhenUsed/>
    <w:qFormat/>
    <w:uiPriority w:val="99"/>
    <w:pPr>
      <w:tabs>
        <w:tab w:val="center" w:pos="4153"/>
        <w:tab w:val="right" w:pos="8306"/>
      </w:tabs>
      <w:jc w:val="left"/>
    </w:pPr>
    <w:rPr>
      <w:rFonts w:eastAsia="宋体"/>
      <w:kern w:val="0"/>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jc w:val="center"/>
    </w:pPr>
    <w:rPr>
      <w:rFonts w:eastAsia="宋体"/>
      <w:kern w:val="0"/>
      <w:sz w:val="18"/>
      <w:szCs w:val="18"/>
    </w:rPr>
  </w:style>
  <w:style w:type="paragraph" w:styleId="22">
    <w:name w:val="toc 1"/>
    <w:basedOn w:val="1"/>
    <w:next w:val="1"/>
    <w:unhideWhenUsed/>
    <w:qFormat/>
    <w:uiPriority w:val="39"/>
    <w:pPr>
      <w:tabs>
        <w:tab w:val="right" w:leader="dot" w:pos="8296"/>
      </w:tabs>
      <w:adjustRightInd w:val="0"/>
      <w:ind w:firstLine="0"/>
      <w:jc w:val="left"/>
    </w:pPr>
    <w:rPr>
      <w:b/>
      <w:caps/>
      <w:sz w:val="24"/>
      <w:szCs w:val="24"/>
    </w:rPr>
  </w:style>
  <w:style w:type="paragraph" w:styleId="23">
    <w:name w:val="toc 4"/>
    <w:basedOn w:val="1"/>
    <w:next w:val="1"/>
    <w:unhideWhenUsed/>
    <w:qFormat/>
    <w:uiPriority w:val="39"/>
    <w:pPr>
      <w:ind w:left="900"/>
      <w:jc w:val="left"/>
    </w:pPr>
    <w:rPr>
      <w:rFonts w:ascii="等线" w:eastAsia="等线"/>
      <w:sz w:val="18"/>
      <w:szCs w:val="18"/>
    </w:rPr>
  </w:style>
  <w:style w:type="paragraph" w:styleId="24">
    <w:name w:val="Subtitle"/>
    <w:basedOn w:val="1"/>
    <w:next w:val="1"/>
    <w:qFormat/>
    <w:uiPriority w:val="0"/>
    <w:pPr>
      <w:spacing w:beforeLines="50" w:afterLines="50" w:line="312" w:lineRule="auto"/>
      <w:jc w:val="center"/>
      <w:outlineLvl w:val="2"/>
    </w:pPr>
    <w:rPr>
      <w:rFonts w:ascii="Cambria" w:hAnsi="Cambria" w:eastAsia="Cambria"/>
      <w:b/>
      <w:bCs/>
      <w:kern w:val="28"/>
      <w:szCs w:val="32"/>
    </w:rPr>
  </w:style>
  <w:style w:type="paragraph" w:styleId="25">
    <w:name w:val="footnote text"/>
    <w:basedOn w:val="1"/>
    <w:qFormat/>
    <w:uiPriority w:val="0"/>
    <w:pPr>
      <w:jc w:val="left"/>
    </w:pPr>
    <w:rPr>
      <w:rFonts w:ascii="等线" w:hAnsi="等线" w:eastAsia="等线"/>
      <w:sz w:val="18"/>
      <w:szCs w:val="18"/>
    </w:rPr>
  </w:style>
  <w:style w:type="paragraph" w:styleId="26">
    <w:name w:val="toc 6"/>
    <w:basedOn w:val="1"/>
    <w:next w:val="1"/>
    <w:unhideWhenUsed/>
    <w:qFormat/>
    <w:uiPriority w:val="39"/>
    <w:pPr>
      <w:ind w:left="1500"/>
      <w:jc w:val="left"/>
    </w:pPr>
    <w:rPr>
      <w:rFonts w:ascii="等线" w:eastAsia="等线"/>
      <w:sz w:val="18"/>
      <w:szCs w:val="18"/>
    </w:rPr>
  </w:style>
  <w:style w:type="paragraph" w:styleId="27">
    <w:name w:val="toc 2"/>
    <w:basedOn w:val="1"/>
    <w:next w:val="1"/>
    <w:unhideWhenUsed/>
    <w:qFormat/>
    <w:uiPriority w:val="39"/>
    <w:pPr>
      <w:ind w:left="300"/>
      <w:jc w:val="left"/>
    </w:pPr>
    <w:rPr>
      <w:rFonts w:ascii="等线" w:eastAsia="等线"/>
      <w:smallCaps/>
      <w:sz w:val="20"/>
      <w:szCs w:val="20"/>
    </w:rPr>
  </w:style>
  <w:style w:type="paragraph" w:styleId="28">
    <w:name w:val="toc 9"/>
    <w:basedOn w:val="1"/>
    <w:next w:val="1"/>
    <w:unhideWhenUsed/>
    <w:qFormat/>
    <w:uiPriority w:val="39"/>
    <w:pPr>
      <w:ind w:left="2400"/>
      <w:jc w:val="left"/>
    </w:pPr>
    <w:rPr>
      <w:rFonts w:ascii="等线" w:eastAsia="等线"/>
      <w:sz w:val="18"/>
      <w:szCs w:val="18"/>
    </w:rPr>
  </w:style>
  <w:style w:type="paragraph" w:styleId="29">
    <w:name w:val="Body Text 2"/>
    <w:basedOn w:val="1"/>
    <w:unhideWhenUsed/>
    <w:qFormat/>
    <w:uiPriority w:val="99"/>
    <w:pPr>
      <w:spacing w:after="120" w:afterLines="0" w:line="480" w:lineRule="auto"/>
    </w:pPr>
  </w:style>
  <w:style w:type="paragraph" w:styleId="30">
    <w:name w:val="Normal (Web)"/>
    <w:basedOn w:val="1"/>
    <w:qFormat/>
    <w:uiPriority w:val="0"/>
    <w:pPr>
      <w:spacing w:beforeAutospacing="1" w:afterAutospacing="1"/>
      <w:jc w:val="left"/>
    </w:pPr>
    <w:rPr>
      <w:kern w:val="0"/>
      <w:sz w:val="24"/>
      <w:szCs w:val="24"/>
    </w:rPr>
  </w:style>
  <w:style w:type="paragraph" w:styleId="31">
    <w:name w:val="annotation subject"/>
    <w:basedOn w:val="13"/>
    <w:next w:val="13"/>
    <w:link w:val="52"/>
    <w:unhideWhenUsed/>
    <w:qFormat/>
    <w:uiPriority w:val="99"/>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rPr>
  </w:style>
  <w:style w:type="character" w:styleId="36">
    <w:name w:val="endnote reference"/>
    <w:basedOn w:val="34"/>
    <w:unhideWhenUsed/>
    <w:qFormat/>
    <w:uiPriority w:val="99"/>
    <w:rPr>
      <w:vertAlign w:val="superscript"/>
    </w:rPr>
  </w:style>
  <w:style w:type="character" w:styleId="37">
    <w:name w:val="FollowedHyperlink"/>
    <w:basedOn w:val="34"/>
    <w:unhideWhenUsed/>
    <w:qFormat/>
    <w:uiPriority w:val="99"/>
    <w:rPr>
      <w:rFonts w:hint="eastAsia" w:ascii="微软雅黑" w:hAnsi="微软雅黑" w:eastAsia="微软雅黑" w:cs="微软雅黑"/>
      <w:color w:val="333333"/>
      <w:sz w:val="21"/>
      <w:szCs w:val="21"/>
      <w:u w:val="none"/>
    </w:rPr>
  </w:style>
  <w:style w:type="character" w:styleId="38">
    <w:name w:val="Hyperlink"/>
    <w:unhideWhenUsed/>
    <w:qFormat/>
    <w:uiPriority w:val="99"/>
    <w:rPr>
      <w:color w:val="0000FF"/>
      <w:u w:val="single"/>
    </w:rPr>
  </w:style>
  <w:style w:type="character" w:styleId="39">
    <w:name w:val="annotation reference"/>
    <w:basedOn w:val="34"/>
    <w:unhideWhenUsed/>
    <w:qFormat/>
    <w:uiPriority w:val="99"/>
    <w:rPr>
      <w:sz w:val="21"/>
      <w:szCs w:val="21"/>
    </w:rPr>
  </w:style>
  <w:style w:type="character" w:styleId="40">
    <w:name w:val="footnote reference"/>
    <w:qFormat/>
    <w:uiPriority w:val="0"/>
    <w:rPr>
      <w:vertAlign w:val="superscript"/>
    </w:rPr>
  </w:style>
  <w:style w:type="character" w:customStyle="1" w:styleId="41">
    <w:name w:val="标题 1 Char"/>
    <w:link w:val="4"/>
    <w:qFormat/>
    <w:uiPriority w:val="9"/>
    <w:rPr>
      <w:rFonts w:eastAsia="仿宋"/>
      <w:b/>
      <w:bCs/>
      <w:kern w:val="44"/>
      <w:sz w:val="36"/>
      <w:szCs w:val="44"/>
    </w:rPr>
  </w:style>
  <w:style w:type="character" w:customStyle="1" w:styleId="42">
    <w:name w:val="标题 2 Char"/>
    <w:link w:val="5"/>
    <w:qFormat/>
    <w:uiPriority w:val="9"/>
    <w:rPr>
      <w:rFonts w:eastAsia="仿宋"/>
      <w:b/>
      <w:bCs/>
      <w:kern w:val="2"/>
      <w:sz w:val="30"/>
      <w:szCs w:val="32"/>
    </w:rPr>
  </w:style>
  <w:style w:type="character" w:customStyle="1" w:styleId="43">
    <w:name w:val="标题 3 Char"/>
    <w:link w:val="6"/>
    <w:qFormat/>
    <w:uiPriority w:val="9"/>
    <w:rPr>
      <w:rFonts w:eastAsia="仿宋"/>
      <w:b/>
      <w:bCs/>
      <w:kern w:val="2"/>
      <w:sz w:val="30"/>
      <w:szCs w:val="32"/>
    </w:rPr>
  </w:style>
  <w:style w:type="character" w:customStyle="1" w:styleId="44">
    <w:name w:val="标题 4 Char"/>
    <w:basedOn w:val="34"/>
    <w:link w:val="7"/>
    <w:qFormat/>
    <w:uiPriority w:val="9"/>
    <w:rPr>
      <w:rFonts w:ascii="Times New Roman" w:hAnsi="Times New Roman" w:eastAsia="仿宋" w:cs="Times New Roman"/>
      <w:b/>
      <w:bCs/>
      <w:color w:val="000000"/>
      <w:kern w:val="2"/>
      <w:sz w:val="30"/>
      <w:szCs w:val="28"/>
    </w:rPr>
  </w:style>
  <w:style w:type="character" w:customStyle="1" w:styleId="45">
    <w:name w:val="标题 5 Char"/>
    <w:basedOn w:val="34"/>
    <w:link w:val="8"/>
    <w:semiHidden/>
    <w:qFormat/>
    <w:uiPriority w:val="9"/>
    <w:rPr>
      <w:rFonts w:ascii="Times New Roman" w:hAnsi="Times New Roman" w:eastAsia="仿宋"/>
      <w:b/>
      <w:bCs/>
      <w:kern w:val="2"/>
      <w:sz w:val="28"/>
      <w:szCs w:val="28"/>
    </w:rPr>
  </w:style>
  <w:style w:type="character" w:customStyle="1" w:styleId="46">
    <w:name w:val="文档结构图 Char"/>
    <w:basedOn w:val="34"/>
    <w:link w:val="12"/>
    <w:semiHidden/>
    <w:qFormat/>
    <w:uiPriority w:val="99"/>
    <w:rPr>
      <w:rFonts w:ascii="宋体" w:hAnsi="Times New Roman"/>
      <w:kern w:val="2"/>
      <w:sz w:val="18"/>
      <w:szCs w:val="18"/>
    </w:rPr>
  </w:style>
  <w:style w:type="character" w:customStyle="1" w:styleId="47">
    <w:name w:val="批注文字 Char"/>
    <w:basedOn w:val="34"/>
    <w:link w:val="13"/>
    <w:semiHidden/>
    <w:qFormat/>
    <w:uiPriority w:val="99"/>
    <w:rPr>
      <w:rFonts w:ascii="Times New Roman" w:hAnsi="Times New Roman" w:eastAsia="仿宋"/>
      <w:kern w:val="2"/>
      <w:sz w:val="30"/>
      <w:szCs w:val="21"/>
    </w:rPr>
  </w:style>
  <w:style w:type="character" w:customStyle="1" w:styleId="48">
    <w:name w:val="尾注文本 Char"/>
    <w:basedOn w:val="34"/>
    <w:link w:val="18"/>
    <w:semiHidden/>
    <w:qFormat/>
    <w:uiPriority w:val="99"/>
    <w:rPr>
      <w:rFonts w:eastAsia="仿宋"/>
      <w:kern w:val="2"/>
      <w:sz w:val="30"/>
      <w:szCs w:val="21"/>
    </w:rPr>
  </w:style>
  <w:style w:type="character" w:customStyle="1" w:styleId="49">
    <w:name w:val="批注框文本 Char"/>
    <w:link w:val="19"/>
    <w:semiHidden/>
    <w:qFormat/>
    <w:uiPriority w:val="99"/>
    <w:rPr>
      <w:sz w:val="18"/>
      <w:szCs w:val="18"/>
    </w:rPr>
  </w:style>
  <w:style w:type="character" w:customStyle="1" w:styleId="50">
    <w:name w:val="页脚 Char1"/>
    <w:link w:val="20"/>
    <w:qFormat/>
    <w:uiPriority w:val="99"/>
    <w:rPr>
      <w:sz w:val="18"/>
      <w:szCs w:val="18"/>
    </w:rPr>
  </w:style>
  <w:style w:type="character" w:customStyle="1" w:styleId="51">
    <w:name w:val="页眉 Char"/>
    <w:link w:val="21"/>
    <w:qFormat/>
    <w:uiPriority w:val="99"/>
    <w:rPr>
      <w:sz w:val="18"/>
      <w:szCs w:val="18"/>
    </w:rPr>
  </w:style>
  <w:style w:type="character" w:customStyle="1" w:styleId="52">
    <w:name w:val="批注主题 Char"/>
    <w:basedOn w:val="47"/>
    <w:link w:val="31"/>
    <w:semiHidden/>
    <w:qFormat/>
    <w:uiPriority w:val="99"/>
    <w:rPr>
      <w:rFonts w:ascii="Times New Roman" w:hAnsi="Times New Roman" w:eastAsia="仿宋"/>
      <w:b/>
      <w:bCs/>
      <w:kern w:val="2"/>
      <w:sz w:val="30"/>
      <w:szCs w:val="21"/>
    </w:rPr>
  </w:style>
  <w:style w:type="character" w:customStyle="1" w:styleId="53">
    <w:name w:val="标 题 1 Char"/>
    <w:link w:val="54"/>
    <w:uiPriority w:val="0"/>
    <w:rPr>
      <w:rFonts w:ascii="Times New Roman" w:hAnsi="Times New Roman" w:eastAsia="黑体" w:cs="宋体"/>
      <w:sz w:val="32"/>
      <w:szCs w:val="20"/>
    </w:rPr>
  </w:style>
  <w:style w:type="paragraph" w:customStyle="1" w:styleId="54">
    <w:name w:val="标 题 1"/>
    <w:basedOn w:val="4"/>
    <w:link w:val="53"/>
    <w:qFormat/>
    <w:uiPriority w:val="0"/>
    <w:pPr>
      <w:tabs>
        <w:tab w:val="left" w:pos="-24"/>
        <w:tab w:val="left" w:pos="1018"/>
      </w:tabs>
      <w:snapToGrid/>
      <w:spacing w:before="160" w:after="360"/>
    </w:pPr>
    <w:rPr>
      <w:rFonts w:eastAsia="黑体"/>
      <w:b w:val="0"/>
      <w:bCs w:val="0"/>
      <w:kern w:val="0"/>
      <w:sz w:val="32"/>
      <w:szCs w:val="20"/>
    </w:rPr>
  </w:style>
  <w:style w:type="character" w:customStyle="1" w:styleId="55">
    <w:name w:val="标题5 字符"/>
    <w:basedOn w:val="45"/>
    <w:link w:val="56"/>
    <w:qFormat/>
    <w:uiPriority w:val="0"/>
    <w:rPr>
      <w:rFonts w:ascii="Times New Roman" w:hAnsi="Times New Roman" w:eastAsia="仿宋"/>
      <w:bCs w:val="0"/>
      <w:color w:val="000000"/>
      <w:kern w:val="2"/>
      <w:sz w:val="30"/>
      <w:szCs w:val="30"/>
    </w:rPr>
  </w:style>
  <w:style w:type="paragraph" w:customStyle="1" w:styleId="56">
    <w:name w:val="标题5"/>
    <w:basedOn w:val="8"/>
    <w:link w:val="55"/>
    <w:qFormat/>
    <w:uiPriority w:val="0"/>
    <w:pPr>
      <w:spacing w:before="0" w:after="0" w:line="360" w:lineRule="auto"/>
      <w:ind w:firstLine="602" w:firstLineChars="200"/>
    </w:pPr>
    <w:rPr>
      <w:bCs w:val="0"/>
      <w:color w:val="000000"/>
      <w:sz w:val="30"/>
      <w:szCs w:val="30"/>
    </w:rPr>
  </w:style>
  <w:style w:type="character" w:customStyle="1" w:styleId="57">
    <w:name w:val="页脚 Char"/>
    <w:qFormat/>
    <w:uiPriority w:val="99"/>
    <w:rPr>
      <w:kern w:val="2"/>
      <w:sz w:val="18"/>
      <w:szCs w:val="18"/>
    </w:rPr>
  </w:style>
  <w:style w:type="character" w:customStyle="1" w:styleId="58">
    <w:name w:val="未处理的提及1"/>
    <w:basedOn w:val="34"/>
    <w:unhideWhenUsed/>
    <w:qFormat/>
    <w:uiPriority w:val="99"/>
    <w:rPr>
      <w:color w:val="605E5C"/>
      <w:shd w:val="clear" w:color="auto" w:fill="E1DFDD"/>
    </w:rPr>
  </w:style>
  <w:style w:type="character" w:customStyle="1" w:styleId="59">
    <w:name w:val="页眉 Char1"/>
    <w:qFormat/>
    <w:uiPriority w:val="0"/>
    <w:rPr>
      <w:rFonts w:eastAsia="隶书"/>
      <w:kern w:val="2"/>
      <w:sz w:val="21"/>
      <w:szCs w:val="18"/>
    </w:rPr>
  </w:style>
  <w:style w:type="character" w:customStyle="1" w:styleId="60">
    <w:name w:val="科技正文 Char"/>
    <w:link w:val="61"/>
    <w:qFormat/>
    <w:uiPriority w:val="0"/>
    <w:rPr>
      <w:color w:val="000000"/>
      <w:sz w:val="30"/>
      <w:szCs w:val="30"/>
    </w:rPr>
  </w:style>
  <w:style w:type="paragraph" w:customStyle="1" w:styleId="61">
    <w:name w:val="科技正文"/>
    <w:basedOn w:val="1"/>
    <w:link w:val="60"/>
    <w:qFormat/>
    <w:uiPriority w:val="0"/>
    <w:pPr>
      <w:tabs>
        <w:tab w:val="left" w:pos="491"/>
        <w:tab w:val="left" w:pos="2700"/>
        <w:tab w:val="left" w:pos="3686"/>
        <w:tab w:val="right" w:pos="9000"/>
      </w:tabs>
      <w:adjustRightInd w:val="0"/>
      <w:snapToGrid/>
      <w:ind w:firstLine="560"/>
      <w:textAlignment w:val="baseline"/>
    </w:pPr>
    <w:rPr>
      <w:rFonts w:eastAsia="宋体"/>
      <w:color w:val="000000"/>
      <w:kern w:val="0"/>
      <w:szCs w:val="30"/>
    </w:rPr>
  </w:style>
  <w:style w:type="character" w:customStyle="1" w:styleId="62">
    <w:name w:val="样式1 字符"/>
    <w:basedOn w:val="44"/>
    <w:link w:val="63"/>
    <w:qFormat/>
    <w:uiPriority w:val="0"/>
    <w:rPr>
      <w:rFonts w:ascii="Times New Roman" w:hAnsi="Times New Roman" w:eastAsia="黑体" w:cs="Times New Roman"/>
      <w:b w:val="0"/>
      <w:bCs w:val="0"/>
      <w:color w:val="FF0000"/>
      <w:kern w:val="44"/>
      <w:sz w:val="36"/>
      <w:szCs w:val="44"/>
    </w:rPr>
  </w:style>
  <w:style w:type="paragraph" w:customStyle="1" w:styleId="63">
    <w:name w:val="样式1"/>
    <w:basedOn w:val="4"/>
    <w:next w:val="1"/>
    <w:link w:val="62"/>
    <w:qFormat/>
    <w:uiPriority w:val="0"/>
    <w:pPr>
      <w:spacing w:before="0"/>
      <w:ind w:firstLine="0"/>
    </w:pPr>
    <w:rPr>
      <w:rFonts w:eastAsia="黑体"/>
      <w:b w:val="0"/>
      <w:bCs w:val="0"/>
    </w:rPr>
  </w:style>
  <w:style w:type="character" w:customStyle="1" w:styleId="64">
    <w:name w:val="NormalCharacter"/>
    <w:semiHidden/>
    <w:qFormat/>
    <w:uiPriority w:val="0"/>
    <w:rPr>
      <w:rFonts w:eastAsia="仿宋"/>
      <w:kern w:val="2"/>
      <w:sz w:val="30"/>
      <w:szCs w:val="21"/>
      <w:lang w:val="en-US" w:eastAsia="zh-CN" w:bidi="ar-SA"/>
    </w:rPr>
  </w:style>
  <w:style w:type="character" w:customStyle="1" w:styleId="65">
    <w:name w:val="图标题 字符"/>
    <w:basedOn w:val="34"/>
    <w:link w:val="66"/>
    <w:qFormat/>
    <w:uiPriority w:val="0"/>
    <w:rPr>
      <w:rFonts w:ascii="Times New Roman" w:hAnsi="Times New Roman" w:eastAsia="仿宋"/>
      <w:b/>
      <w:color w:val="000000"/>
      <w:kern w:val="2"/>
      <w:sz w:val="28"/>
      <w:szCs w:val="30"/>
    </w:rPr>
  </w:style>
  <w:style w:type="paragraph" w:customStyle="1" w:styleId="66">
    <w:name w:val="图标题"/>
    <w:basedOn w:val="1"/>
    <w:next w:val="1"/>
    <w:link w:val="65"/>
    <w:qFormat/>
    <w:uiPriority w:val="0"/>
    <w:pPr>
      <w:adjustRightInd w:val="0"/>
      <w:spacing w:beforeLines="100" w:line="240" w:lineRule="auto"/>
      <w:ind w:firstLine="0"/>
      <w:jc w:val="center"/>
    </w:pPr>
    <w:rPr>
      <w:b/>
      <w:color w:val="000000"/>
      <w:sz w:val="28"/>
      <w:szCs w:val="30"/>
    </w:rPr>
  </w:style>
  <w:style w:type="paragraph" w:customStyle="1" w:styleId="67">
    <w:name w:val="Body text|1"/>
    <w:basedOn w:val="1"/>
    <w:qFormat/>
    <w:uiPriority w:val="0"/>
    <w:pPr>
      <w:spacing w:line="442" w:lineRule="auto"/>
      <w:ind w:firstLine="400"/>
    </w:pPr>
    <w:rPr>
      <w:rFonts w:ascii="宋体" w:hAnsi="宋体" w:eastAsia="宋体" w:cs="宋体"/>
      <w:szCs w:val="30"/>
      <w:lang w:val="zh-TW" w:eastAsia="zh-TW" w:bidi="zh-TW"/>
    </w:rPr>
  </w:style>
  <w:style w:type="paragraph" w:customStyle="1" w:styleId="68">
    <w:name w:val="正文 New New New New"/>
    <w:qFormat/>
    <w:uiPriority w:val="0"/>
    <w:pPr>
      <w:widowControl w:val="0"/>
      <w:spacing w:line="600" w:lineRule="exact"/>
      <w:jc w:val="both"/>
    </w:pPr>
    <w:rPr>
      <w:rFonts w:hint="eastAsia" w:ascii="Calibri" w:hAnsi="Calibri" w:eastAsia="仿宋_GB2312" w:cs="Times New Roman"/>
      <w:kern w:val="2"/>
      <w:sz w:val="32"/>
      <w:lang w:val="en-US" w:eastAsia="zh-CN" w:bidi="ar-SA"/>
    </w:rPr>
  </w:style>
  <w:style w:type="paragraph" w:customStyle="1" w:styleId="69">
    <w:name w:val="Table Paragraph"/>
    <w:basedOn w:val="1"/>
    <w:qFormat/>
    <w:uiPriority w:val="1"/>
    <w:pPr>
      <w:snapToGrid/>
      <w:spacing w:line="240" w:lineRule="auto"/>
      <w:ind w:firstLine="0"/>
      <w:jc w:val="left"/>
    </w:pPr>
    <w:rPr>
      <w:rFonts w:ascii="Calibri" w:hAnsi="Calibri" w:eastAsia="Calibri"/>
      <w:kern w:val="0"/>
      <w:sz w:val="22"/>
      <w:szCs w:val="22"/>
      <w:lang w:eastAsia="en-US"/>
    </w:rPr>
  </w:style>
  <w:style w:type="paragraph" w:customStyle="1" w:styleId="70">
    <w:name w:val="目录 21"/>
    <w:basedOn w:val="1"/>
    <w:next w:val="1"/>
    <w:unhideWhenUsed/>
    <w:qFormat/>
    <w:uiPriority w:val="39"/>
    <w:pPr>
      <w:ind w:left="420" w:leftChars="200"/>
    </w:pPr>
  </w:style>
  <w:style w:type="paragraph" w:customStyle="1" w:styleId="71">
    <w:name w:val="标 题 4"/>
    <w:basedOn w:val="1"/>
    <w:next w:val="61"/>
    <w:qFormat/>
    <w:uiPriority w:val="0"/>
    <w:pPr>
      <w:keepNext/>
      <w:keepLines/>
      <w:tabs>
        <w:tab w:val="left" w:pos="1018"/>
      </w:tabs>
      <w:snapToGrid/>
      <w:outlineLvl w:val="2"/>
    </w:pPr>
    <w:rPr>
      <w:rFonts w:eastAsia="宋体" w:cs="宋体"/>
      <w:b/>
      <w:bCs/>
      <w:szCs w:val="20"/>
    </w:rPr>
  </w:style>
  <w:style w:type="paragraph" w:customStyle="1" w:styleId="72">
    <w:name w:val="列出段落1"/>
    <w:basedOn w:val="1"/>
    <w:qFormat/>
    <w:uiPriority w:val="34"/>
    <w:pPr>
      <w:ind w:firstLine="420" w:firstLineChars="200"/>
    </w:pPr>
  </w:style>
  <w:style w:type="paragraph" w:customStyle="1" w:styleId="73">
    <w:name w:val="_Style 54"/>
    <w:basedOn w:val="1"/>
    <w:next w:val="74"/>
    <w:qFormat/>
    <w:uiPriority w:val="0"/>
    <w:pPr>
      <w:snapToGrid/>
      <w:spacing w:line="240" w:lineRule="auto"/>
      <w:ind w:firstLine="0"/>
    </w:pPr>
    <w:rPr>
      <w:rFonts w:eastAsia="宋体"/>
      <w:sz w:val="21"/>
      <w:szCs w:val="24"/>
    </w:rPr>
  </w:style>
  <w:style w:type="paragraph" w:styleId="74">
    <w:name w:val="List Paragraph"/>
    <w:basedOn w:val="1"/>
    <w:qFormat/>
    <w:uiPriority w:val="34"/>
    <w:pPr>
      <w:ind w:firstLine="420" w:firstLineChars="200"/>
    </w:pPr>
  </w:style>
  <w:style w:type="paragraph" w:customStyle="1" w:styleId="75">
    <w:name w:val="标 题 2"/>
    <w:basedOn w:val="5"/>
    <w:qFormat/>
    <w:uiPriority w:val="0"/>
    <w:pPr>
      <w:tabs>
        <w:tab w:val="left" w:pos="1018"/>
      </w:tabs>
      <w:snapToGrid/>
      <w:spacing w:before="0"/>
      <w:ind w:left="0" w:firstLine="0"/>
      <w:jc w:val="left"/>
    </w:pPr>
    <w:rPr>
      <w:rFonts w:eastAsia="宋体" w:cs="宋体"/>
      <w:color w:val="000000"/>
      <w:szCs w:val="30"/>
    </w:rPr>
  </w:style>
  <w:style w:type="paragraph" w:customStyle="1" w:styleId="76">
    <w:name w:val="正文缩2"/>
    <w:basedOn w:val="1"/>
    <w:qFormat/>
    <w:uiPriority w:val="0"/>
    <w:pPr>
      <w:spacing w:line="360" w:lineRule="auto"/>
      <w:ind w:firstLine="200" w:firstLineChars="200"/>
    </w:pPr>
    <w:rPr>
      <w:kern w:val="0"/>
      <w:sz w:val="24"/>
    </w:rPr>
  </w:style>
  <w:style w:type="paragraph" w:customStyle="1" w:styleId="77">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78">
    <w:name w:val="目录 11"/>
    <w:basedOn w:val="1"/>
    <w:next w:val="1"/>
    <w:unhideWhenUsed/>
    <w:qFormat/>
    <w:uiPriority w:val="39"/>
  </w:style>
  <w:style w:type="paragraph" w:customStyle="1" w:styleId="79">
    <w:name w:val="p0"/>
    <w:basedOn w:val="1"/>
    <w:qFormat/>
    <w:uiPriority w:val="0"/>
    <w:pPr>
      <w:widowControl/>
    </w:pPr>
    <w:rPr>
      <w:rFonts w:ascii="Calibri" w:hAnsi="Calibri" w:eastAsia="宋体" w:cs="宋体"/>
      <w:kern w:val="0"/>
    </w:rPr>
  </w:style>
  <w:style w:type="paragraph" w:customStyle="1" w:styleId="80">
    <w:name w:val="目录 31"/>
    <w:basedOn w:val="1"/>
    <w:next w:val="1"/>
    <w:unhideWhenUsed/>
    <w:qFormat/>
    <w:uiPriority w:val="39"/>
    <w:pPr>
      <w:ind w:left="840" w:leftChars="400"/>
    </w:pPr>
  </w:style>
  <w:style w:type="paragraph" w:customStyle="1" w:styleId="81">
    <w:name w:val="WPSOffice手动目录 3"/>
    <w:qFormat/>
    <w:uiPriority w:val="0"/>
    <w:pPr>
      <w:ind w:left="400" w:leftChars="400"/>
    </w:pPr>
    <w:rPr>
      <w:rFonts w:ascii="等线" w:hAnsi="等线" w:eastAsia="等线" w:cs="Times New Roman"/>
      <w:lang w:val="en-US" w:eastAsia="zh-CN" w:bidi="ar-SA"/>
    </w:rPr>
  </w:style>
  <w:style w:type="paragraph" w:customStyle="1" w:styleId="82">
    <w:name w:val="WPSOffice手动目录 1"/>
    <w:qFormat/>
    <w:uiPriority w:val="0"/>
    <w:rPr>
      <w:rFonts w:ascii="等线" w:hAnsi="等线" w:eastAsia="等线" w:cs="Times New Roman"/>
      <w:lang w:val="en-US" w:eastAsia="zh-CN" w:bidi="ar-SA"/>
    </w:rPr>
  </w:style>
  <w:style w:type="paragraph" w:customStyle="1" w:styleId="83">
    <w:name w:val="正文 New New"/>
    <w:qFormat/>
    <w:uiPriority w:val="0"/>
    <w:pPr>
      <w:widowControl w:val="0"/>
      <w:spacing w:line="600" w:lineRule="exact"/>
      <w:jc w:val="both"/>
    </w:pPr>
    <w:rPr>
      <w:rFonts w:ascii="Calibri" w:hAnsi="Calibri" w:eastAsia="仿宋_GB2312" w:cs="Times New Roman"/>
      <w:sz w:val="32"/>
      <w:szCs w:val="24"/>
      <w:lang w:val="en-US" w:eastAsia="zh-CN" w:bidi="ar-SA"/>
    </w:rPr>
  </w:style>
  <w:style w:type="paragraph" w:customStyle="1" w:styleId="84">
    <w:name w:val="Default"/>
    <w:next w:val="1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5">
    <w:name w:val="列表段落1"/>
    <w:basedOn w:val="1"/>
    <w:qFormat/>
    <w:uiPriority w:val="34"/>
    <w:pPr>
      <w:ind w:firstLine="420"/>
    </w:pPr>
  </w:style>
  <w:style w:type="paragraph" w:customStyle="1" w:styleId="86">
    <w:name w:val="TOC 标题1"/>
    <w:basedOn w:val="4"/>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87">
    <w:name w:val="WPSOffice手动目录 2"/>
    <w:qFormat/>
    <w:uiPriority w:val="0"/>
    <w:pPr>
      <w:ind w:left="200" w:leftChars="200"/>
    </w:pPr>
    <w:rPr>
      <w:rFonts w:ascii="等线" w:hAnsi="等线" w:eastAsia="等线" w:cs="Times New Roman"/>
      <w:lang w:val="en-US" w:eastAsia="zh-CN" w:bidi="ar-SA"/>
    </w:rPr>
  </w:style>
  <w:style w:type="paragraph" w:customStyle="1" w:styleId="88">
    <w:name w:val="标 题 3"/>
    <w:basedOn w:val="1"/>
    <w:qFormat/>
    <w:uiPriority w:val="0"/>
    <w:pPr>
      <w:keepNext/>
      <w:keepLines/>
      <w:tabs>
        <w:tab w:val="left" w:pos="1018"/>
      </w:tabs>
      <w:snapToGrid/>
      <w:jc w:val="left"/>
      <w:outlineLvl w:val="2"/>
    </w:pPr>
    <w:rPr>
      <w:rFonts w:eastAsia="宋体"/>
      <w:b/>
      <w:bCs/>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014;&#26641;&#24066;&#22269;&#27665;&#32463;&#27982;&#21644;&#31038;&#20250;&#21457;&#23637;&#8220;&#21313;&#22235;&#20116;&#8221;&#35268;&#21010;&#32434;&#35201;10.2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榆树市国民经济和社会发展“十四五”规划纲要10.24</Template>
  <Company>Microsoft</Company>
  <Pages>91</Pages>
  <Words>43537</Words>
  <Characters>45024</Characters>
  <Lines>396</Lines>
  <Paragraphs>111</Paragraphs>
  <TotalTime>1</TotalTime>
  <ScaleCrop>false</ScaleCrop>
  <LinksUpToDate>false</LinksUpToDate>
  <CharactersWithSpaces>45844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2020-12-31T09:00:00Z</dcterms:created>
  <dc:creator>hzm</dc:creator>
  <cp:lastModifiedBy>S.W</cp:lastModifiedBy>
  <cp:lastPrinted>2020-12-28T07:24:00Z</cp:lastPrinted>
  <dcterms:modified xsi:type="dcterms:W3CDTF">2024-03-06T08:40:38Z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90D1BA83DB17450383FD98461A43EAE0</vt:lpwstr>
  </property>
</Properties>
</file>