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jc w:val="center"/>
        <w:textAlignment w:val="auto"/>
        <w:rPr>
          <w:rFonts w:hint="eastAsia" w:ascii="宋体" w:hAnsi="宋体" w:eastAsia="宋体" w:cs="宋体"/>
          <w:b/>
          <w:bCs/>
          <w:sz w:val="44"/>
          <w:szCs w:val="44"/>
        </w:rPr>
      </w:pPr>
      <w:r>
        <w:rPr>
          <w:rFonts w:hint="eastAsia" w:ascii="宋体" w:hAnsi="宋体" w:cs="宋体"/>
          <w:b/>
          <w:bCs/>
          <w:sz w:val="36"/>
          <w:szCs w:val="36"/>
          <w:lang w:val="en-US" w:eastAsia="zh-CN"/>
        </w:rPr>
        <w:t>202</w:t>
      </w:r>
      <w:r>
        <w:rPr>
          <w:rFonts w:hint="default" w:ascii="宋体" w:hAnsi="宋体" w:cs="宋体"/>
          <w:b/>
          <w:bCs/>
          <w:sz w:val="36"/>
          <w:szCs w:val="36"/>
          <w:lang w:eastAsia="zh-CN"/>
        </w:rPr>
        <w:t>5</w:t>
      </w:r>
      <w:r>
        <w:rPr>
          <w:rFonts w:hint="eastAsia" w:ascii="宋体" w:hAnsi="宋体" w:cs="宋体"/>
          <w:b/>
          <w:bCs/>
          <w:sz w:val="36"/>
          <w:szCs w:val="36"/>
          <w:lang w:val="en-US" w:eastAsia="zh-CN"/>
        </w:rPr>
        <w:t>年榆树市秀水镇</w:t>
      </w:r>
      <w:r>
        <w:rPr>
          <w:rFonts w:hint="eastAsia" w:ascii="宋体" w:hAnsi="宋体" w:eastAsia="宋体" w:cs="宋体"/>
          <w:b/>
          <w:bCs/>
          <w:sz w:val="36"/>
          <w:szCs w:val="36"/>
        </w:rPr>
        <w:t>政府信息公开工作年度报告</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sz w:val="24"/>
          <w:szCs w:val="24"/>
          <w:shd w:val="clear" w:color="080000" w:fill="FFFFFF"/>
        </w:rPr>
      </w:pPr>
    </w:p>
    <w:p>
      <w:pPr>
        <w:widowControl w:val="0"/>
        <w:wordWrap/>
        <w:adjustRightInd/>
        <w:snapToGrid/>
        <w:spacing w:line="580" w:lineRule="exact"/>
        <w:ind w:firstLine="480" w:firstLineChars="200"/>
        <w:textAlignment w:val="auto"/>
        <w:rPr>
          <w:rFonts w:hint="eastAsia" w:ascii="黑体" w:eastAsia="黑体"/>
          <w:sz w:val="32"/>
          <w:szCs w:val="32"/>
        </w:rPr>
      </w:pPr>
      <w:r>
        <w:rPr>
          <w:rFonts w:hint="eastAsia" w:ascii="宋体" w:hAnsi="宋体" w:eastAsia="宋体" w:cs="宋体"/>
          <w:i w:val="0"/>
          <w:iCs w:val="0"/>
          <w:caps w:val="0"/>
          <w:color w:val="000000"/>
          <w:spacing w:val="0"/>
          <w:sz w:val="24"/>
          <w:szCs w:val="24"/>
          <w:shd w:val="clear" w:color="080000" w:fill="FFFFFF"/>
        </w:rPr>
        <w:t>按照《中华人民共和国政府信息公开条例》《吉林省人民政府办公厅关于做好政府信息公开工作年度报告编制发布有关事项的通知》（吉政厅函〔2021〕20号）</w:t>
      </w:r>
      <w:r>
        <w:rPr>
          <w:rFonts w:hint="eastAsia" w:ascii="宋体" w:hAnsi="宋体" w:cs="宋体"/>
          <w:i w:val="0"/>
          <w:iCs w:val="0"/>
          <w:caps w:val="0"/>
          <w:color w:val="000000"/>
          <w:spacing w:val="0"/>
          <w:sz w:val="24"/>
          <w:szCs w:val="24"/>
          <w:shd w:val="clear" w:color="080000" w:fill="FFFFFF"/>
          <w:lang w:eastAsia="zh-CN"/>
        </w:rPr>
        <w:t>，</w:t>
      </w:r>
      <w:r>
        <w:rPr>
          <w:rFonts w:hint="eastAsia" w:ascii="宋体" w:hAnsi="宋体" w:eastAsia="宋体" w:cs="宋体"/>
          <w:i w:val="0"/>
          <w:iCs w:val="0"/>
          <w:caps w:val="0"/>
          <w:color w:val="000000"/>
          <w:spacing w:val="0"/>
          <w:sz w:val="24"/>
          <w:szCs w:val="24"/>
          <w:shd w:val="clear" w:color="080000" w:fill="FFFFFF"/>
        </w:rPr>
        <w:t>结合我镇政府信息公开工作实际编制本报告</w:t>
      </w:r>
      <w:r>
        <w:rPr>
          <w:rFonts w:hint="eastAsia" w:ascii="宋体" w:hAnsi="宋体" w:eastAsia="宋体" w:cs="宋体"/>
          <w:b w:val="0"/>
          <w:bCs w:val="0"/>
          <w:i w:val="0"/>
          <w:iCs w:val="0"/>
          <w:caps w:val="0"/>
          <w:color w:val="000000"/>
          <w:spacing w:val="0"/>
          <w:sz w:val="24"/>
          <w:szCs w:val="24"/>
          <w:shd w:val="clear" w:color="0A0000" w:fill="FFFFFF"/>
        </w:rPr>
        <w:t>，现将公布我镇202</w:t>
      </w:r>
      <w:r>
        <w:rPr>
          <w:rFonts w:hint="default" w:ascii="宋体" w:hAnsi="宋体" w:cs="宋体"/>
          <w:b w:val="0"/>
          <w:bCs w:val="0"/>
          <w:i w:val="0"/>
          <w:iCs w:val="0"/>
          <w:caps w:val="0"/>
          <w:color w:val="000000"/>
          <w:spacing w:val="0"/>
          <w:sz w:val="24"/>
          <w:szCs w:val="24"/>
          <w:shd w:val="clear" w:color="0A0000" w:fill="FFFFFF"/>
        </w:rPr>
        <w:t>5</w:t>
      </w:r>
      <w:r>
        <w:rPr>
          <w:rFonts w:hint="eastAsia" w:ascii="宋体" w:hAnsi="宋体" w:eastAsia="宋体" w:cs="宋体"/>
          <w:b w:val="0"/>
          <w:bCs w:val="0"/>
          <w:i w:val="0"/>
          <w:iCs w:val="0"/>
          <w:caps w:val="0"/>
          <w:color w:val="000000"/>
          <w:spacing w:val="0"/>
          <w:sz w:val="24"/>
          <w:szCs w:val="24"/>
          <w:shd w:val="clear" w:color="0A0000" w:fill="FFFFFF"/>
        </w:rPr>
        <w:t>年度政府信息公开工作年度报告。</w:t>
      </w:r>
      <w:r>
        <w:rPr>
          <w:rFonts w:hint="eastAsia" w:ascii="宋体" w:hAnsi="宋体" w:eastAsia="宋体" w:cs="宋体"/>
          <w:i w:val="0"/>
          <w:iCs w:val="0"/>
          <w:caps w:val="0"/>
          <w:color w:val="000000"/>
          <w:spacing w:val="0"/>
          <w:sz w:val="24"/>
          <w:szCs w:val="24"/>
          <w:shd w:val="clear" w:color="080000" w:fill="FFFFFF"/>
        </w:rPr>
        <w:t>本报告包含总体情况，主动公开政府信息情况，收到和处理政府信息公开申请情况，政府信息公开行政复议、行政诉讼情况，存在的主要问题及改进情况，其他需要报告的事项六部分。（本报告中所列数据的统计期限为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年1月1日至202</w:t>
      </w:r>
      <w:r>
        <w:rPr>
          <w:rFonts w:hint="default" w:ascii="宋体" w:hAnsi="宋体" w:cs="宋体"/>
          <w:i w:val="0"/>
          <w:iCs w:val="0"/>
          <w:caps w:val="0"/>
          <w:color w:val="000000"/>
          <w:spacing w:val="0"/>
          <w:sz w:val="24"/>
          <w:szCs w:val="24"/>
          <w:shd w:val="clear" w:color="080000" w:fill="FFFFFF"/>
        </w:rPr>
        <w:t>5</w:t>
      </w:r>
      <w:r>
        <w:rPr>
          <w:rFonts w:hint="eastAsia" w:ascii="宋体" w:hAnsi="宋体" w:eastAsia="宋体" w:cs="宋体"/>
          <w:i w:val="0"/>
          <w:iCs w:val="0"/>
          <w:caps w:val="0"/>
          <w:color w:val="000000"/>
          <w:spacing w:val="0"/>
          <w:sz w:val="24"/>
          <w:szCs w:val="24"/>
          <w:shd w:val="clear" w:color="080000" w:fill="FFFFFF"/>
        </w:rPr>
        <w:t>年12月31日。办公地址：</w:t>
      </w:r>
      <w:r>
        <w:rPr>
          <w:rFonts w:hint="eastAsia" w:ascii="宋体" w:hAnsi="宋体" w:eastAsia="宋体" w:cs="宋体"/>
          <w:i w:val="0"/>
          <w:iCs w:val="0"/>
          <w:caps w:val="0"/>
          <w:color w:val="333333"/>
          <w:spacing w:val="0"/>
          <w:sz w:val="24"/>
          <w:szCs w:val="24"/>
          <w:shd w:val="clear" w:color="080000" w:fill="FFFFFF"/>
        </w:rPr>
        <w:t>榆树市</w:t>
      </w:r>
      <w:r>
        <w:rPr>
          <w:rFonts w:hint="eastAsia" w:ascii="宋体" w:hAnsi="宋体" w:cs="宋体"/>
          <w:i w:val="0"/>
          <w:iCs w:val="0"/>
          <w:caps w:val="0"/>
          <w:color w:val="333333"/>
          <w:spacing w:val="0"/>
          <w:sz w:val="24"/>
          <w:szCs w:val="24"/>
          <w:shd w:val="clear" w:color="080000" w:fill="FFFFFF"/>
          <w:lang w:eastAsia="zh-CN"/>
        </w:rPr>
        <w:t>秀水</w:t>
      </w:r>
      <w:r>
        <w:rPr>
          <w:rFonts w:hint="eastAsia" w:ascii="宋体" w:hAnsi="宋体" w:eastAsia="宋体" w:cs="宋体"/>
          <w:i w:val="0"/>
          <w:iCs w:val="0"/>
          <w:caps w:val="0"/>
          <w:color w:val="333333"/>
          <w:spacing w:val="0"/>
          <w:sz w:val="24"/>
          <w:szCs w:val="24"/>
          <w:shd w:val="clear" w:color="080000" w:fill="FFFFFF"/>
        </w:rPr>
        <w:t>镇街道，邮政编码：13043</w:t>
      </w:r>
      <w:r>
        <w:rPr>
          <w:rFonts w:hint="eastAsia" w:ascii="宋体" w:hAnsi="宋体" w:cs="宋体"/>
          <w:i w:val="0"/>
          <w:iCs w:val="0"/>
          <w:caps w:val="0"/>
          <w:color w:val="333333"/>
          <w:spacing w:val="0"/>
          <w:sz w:val="24"/>
          <w:szCs w:val="24"/>
          <w:shd w:val="clear" w:color="080000" w:fill="FFFFFF"/>
          <w:lang w:val="en-US" w:eastAsia="zh-CN"/>
        </w:rPr>
        <w:t>6</w:t>
      </w:r>
      <w:r>
        <w:rPr>
          <w:rFonts w:hint="eastAsia" w:ascii="宋体" w:hAnsi="宋体" w:eastAsia="宋体" w:cs="宋体"/>
          <w:i w:val="0"/>
          <w:iCs w:val="0"/>
          <w:caps w:val="0"/>
          <w:color w:val="333333"/>
          <w:spacing w:val="0"/>
          <w:sz w:val="24"/>
          <w:szCs w:val="24"/>
          <w:shd w:val="clear" w:color="080000" w:fill="FFFFFF"/>
        </w:rPr>
        <w:t>，办公电话：0431-838</w:t>
      </w:r>
      <w:r>
        <w:rPr>
          <w:rFonts w:hint="eastAsia" w:ascii="宋体" w:hAnsi="宋体" w:cs="宋体"/>
          <w:i w:val="0"/>
          <w:iCs w:val="0"/>
          <w:caps w:val="0"/>
          <w:color w:val="333333"/>
          <w:spacing w:val="0"/>
          <w:sz w:val="24"/>
          <w:szCs w:val="24"/>
          <w:shd w:val="clear" w:color="080000" w:fill="FFFFFF"/>
          <w:lang w:val="en-US" w:eastAsia="zh-CN"/>
        </w:rPr>
        <w:t>77</w:t>
      </w:r>
      <w:r>
        <w:rPr>
          <w:rFonts w:hint="eastAsia" w:ascii="宋体" w:hAnsi="宋体" w:eastAsia="宋体" w:cs="宋体"/>
          <w:i w:val="0"/>
          <w:iCs w:val="0"/>
          <w:caps w:val="0"/>
          <w:color w:val="333333"/>
          <w:spacing w:val="0"/>
          <w:sz w:val="24"/>
          <w:szCs w:val="24"/>
          <w:shd w:val="clear" w:color="080000" w:fill="FFFFFF"/>
        </w:rPr>
        <w:t>019。）</w:t>
      </w:r>
    </w:p>
    <w:p>
      <w:pPr>
        <w:widowControl w:val="0"/>
        <w:wordWrap/>
        <w:adjustRightInd/>
        <w:snapToGrid/>
        <w:spacing w:line="580" w:lineRule="exact"/>
        <w:textAlignment w:val="auto"/>
        <w:rPr>
          <w:rFonts w:hint="eastAsia" w:ascii="楷体_GB2312" w:eastAsia="楷体_GB2312"/>
          <w:sz w:val="32"/>
          <w:szCs w:val="32"/>
        </w:rPr>
      </w:pPr>
      <w:r>
        <w:rPr>
          <w:rFonts w:hint="eastAsia" w:ascii="宋体" w:hAnsi="宋体" w:eastAsia="宋体" w:cs="宋体"/>
          <w:b/>
          <w:bCs/>
          <w:sz w:val="24"/>
          <w:szCs w:val="24"/>
        </w:rPr>
        <w:t>一、总体情况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w:t>
      </w:r>
      <w:r>
        <w:rPr>
          <w:rFonts w:hint="eastAsia" w:ascii="宋体" w:hAnsi="宋体" w:cs="宋体"/>
          <w:i w:val="0"/>
          <w:iCs w:val="0"/>
          <w:caps w:val="0"/>
          <w:color w:val="000000"/>
          <w:spacing w:val="0"/>
          <w:kern w:val="0"/>
          <w:sz w:val="24"/>
          <w:szCs w:val="24"/>
          <w:shd w:val="clear" w:color="090000" w:fill="FFFFFF"/>
          <w:lang w:val="en-US" w:eastAsia="zh-CN"/>
        </w:rPr>
        <w:t>秀水</w:t>
      </w:r>
      <w:r>
        <w:rPr>
          <w:rFonts w:hint="eastAsia" w:ascii="宋体" w:hAnsi="宋体" w:eastAsia="宋体" w:cs="宋体"/>
          <w:i w:val="0"/>
          <w:iCs w:val="0"/>
          <w:caps w:val="0"/>
          <w:color w:val="000000"/>
          <w:spacing w:val="0"/>
          <w:kern w:val="0"/>
          <w:sz w:val="24"/>
          <w:szCs w:val="24"/>
          <w:shd w:val="clear" w:color="090000" w:fill="FFFFFF"/>
          <w:lang w:val="en-US" w:eastAsia="zh-CN"/>
        </w:rPr>
        <w:t>镇人民政府持续重视政府信息公开工作，并积极推进相关措施，确保年度重点工作得以成功完成。在习近平新时代中国特色社会主义思想的指导下，政府信息公开工作准确、有效、及时，切实保障了人民群众的知情权、参与权和监督权，搭建起政府与群众沟通了解的桥梁。政府信息公开的内容涵盖了部门介绍、领导信息、机构职能、其他相关文件、政策解读、乡村振兴、财政预决算、干部任免、工作动态、乡镇动态、六稳六保、以及信息公开年报等方面。</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（一）主动公开情况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cs="宋体"/>
          <w:i w:val="0"/>
          <w:iCs w:val="0"/>
          <w:caps w:val="0"/>
          <w:color w:val="000000"/>
          <w:spacing w:val="0"/>
          <w:kern w:val="0"/>
          <w:sz w:val="24"/>
          <w:szCs w:val="24"/>
          <w:shd w:val="clear" w:color="090000" w:fill="FFFFFF"/>
          <w:lang w:val="en-US" w:eastAsia="zh-CN"/>
        </w:rPr>
        <w:t>202</w:t>
      </w:r>
      <w:r>
        <w:rPr>
          <w:rFonts w:hint="default" w:ascii="宋体" w:hAnsi="宋体" w:cs="宋体"/>
          <w:i w:val="0"/>
          <w:iCs w:val="0"/>
          <w:caps w:val="0"/>
          <w:color w:val="000000"/>
          <w:spacing w:val="0"/>
          <w:kern w:val="0"/>
          <w:sz w:val="24"/>
          <w:szCs w:val="24"/>
          <w:shd w:val="clear" w:color="090000" w:fill="FFFFFF"/>
          <w:lang w:eastAsia="zh-CN"/>
        </w:rPr>
        <w:t>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通过政府网站</w:t>
      </w:r>
      <w:r>
        <w:rPr>
          <w:rFonts w:hint="eastAsia" w:ascii="宋体" w:hAnsi="宋体" w:eastAsia="宋体" w:cs="宋体"/>
          <w:i w:val="0"/>
          <w:iCs w:val="0"/>
          <w:caps w:val="0"/>
          <w:color w:val="000000"/>
          <w:spacing w:val="0"/>
          <w:kern w:val="0"/>
          <w:sz w:val="24"/>
          <w:szCs w:val="24"/>
          <w:shd w:val="clear" w:color="090000" w:fill="FFFFFF"/>
          <w:lang w:val="en-US" w:eastAsia="zh-CN"/>
        </w:rPr>
        <w:t>共公开和更新了</w:t>
      </w:r>
      <w:r>
        <w:rPr>
          <w:rFonts w:hint="default" w:ascii="宋体" w:hAnsi="宋体" w:cs="宋体"/>
          <w:i w:val="0"/>
          <w:iCs w:val="0"/>
          <w:caps w:val="0"/>
          <w:color w:val="000000"/>
          <w:spacing w:val="0"/>
          <w:kern w:val="0"/>
          <w:sz w:val="24"/>
          <w:szCs w:val="24"/>
          <w:shd w:val="clear" w:color="090000" w:fill="FFFFFF"/>
          <w:lang w:eastAsia="zh-CN"/>
        </w:rPr>
        <w:t>6</w:t>
      </w:r>
      <w:r>
        <w:rPr>
          <w:rFonts w:hint="eastAsia" w:ascii="宋体" w:hAnsi="宋体" w:eastAsia="宋体" w:cs="宋体"/>
          <w:i w:val="0"/>
          <w:iCs w:val="0"/>
          <w:caps w:val="0"/>
          <w:color w:val="000000"/>
          <w:spacing w:val="0"/>
          <w:kern w:val="0"/>
          <w:sz w:val="24"/>
          <w:szCs w:val="24"/>
          <w:shd w:val="clear" w:color="090000" w:fill="FFFFFF"/>
          <w:lang w:val="en-US" w:eastAsia="zh-CN"/>
        </w:rPr>
        <w:t>条政府信息</w:t>
      </w:r>
      <w:r>
        <w:rPr>
          <w:rFonts w:hint="eastAsia" w:ascii="宋体" w:hAnsi="宋体" w:cs="宋体"/>
          <w:i w:val="0"/>
          <w:iCs w:val="0"/>
          <w:caps w:val="0"/>
          <w:color w:val="000000"/>
          <w:spacing w:val="0"/>
          <w:kern w:val="0"/>
          <w:sz w:val="24"/>
          <w:szCs w:val="24"/>
          <w:shd w:val="clear" w:color="090000" w:fill="FFFFFF"/>
          <w:lang w:val="en-US" w:eastAsia="zh-CN"/>
        </w:rPr>
        <w:t>，通过公众号更新政府工作动态及科普常识</w:t>
      </w:r>
      <w:r>
        <w:rPr>
          <w:rFonts w:hint="default" w:ascii="宋体" w:hAnsi="宋体" w:cs="宋体"/>
          <w:i w:val="0"/>
          <w:iCs w:val="0"/>
          <w:caps w:val="0"/>
          <w:color w:val="000000"/>
          <w:spacing w:val="0"/>
          <w:kern w:val="0"/>
          <w:sz w:val="24"/>
          <w:szCs w:val="24"/>
          <w:shd w:val="clear" w:color="090000" w:fill="FFFFFF"/>
          <w:lang w:eastAsia="zh-CN"/>
        </w:rPr>
        <w:t>635</w:t>
      </w:r>
      <w:r>
        <w:rPr>
          <w:rFonts w:hint="eastAsia" w:ascii="宋体" w:hAnsi="宋体" w:cs="宋体"/>
          <w:i w:val="0"/>
          <w:iCs w:val="0"/>
          <w:caps w:val="0"/>
          <w:color w:val="000000"/>
          <w:spacing w:val="0"/>
          <w:kern w:val="0"/>
          <w:sz w:val="24"/>
          <w:szCs w:val="24"/>
          <w:shd w:val="clear" w:color="090000" w:fill="FFFFFF"/>
          <w:lang w:val="en-US" w:eastAsia="zh-CN"/>
        </w:rPr>
        <w:t>条。</w:t>
      </w:r>
      <w:r>
        <w:rPr>
          <w:rFonts w:hint="eastAsia" w:ascii="宋体" w:hAnsi="宋体" w:eastAsia="宋体" w:cs="宋体"/>
          <w:i w:val="0"/>
          <w:iCs w:val="0"/>
          <w:caps w:val="0"/>
          <w:color w:val="000000"/>
          <w:spacing w:val="0"/>
          <w:kern w:val="0"/>
          <w:sz w:val="24"/>
          <w:szCs w:val="24"/>
          <w:shd w:val="clear" w:color="090000" w:fill="FFFFFF"/>
          <w:lang w:val="en-US" w:eastAsia="zh-CN"/>
        </w:rPr>
        <w:t>这些内容涉及了公众密切相关的重大民生工作、经济和社会发展规划、财政预决算报告、经济统计信息、政府重点工作、重大建设项目、以及应急管理等各类信息，有效保障了公众的知情权，提升了政府的公信力。</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（二）依申请公开</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我镇高度重视依申请公开工作，认真贯彻落实《国务院关于做好政府信息依申请公开工作的意见》，完善了各项办理程序和各项环节手续，及时受理申请、畅通受理渠道，有效满足了群众对各类信息的需求。20</w:t>
      </w:r>
      <w:r>
        <w:rPr>
          <w:rFonts w:hint="eastAsia" w:ascii="宋体" w:hAnsi="宋体" w:cs="宋体"/>
          <w:i w:val="0"/>
          <w:iCs w:val="0"/>
          <w:caps w:val="0"/>
          <w:color w:val="000000"/>
          <w:spacing w:val="0"/>
          <w:kern w:val="0"/>
          <w:sz w:val="24"/>
          <w:szCs w:val="24"/>
          <w:shd w:val="clear" w:color="090000" w:fill="FFFFFF"/>
          <w:lang w:val="en-US" w:eastAsia="zh-CN"/>
        </w:rPr>
        <w:t>25</w:t>
      </w:r>
      <w:r>
        <w:rPr>
          <w:rFonts w:hint="eastAsia" w:ascii="宋体" w:hAnsi="宋体" w:eastAsia="宋体" w:cs="宋体"/>
          <w:i w:val="0"/>
          <w:iCs w:val="0"/>
          <w:caps w:val="0"/>
          <w:color w:val="000000"/>
          <w:spacing w:val="0"/>
          <w:kern w:val="0"/>
          <w:sz w:val="24"/>
          <w:szCs w:val="24"/>
          <w:shd w:val="clear" w:color="090000" w:fill="FFFFFF"/>
          <w:lang w:val="en-US" w:eastAsia="zh-CN"/>
        </w:rPr>
        <w:t>年，我镇</w:t>
      </w:r>
      <w:r>
        <w:rPr>
          <w:rFonts w:hint="eastAsia" w:ascii="宋体" w:hAnsi="宋体" w:cs="宋体"/>
          <w:i w:val="0"/>
          <w:iCs w:val="0"/>
          <w:caps w:val="0"/>
          <w:color w:val="000000"/>
          <w:spacing w:val="0"/>
          <w:kern w:val="0"/>
          <w:sz w:val="24"/>
          <w:szCs w:val="24"/>
          <w:shd w:val="clear" w:color="090000" w:fill="FFFFFF"/>
          <w:lang w:val="en-US" w:eastAsia="zh-CN"/>
        </w:rPr>
        <w:t>收到1起</w:t>
      </w:r>
      <w:r>
        <w:rPr>
          <w:rFonts w:hint="eastAsia" w:ascii="宋体" w:hAnsi="宋体" w:eastAsia="宋体" w:cs="宋体"/>
          <w:i w:val="0"/>
          <w:iCs w:val="0"/>
          <w:caps w:val="0"/>
          <w:color w:val="000000"/>
          <w:spacing w:val="0"/>
          <w:kern w:val="0"/>
          <w:sz w:val="24"/>
          <w:szCs w:val="24"/>
          <w:shd w:val="clear" w:color="090000" w:fill="FFFFFF"/>
          <w:lang w:val="en-US" w:eastAsia="zh-CN"/>
        </w:rPr>
        <w:t>依申请公开申请，未发生</w:t>
      </w:r>
      <w:r>
        <w:rPr>
          <w:rFonts w:hint="eastAsia" w:ascii="宋体" w:hAnsi="宋体" w:cs="宋体"/>
          <w:i w:val="0"/>
          <w:iCs w:val="0"/>
          <w:caps w:val="0"/>
          <w:color w:val="000000"/>
          <w:spacing w:val="0"/>
          <w:kern w:val="0"/>
          <w:sz w:val="24"/>
          <w:szCs w:val="24"/>
          <w:shd w:val="clear" w:color="090000" w:fill="FFFFFF"/>
          <w:lang w:val="en-US" w:eastAsia="zh-CN"/>
        </w:rPr>
        <w:t>一</w:t>
      </w:r>
      <w:r>
        <w:rPr>
          <w:rFonts w:hint="eastAsia" w:ascii="宋体" w:hAnsi="宋体" w:eastAsia="宋体" w:cs="宋体"/>
          <w:i w:val="0"/>
          <w:iCs w:val="0"/>
          <w:caps w:val="0"/>
          <w:color w:val="000000"/>
          <w:spacing w:val="0"/>
          <w:kern w:val="0"/>
          <w:sz w:val="24"/>
          <w:szCs w:val="24"/>
          <w:shd w:val="clear" w:color="090000" w:fill="FFFFFF"/>
          <w:lang w:val="en-US" w:eastAsia="zh-CN"/>
        </w:rPr>
        <w:t>起行政复议和诉讼案件。</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（三）政府信息管理</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为加强组织领导，我镇严格落实了信息“三申”制度，确保信息的合法性、准确性、及时性和完整性。镇党委、政府高度重视政府信息公开工作，并将其列入了重要工作日程，明确了分工，并具体负责政府信息公开工作。各站办所人员相互配合、各负其责，扎实开展了政府信息公开各项工作，提高了广大人民群众对全镇工作的知晓率。</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（四）平台建设情况</w:t>
      </w:r>
    </w:p>
    <w:p>
      <w:pPr>
        <w:widowControl w:val="0"/>
        <w:wordWrap/>
        <w:adjustRightInd/>
        <w:snapToGrid/>
        <w:spacing w:line="580" w:lineRule="exact"/>
        <w:ind w:firstLine="480" w:firstLineChars="200"/>
        <w:textAlignment w:val="auto"/>
        <w:rPr>
          <w:rFonts w:hint="eastAsia" w:ascii="宋体" w:hAnsi="宋体" w:eastAsia="宋体" w:cs="宋体"/>
          <w:i w:val="0"/>
          <w:iCs w:val="0"/>
          <w:caps w:val="0"/>
          <w:color w:val="000000"/>
          <w:spacing w:val="0"/>
          <w:kern w:val="0"/>
          <w:sz w:val="24"/>
          <w:szCs w:val="24"/>
          <w:shd w:val="clear" w:color="090000" w:fill="FFFFFF"/>
          <w:lang w:val="en-US" w:eastAsia="zh-CN"/>
        </w:rPr>
      </w:pPr>
      <w:r>
        <w:rPr>
          <w:rFonts w:hint="eastAsia" w:ascii="宋体" w:hAnsi="宋体" w:eastAsia="宋体" w:cs="宋体"/>
          <w:i w:val="0"/>
          <w:iCs w:val="0"/>
          <w:caps w:val="0"/>
          <w:color w:val="000000"/>
          <w:spacing w:val="0"/>
          <w:kern w:val="0"/>
          <w:sz w:val="24"/>
          <w:szCs w:val="24"/>
          <w:shd w:val="clear" w:color="090000" w:fill="FFFFFF"/>
          <w:lang w:val="en-US" w:eastAsia="zh-CN"/>
        </w:rPr>
        <w:t>在市政务公开办公室的指导下，我镇进一步完善了镇村政务公开建设，并深入推进政务新媒体与两微一端建设。通过常态化监管、及时整改检测到的问题，提高了信息公开的准确性。与此同时，政府不断提升公开信息的传播渠道和形式，以适应群众信息获取的多样化需求，并鼓励社会各界积极参与政府信息公开工作，共同推进政务公开透明化进程。</w:t>
      </w: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W w:w="9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5"/>
        <w:gridCol w:w="2205"/>
        <w:gridCol w:w="2520"/>
      </w:tblGrid>
      <w:tr>
        <w:trPr>
          <w:trHeight w:val="650" w:hRule="atLeast"/>
        </w:trPr>
        <w:tc>
          <w:tcPr>
            <w:tcW w:w="9100" w:type="dxa"/>
            <w:gridSpan w:val="4"/>
            <w:shd w:val="clear" w:color="auto" w:fill="99CCFF"/>
            <w:vAlign w:val="center"/>
          </w:tcPr>
          <w:p>
            <w:pPr>
              <w:jc w:val="center"/>
              <w:rPr>
                <w:sz w:val="24"/>
                <w:szCs w:val="24"/>
              </w:rPr>
            </w:pPr>
            <w:r>
              <w:rPr>
                <w:sz w:val="24"/>
                <w:szCs w:val="24"/>
              </w:rPr>
              <w:t>第二十条  第（一）项</w:t>
            </w:r>
          </w:p>
        </w:tc>
      </w:tr>
      <w:tr>
        <w:trPr>
          <w:trHeight w:val="614" w:hRule="atLeast"/>
        </w:trPr>
        <w:tc>
          <w:tcPr>
            <w:tcW w:w="2130" w:type="dxa"/>
            <w:vAlign w:val="center"/>
          </w:tcPr>
          <w:p>
            <w:pPr>
              <w:jc w:val="center"/>
              <w:rPr>
                <w:sz w:val="24"/>
                <w:szCs w:val="24"/>
              </w:rPr>
            </w:pPr>
            <w:r>
              <w:rPr>
                <w:sz w:val="24"/>
                <w:szCs w:val="24"/>
              </w:rPr>
              <w:t>信息内容</w:t>
            </w:r>
          </w:p>
        </w:tc>
        <w:tc>
          <w:tcPr>
            <w:tcW w:w="2245" w:type="dxa"/>
            <w:vAlign w:val="center"/>
          </w:tcPr>
          <w:p>
            <w:pPr>
              <w:jc w:val="center"/>
              <w:rPr>
                <w:sz w:val="24"/>
                <w:szCs w:val="24"/>
              </w:rPr>
            </w:pPr>
            <w:r>
              <w:rPr>
                <w:sz w:val="24"/>
                <w:szCs w:val="24"/>
              </w:rPr>
              <w:t>本年制发件数</w:t>
            </w:r>
          </w:p>
        </w:tc>
        <w:tc>
          <w:tcPr>
            <w:tcW w:w="2205" w:type="dxa"/>
            <w:vAlign w:val="center"/>
          </w:tcPr>
          <w:p>
            <w:pPr>
              <w:jc w:val="center"/>
              <w:rPr>
                <w:sz w:val="24"/>
                <w:szCs w:val="24"/>
              </w:rPr>
            </w:pPr>
            <w:r>
              <w:rPr>
                <w:sz w:val="24"/>
                <w:szCs w:val="24"/>
              </w:rPr>
              <w:t>本年废止件数</w:t>
            </w:r>
          </w:p>
        </w:tc>
        <w:tc>
          <w:tcPr>
            <w:tcW w:w="2520" w:type="dxa"/>
            <w:vAlign w:val="center"/>
          </w:tcPr>
          <w:p>
            <w:pPr>
              <w:jc w:val="center"/>
              <w:rPr>
                <w:sz w:val="24"/>
                <w:szCs w:val="24"/>
              </w:rPr>
            </w:pPr>
            <w:r>
              <w:rPr>
                <w:sz w:val="24"/>
                <w:szCs w:val="24"/>
              </w:rPr>
              <w:t>现行有效件数</w:t>
            </w:r>
          </w:p>
        </w:tc>
      </w:tr>
      <w:tr>
        <w:trPr>
          <w:trHeight w:val="614" w:hRule="atLeast"/>
        </w:trPr>
        <w:tc>
          <w:tcPr>
            <w:tcW w:w="2130" w:type="dxa"/>
            <w:vAlign w:val="center"/>
          </w:tcPr>
          <w:p>
            <w:pPr>
              <w:rPr>
                <w:sz w:val="24"/>
                <w:szCs w:val="24"/>
              </w:rPr>
            </w:pPr>
            <w:r>
              <w:rPr>
                <w:sz w:val="24"/>
                <w:szCs w:val="24"/>
              </w:rPr>
              <w:t>规章</w:t>
            </w:r>
          </w:p>
        </w:tc>
        <w:tc>
          <w:tcPr>
            <w:tcW w:w="2245" w:type="dxa"/>
            <w:vAlign w:val="center"/>
          </w:tcPr>
          <w:p>
            <w:pPr>
              <w:jc w:val="center"/>
              <w:rPr>
                <w:rFonts w:hint="eastAsia" w:eastAsia="宋体"/>
                <w:sz w:val="24"/>
                <w:szCs w:val="24"/>
                <w:lang w:val="en-US" w:eastAsia="zh-CN"/>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行政规范性文件</w:t>
            </w:r>
          </w:p>
        </w:tc>
        <w:tc>
          <w:tcPr>
            <w:tcW w:w="2245" w:type="dxa"/>
            <w:vAlign w:val="center"/>
          </w:tcPr>
          <w:p>
            <w:pPr>
              <w:jc w:val="center"/>
              <w:rPr>
                <w:sz w:val="24"/>
                <w:szCs w:val="24"/>
              </w:rPr>
            </w:pPr>
            <w:r>
              <w:rPr>
                <w:rFonts w:hint="eastAsia"/>
                <w:sz w:val="24"/>
                <w:szCs w:val="24"/>
                <w:lang w:val="en-US" w:eastAsia="zh-CN"/>
              </w:rPr>
              <w:t>0</w:t>
            </w:r>
          </w:p>
        </w:tc>
        <w:tc>
          <w:tcPr>
            <w:tcW w:w="2205" w:type="dxa"/>
            <w:vAlign w:val="center"/>
          </w:tcPr>
          <w:p>
            <w:pPr>
              <w:jc w:val="center"/>
              <w:rPr>
                <w:sz w:val="24"/>
                <w:szCs w:val="24"/>
              </w:rPr>
            </w:pPr>
            <w:r>
              <w:rPr>
                <w:rFonts w:hint="eastAsia"/>
                <w:sz w:val="24"/>
                <w:szCs w:val="24"/>
                <w:lang w:val="en-US" w:eastAsia="zh-CN"/>
              </w:rPr>
              <w:t>0</w:t>
            </w:r>
          </w:p>
        </w:tc>
        <w:tc>
          <w:tcPr>
            <w:tcW w:w="2520" w:type="dxa"/>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第（五）项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行政许可</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第（六）项</w:t>
            </w:r>
          </w:p>
        </w:tc>
      </w:tr>
      <w:tr>
        <w:trPr>
          <w:trHeight w:val="614"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本年处理决定数量</w:t>
            </w:r>
          </w:p>
        </w:tc>
      </w:tr>
      <w:tr>
        <w:trPr>
          <w:trHeight w:val="614" w:hRule="atLeast"/>
        </w:trPr>
        <w:tc>
          <w:tcPr>
            <w:tcW w:w="2130" w:type="dxa"/>
            <w:vAlign w:val="center"/>
          </w:tcPr>
          <w:p>
            <w:pPr>
              <w:rPr>
                <w:sz w:val="24"/>
                <w:szCs w:val="24"/>
              </w:rPr>
            </w:pPr>
            <w:r>
              <w:rPr>
                <w:sz w:val="24"/>
                <w:szCs w:val="24"/>
              </w:rPr>
              <w:t>行政处罚</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2130" w:type="dxa"/>
            <w:vAlign w:val="center"/>
          </w:tcPr>
          <w:p>
            <w:pPr>
              <w:rPr>
                <w:sz w:val="24"/>
                <w:szCs w:val="24"/>
              </w:rPr>
            </w:pPr>
            <w:r>
              <w:rPr>
                <w:sz w:val="24"/>
                <w:szCs w:val="24"/>
              </w:rPr>
              <w:t>行政强制</w:t>
            </w:r>
          </w:p>
        </w:tc>
        <w:tc>
          <w:tcPr>
            <w:tcW w:w="6970" w:type="dxa"/>
            <w:gridSpan w:val="3"/>
            <w:vAlign w:val="center"/>
          </w:tcPr>
          <w:p>
            <w:pPr>
              <w:jc w:val="center"/>
              <w:rPr>
                <w:sz w:val="24"/>
                <w:szCs w:val="24"/>
              </w:rPr>
            </w:pPr>
            <w:r>
              <w:rPr>
                <w:rFonts w:hint="eastAsia"/>
                <w:sz w:val="24"/>
                <w:szCs w:val="24"/>
                <w:lang w:val="en-US" w:eastAsia="zh-CN"/>
              </w:rPr>
              <w:t>0</w:t>
            </w:r>
          </w:p>
        </w:tc>
      </w:tr>
      <w:tr>
        <w:trPr>
          <w:trHeight w:val="614" w:hRule="atLeast"/>
        </w:trPr>
        <w:tc>
          <w:tcPr>
            <w:tcW w:w="9100" w:type="dxa"/>
            <w:gridSpan w:val="4"/>
            <w:shd w:val="clear" w:color="auto" w:fill="99CCFF"/>
            <w:vAlign w:val="center"/>
          </w:tcPr>
          <w:p>
            <w:pPr>
              <w:jc w:val="center"/>
              <w:rPr>
                <w:sz w:val="24"/>
                <w:szCs w:val="24"/>
              </w:rPr>
            </w:pPr>
            <w:r>
              <w:rPr>
                <w:sz w:val="24"/>
                <w:szCs w:val="24"/>
              </w:rPr>
              <w:t>第二十条  第（八）项</w:t>
            </w:r>
          </w:p>
        </w:tc>
      </w:tr>
      <w:tr>
        <w:trPr>
          <w:trHeight w:val="770" w:hRule="atLeast"/>
        </w:trPr>
        <w:tc>
          <w:tcPr>
            <w:tcW w:w="2130" w:type="dxa"/>
            <w:vAlign w:val="center"/>
          </w:tcPr>
          <w:p>
            <w:pPr>
              <w:rPr>
                <w:sz w:val="24"/>
                <w:szCs w:val="24"/>
              </w:rPr>
            </w:pPr>
            <w:r>
              <w:rPr>
                <w:sz w:val="24"/>
                <w:szCs w:val="24"/>
              </w:rPr>
              <w:t>信息内容</w:t>
            </w:r>
          </w:p>
        </w:tc>
        <w:tc>
          <w:tcPr>
            <w:tcW w:w="6970" w:type="dxa"/>
            <w:gridSpan w:val="3"/>
            <w:vAlign w:val="center"/>
          </w:tcPr>
          <w:p>
            <w:pPr>
              <w:jc w:val="center"/>
              <w:rPr>
                <w:sz w:val="24"/>
                <w:szCs w:val="24"/>
              </w:rPr>
            </w:pPr>
            <w:r>
              <w:rPr>
                <w:sz w:val="24"/>
                <w:szCs w:val="24"/>
              </w:rPr>
              <w:t>本年收费金额（单位：万元）</w:t>
            </w:r>
          </w:p>
        </w:tc>
      </w:tr>
      <w:tr>
        <w:trPr>
          <w:trHeight w:val="760" w:hRule="atLeast"/>
        </w:trPr>
        <w:tc>
          <w:tcPr>
            <w:tcW w:w="2130" w:type="dxa"/>
            <w:vAlign w:val="center"/>
          </w:tcPr>
          <w:p>
            <w:pPr>
              <w:rPr>
                <w:sz w:val="24"/>
                <w:szCs w:val="24"/>
              </w:rPr>
            </w:pPr>
            <w:r>
              <w:rPr>
                <w:sz w:val="24"/>
                <w:szCs w:val="24"/>
              </w:rPr>
              <w:t>行政事业性收费</w:t>
            </w:r>
          </w:p>
        </w:tc>
        <w:tc>
          <w:tcPr>
            <w:tcW w:w="6970" w:type="dxa"/>
            <w:gridSpan w:val="3"/>
            <w:vAlign w:val="center"/>
          </w:tcPr>
          <w:p>
            <w:pPr>
              <w:jc w:val="center"/>
              <w:rPr>
                <w:sz w:val="24"/>
                <w:szCs w:val="24"/>
              </w:rPr>
            </w:pPr>
            <w:r>
              <w:rPr>
                <w:rFonts w:hint="eastAsia"/>
                <w:sz w:val="24"/>
                <w:szCs w:val="24"/>
                <w:lang w:val="en-US" w:eastAsia="zh-CN"/>
              </w:rPr>
              <w:t>0</w:t>
            </w:r>
          </w:p>
        </w:tc>
      </w:tr>
    </w:tbl>
    <w:p>
      <w:pPr>
        <w:ind w:firstLine="482" w:firstLineChars="200"/>
        <w:rPr>
          <w:rFonts w:hint="eastAsia" w:ascii="宋体" w:hAnsi="宋体" w:eastAsia="宋体" w:cs="宋体"/>
          <w:b/>
          <w:bCs/>
          <w:sz w:val="24"/>
          <w:szCs w:val="24"/>
        </w:rPr>
      </w:pPr>
    </w:p>
    <w:p>
      <w:pPr>
        <w:ind w:firstLine="482" w:firstLineChars="200"/>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三、收到和处理政府信息公开申请情况</w:t>
      </w:r>
    </w:p>
    <w:tbl>
      <w:tblPr>
        <w:tblW w:w="9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53"/>
        <w:gridCol w:w="2757"/>
        <w:gridCol w:w="552"/>
        <w:gridCol w:w="630"/>
        <w:gridCol w:w="630"/>
        <w:gridCol w:w="628"/>
        <w:gridCol w:w="839"/>
        <w:gridCol w:w="738"/>
        <w:gridCol w:w="838"/>
      </w:tblGrid>
      <w:tr>
        <w:trPr>
          <w:trHeight w:val="339" w:hRule="atLeast"/>
        </w:trPr>
        <w:tc>
          <w:tcPr>
            <w:tcW w:w="4243" w:type="dxa"/>
            <w:gridSpan w:val="3"/>
            <w:vMerge w:val="restart"/>
            <w:tcBorders>
              <w:top w:val="single" w:color="auto" w:sz="4" w:space="0"/>
              <w:left w:val="single" w:color="auto" w:sz="4" w:space="0"/>
              <w:bottom w:val="nil"/>
              <w:right w:val="single" w:color="auto" w:sz="4" w:space="0"/>
            </w:tcBorders>
            <w:vAlign w:val="center"/>
          </w:tcPr>
          <w:p>
            <w:pPr>
              <w:rPr>
                <w:rFonts w:hint="eastAsia" w:ascii="楷体_GB2312" w:eastAsia="楷体_GB2312"/>
              </w:rPr>
            </w:pPr>
            <w:r>
              <w:rPr>
                <w:rFonts w:hint="eastAsia" w:ascii="楷体_GB2312" w:eastAsia="楷体_GB2312"/>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vAlign w:val="top"/>
          </w:tcPr>
          <w:p>
            <w:pPr>
              <w:ind w:firstLine="2118" w:firstLineChars="1177"/>
              <w:rPr>
                <w:sz w:val="18"/>
                <w:szCs w:val="18"/>
              </w:rPr>
            </w:pPr>
            <w:r>
              <w:rPr>
                <w:sz w:val="18"/>
                <w:szCs w:val="18"/>
              </w:rPr>
              <w:t>申请人情况</w:t>
            </w:r>
          </w:p>
        </w:tc>
      </w:tr>
      <w:tr>
        <w:trPr>
          <w:trHeight w:val="458" w:hRule="atLeast"/>
        </w:trPr>
        <w:tc>
          <w:tcPr>
            <w:tcW w:w="4243" w:type="dxa"/>
            <w:gridSpan w:val="3"/>
            <w:vMerge w:val="continue"/>
            <w:tcBorders>
              <w:left w:val="single" w:color="auto" w:sz="4" w:space="0"/>
              <w:bottom w:val="nil"/>
              <w:right w:val="single" w:color="auto" w:sz="4" w:space="0"/>
            </w:tcBorders>
            <w:vAlign w:val="top"/>
          </w:tcPr>
          <w:p/>
        </w:tc>
        <w:tc>
          <w:tcPr>
            <w:tcW w:w="552"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vAlign w:val="top"/>
          </w:tcPr>
          <w:p>
            <w:pPr>
              <w:jc w:val="center"/>
              <w:rPr>
                <w:sz w:val="18"/>
                <w:szCs w:val="18"/>
              </w:rPr>
            </w:pPr>
            <w:r>
              <w:rPr>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总计</w:t>
            </w:r>
          </w:p>
        </w:tc>
      </w:tr>
      <w:tr>
        <w:tc>
          <w:tcPr>
            <w:tcW w:w="4243" w:type="dxa"/>
            <w:gridSpan w:val="3"/>
            <w:vMerge w:val="continue"/>
            <w:tcBorders>
              <w:left w:val="single" w:color="auto" w:sz="4" w:space="0"/>
              <w:bottom w:val="single" w:color="auto" w:sz="4" w:space="0"/>
              <w:right w:val="single" w:color="auto" w:sz="4" w:space="0"/>
            </w:tcBorders>
            <w:vAlign w:val="top"/>
          </w:tcPr>
          <w:p/>
        </w:tc>
        <w:tc>
          <w:tcPr>
            <w:tcW w:w="552" w:type="dxa"/>
            <w:vMerge w:val="continue"/>
            <w:tcBorders>
              <w:top w:val="single" w:color="auto" w:sz="4" w:space="0"/>
              <w:left w:val="single" w:color="auto" w:sz="4" w:space="0"/>
              <w:bottom w:val="single" w:color="auto" w:sz="4" w:space="0"/>
              <w:right w:val="single" w:color="auto" w:sz="4" w:space="0"/>
            </w:tcBorders>
            <w:vAlign w:val="center"/>
          </w:tcP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商业企业</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科研机构</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vAlign w:val="center"/>
          </w:tcPr>
          <w:p/>
        </w:tc>
      </w:tr>
      <w:tr>
        <w:trPr>
          <w:trHeight w:val="465"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1</w:t>
            </w:r>
          </w:p>
        </w:tc>
      </w:tr>
      <w:tr>
        <w:trPr>
          <w:trHeight w:val="45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bookmarkStart w:id="0" w:name="_GoBack"/>
            <w:bookmarkEnd w:id="0"/>
            <w:r>
              <w:rPr>
                <w:rFonts w:hint="eastAsia"/>
                <w:lang w:val="en-US" w:eastAsia="zh-CN"/>
              </w:rPr>
              <w:t>0</w:t>
            </w:r>
          </w:p>
        </w:tc>
      </w:tr>
      <w:tr>
        <w:trPr>
          <w:trHeight w:val="458" w:hRule="atLeast"/>
        </w:trPr>
        <w:tc>
          <w:tcPr>
            <w:tcW w:w="73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（一）予以公开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587"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（二）部分公开</w:t>
            </w:r>
            <w:r>
              <w:rPr>
                <w:rFonts w:hint="eastAsia" w:ascii="仿宋_GB2312" w:eastAsia="仿宋_GB2312"/>
                <w:sz w:val="18"/>
                <w:szCs w:val="18"/>
              </w:rPr>
              <w:t>（区分处理的，只计这一情况，不计其他情形）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6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（三）不予公开</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5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4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3.危及</w:t>
            </w:r>
            <w:r>
              <w:rPr>
                <w:rFonts w:hint="eastAsia"/>
                <w:sz w:val="18"/>
                <w:szCs w:val="18"/>
              </w:rPr>
              <w:t>“</w:t>
            </w:r>
            <w:r>
              <w:rPr>
                <w:sz w:val="18"/>
                <w:szCs w:val="18"/>
              </w:rPr>
              <w:t>三安全一稳定</w:t>
            </w:r>
            <w:r>
              <w:rPr>
                <w:rFonts w:hint="eastAsia"/>
                <w:sz w:val="18"/>
                <w:szCs w:val="18"/>
              </w:rPr>
              <w:t>”</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225"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61"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center"/>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（四）无法提供</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（五）不予处理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0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39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680"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top w:val="single" w:color="auto" w:sz="4" w:space="0"/>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restart"/>
            <w:tcBorders>
              <w:top w:val="single" w:color="auto" w:sz="4" w:space="0"/>
              <w:left w:val="single" w:color="auto" w:sz="4" w:space="0"/>
              <w:bottom w:val="nil"/>
              <w:right w:val="single" w:color="auto" w:sz="4" w:space="0"/>
            </w:tcBorders>
            <w:vAlign w:val="center"/>
          </w:tcPr>
          <w:p>
            <w:pPr>
              <w:jc w:val="center"/>
              <w:rPr>
                <w:sz w:val="18"/>
                <w:szCs w:val="18"/>
              </w:rPr>
            </w:pPr>
            <w:r>
              <w:rPr>
                <w:sz w:val="18"/>
                <w:szCs w:val="18"/>
              </w:rPr>
              <w:t>（六）其他处理</w:t>
            </w: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nil"/>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4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753" w:type="dxa"/>
            <w:vMerge w:val="continue"/>
            <w:tcBorders>
              <w:left w:val="single" w:color="auto" w:sz="4" w:space="0"/>
              <w:bottom w:val="single" w:color="auto" w:sz="4" w:space="0"/>
              <w:right w:val="single" w:color="auto" w:sz="4" w:space="0"/>
            </w:tcBorders>
            <w:vAlign w:val="top"/>
          </w:tcPr>
          <w:p/>
        </w:tc>
        <w:tc>
          <w:tcPr>
            <w:tcW w:w="2757" w:type="dxa"/>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3.其他</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r>
        <w:trPr>
          <w:trHeight w:val="458" w:hRule="atLeast"/>
        </w:trPr>
        <w:tc>
          <w:tcPr>
            <w:tcW w:w="733" w:type="dxa"/>
            <w:vMerge w:val="continue"/>
            <w:tcBorders>
              <w:top w:val="single" w:color="auto" w:sz="4" w:space="0"/>
              <w:left w:val="single" w:color="auto" w:sz="4" w:space="0"/>
              <w:bottom w:val="single" w:color="auto" w:sz="4" w:space="0"/>
              <w:right w:val="single" w:color="auto" w:sz="4" w:space="0"/>
            </w:tcBorders>
            <w:vAlign w:val="center"/>
          </w:tcPr>
          <w:p/>
        </w:tc>
        <w:tc>
          <w:tcPr>
            <w:tcW w:w="3510" w:type="dxa"/>
            <w:gridSpan w:val="2"/>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（七）总计</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1</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1</w:t>
            </w:r>
          </w:p>
        </w:tc>
      </w:tr>
      <w:tr>
        <w:trPr>
          <w:trHeight w:val="418" w:hRule="atLeast"/>
        </w:trPr>
        <w:tc>
          <w:tcPr>
            <w:tcW w:w="4243" w:type="dxa"/>
            <w:gridSpan w:val="3"/>
            <w:tcBorders>
              <w:top w:val="single" w:color="auto" w:sz="4" w:space="0"/>
              <w:left w:val="single" w:color="auto" w:sz="4" w:space="0"/>
              <w:bottom w:val="single" w:color="auto" w:sz="4" w:space="0"/>
              <w:right w:val="single" w:color="auto" w:sz="4" w:space="0"/>
            </w:tcBorders>
            <w:vAlign w:val="top"/>
          </w:tcPr>
          <w:p>
            <w:pPr>
              <w:rPr>
                <w:sz w:val="18"/>
                <w:szCs w:val="18"/>
              </w:rPr>
            </w:pPr>
            <w:r>
              <w:rPr>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2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7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四、政府信息公开行政复议、行政诉讼情况</w:t>
      </w:r>
    </w:p>
    <w:tbl>
      <w:tblPr>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653"/>
        <w:gridCol w:w="653"/>
        <w:gridCol w:w="653"/>
        <w:gridCol w:w="482"/>
        <w:gridCol w:w="653"/>
        <w:gridCol w:w="653"/>
        <w:gridCol w:w="653"/>
        <w:gridCol w:w="653"/>
        <w:gridCol w:w="482"/>
        <w:gridCol w:w="654"/>
        <w:gridCol w:w="654"/>
        <w:gridCol w:w="654"/>
        <w:gridCol w:w="654"/>
        <w:gridCol w:w="483"/>
      </w:tblGrid>
      <w:tr>
        <w:tc>
          <w:tcPr>
            <w:tcW w:w="3094" w:type="dxa"/>
            <w:gridSpan w:val="5"/>
            <w:tcBorders>
              <w:right w:val="single" w:color="auto" w:sz="4" w:space="0"/>
            </w:tcBorders>
            <w:vAlign w:val="top"/>
          </w:tcPr>
          <w:p>
            <w:pPr>
              <w:jc w:val="center"/>
              <w:rPr>
                <w:sz w:val="18"/>
                <w:szCs w:val="18"/>
              </w:rPr>
            </w:pPr>
            <w:r>
              <w:rPr>
                <w:sz w:val="18"/>
                <w:szCs w:val="18"/>
              </w:rPr>
              <w:t>行政复议</w:t>
            </w:r>
          </w:p>
        </w:tc>
        <w:tc>
          <w:tcPr>
            <w:tcW w:w="6193" w:type="dxa"/>
            <w:gridSpan w:val="10"/>
            <w:tcBorders>
              <w:left w:val="single" w:color="auto" w:sz="4" w:space="0"/>
            </w:tcBorders>
            <w:vAlign w:val="top"/>
          </w:tcPr>
          <w:p>
            <w:pPr>
              <w:jc w:val="center"/>
              <w:rPr>
                <w:sz w:val="18"/>
                <w:szCs w:val="18"/>
              </w:rPr>
            </w:pPr>
            <w:r>
              <w:rPr>
                <w:sz w:val="18"/>
                <w:szCs w:val="18"/>
              </w:rPr>
              <w:t>行政诉讼</w:t>
            </w:r>
          </w:p>
        </w:tc>
      </w:tr>
      <w:tr>
        <w:tc>
          <w:tcPr>
            <w:tcW w:w="653" w:type="dxa"/>
            <w:vMerge w:val="restart"/>
            <w:tcBorders>
              <w:bottom w:val="nil"/>
            </w:tcBorders>
            <w:vAlign w:val="center"/>
          </w:tcPr>
          <w:p>
            <w:pPr>
              <w:jc w:val="center"/>
              <w:rPr>
                <w:sz w:val="18"/>
                <w:szCs w:val="18"/>
              </w:rPr>
            </w:pPr>
            <w:r>
              <w:rPr>
                <w:sz w:val="18"/>
                <w:szCs w:val="18"/>
              </w:rPr>
              <w:t>结果维持</w:t>
            </w:r>
          </w:p>
        </w:tc>
        <w:tc>
          <w:tcPr>
            <w:tcW w:w="653" w:type="dxa"/>
            <w:vMerge w:val="restart"/>
            <w:tcBorders>
              <w:bottom w:val="nil"/>
            </w:tcBorders>
            <w:vAlign w:val="center"/>
          </w:tcPr>
          <w:p>
            <w:pPr>
              <w:jc w:val="center"/>
              <w:rPr>
                <w:sz w:val="18"/>
                <w:szCs w:val="18"/>
              </w:rPr>
            </w:pPr>
            <w:r>
              <w:rPr>
                <w:sz w:val="18"/>
                <w:szCs w:val="18"/>
              </w:rPr>
              <w:t>结果纠正</w:t>
            </w:r>
          </w:p>
        </w:tc>
        <w:tc>
          <w:tcPr>
            <w:tcW w:w="653" w:type="dxa"/>
            <w:vMerge w:val="restart"/>
            <w:tcBorders>
              <w:bottom w:val="nil"/>
            </w:tcBorders>
            <w:vAlign w:val="center"/>
          </w:tcPr>
          <w:p>
            <w:pPr>
              <w:jc w:val="center"/>
              <w:rPr>
                <w:sz w:val="18"/>
                <w:szCs w:val="18"/>
              </w:rPr>
            </w:pPr>
            <w:r>
              <w:rPr>
                <w:sz w:val="18"/>
                <w:szCs w:val="18"/>
              </w:rPr>
              <w:t>其他结果</w:t>
            </w:r>
          </w:p>
        </w:tc>
        <w:tc>
          <w:tcPr>
            <w:tcW w:w="653" w:type="dxa"/>
            <w:vMerge w:val="restart"/>
            <w:tcBorders>
              <w:bottom w:val="nil"/>
            </w:tcBorders>
            <w:vAlign w:val="center"/>
          </w:tcPr>
          <w:p>
            <w:pPr>
              <w:jc w:val="center"/>
              <w:rPr>
                <w:sz w:val="18"/>
                <w:szCs w:val="18"/>
              </w:rPr>
            </w:pPr>
            <w:r>
              <w:rPr>
                <w:sz w:val="18"/>
                <w:szCs w:val="18"/>
              </w:rPr>
              <w:t>尚未审结</w:t>
            </w:r>
          </w:p>
        </w:tc>
        <w:tc>
          <w:tcPr>
            <w:tcW w:w="482" w:type="dxa"/>
            <w:vMerge w:val="restart"/>
            <w:tcBorders>
              <w:bottom w:val="nil"/>
              <w:right w:val="single" w:color="auto" w:sz="4" w:space="0"/>
            </w:tcBorders>
            <w:vAlign w:val="center"/>
          </w:tcPr>
          <w:p>
            <w:pPr>
              <w:jc w:val="center"/>
              <w:rPr>
                <w:sz w:val="18"/>
                <w:szCs w:val="18"/>
              </w:rPr>
            </w:pPr>
            <w:r>
              <w:rPr>
                <w:sz w:val="18"/>
                <w:szCs w:val="18"/>
              </w:rPr>
              <w:t>总计</w:t>
            </w:r>
          </w:p>
        </w:tc>
        <w:tc>
          <w:tcPr>
            <w:tcW w:w="3094" w:type="dxa"/>
            <w:gridSpan w:val="5"/>
            <w:tcBorders>
              <w:left w:val="single" w:color="auto" w:sz="4" w:space="0"/>
            </w:tcBorders>
            <w:vAlign w:val="top"/>
          </w:tcPr>
          <w:p>
            <w:pPr>
              <w:jc w:val="center"/>
              <w:rPr>
                <w:sz w:val="18"/>
                <w:szCs w:val="18"/>
              </w:rPr>
            </w:pPr>
            <w:r>
              <w:rPr>
                <w:sz w:val="18"/>
                <w:szCs w:val="18"/>
              </w:rPr>
              <w:t>未经复议直接起诉</w:t>
            </w:r>
          </w:p>
        </w:tc>
        <w:tc>
          <w:tcPr>
            <w:tcW w:w="3099" w:type="dxa"/>
            <w:gridSpan w:val="5"/>
            <w:vAlign w:val="top"/>
          </w:tcPr>
          <w:p>
            <w:pPr>
              <w:jc w:val="center"/>
              <w:rPr>
                <w:sz w:val="18"/>
                <w:szCs w:val="18"/>
              </w:rPr>
            </w:pPr>
            <w:r>
              <w:rPr>
                <w:sz w:val="18"/>
                <w:szCs w:val="18"/>
              </w:rPr>
              <w:t>复议后起诉</w:t>
            </w:r>
          </w:p>
        </w:tc>
      </w:tr>
      <w:tr>
        <w:tc>
          <w:tcPr>
            <w:tcW w:w="653" w:type="dxa"/>
            <w:vMerge w:val="continue"/>
            <w:vAlign w:val="top"/>
          </w:tcPr>
          <w:p/>
        </w:tc>
        <w:tc>
          <w:tcPr>
            <w:tcW w:w="653" w:type="dxa"/>
            <w:vMerge w:val="continue"/>
            <w:vAlign w:val="top"/>
          </w:tcPr>
          <w:p/>
        </w:tc>
        <w:tc>
          <w:tcPr>
            <w:tcW w:w="653" w:type="dxa"/>
            <w:vMerge w:val="continue"/>
            <w:vAlign w:val="top"/>
          </w:tcPr>
          <w:p/>
        </w:tc>
        <w:tc>
          <w:tcPr>
            <w:tcW w:w="653" w:type="dxa"/>
            <w:vMerge w:val="continue"/>
            <w:vAlign w:val="top"/>
          </w:tcPr>
          <w:p/>
        </w:tc>
        <w:tc>
          <w:tcPr>
            <w:tcW w:w="482" w:type="dxa"/>
            <w:vMerge w:val="continue"/>
            <w:tcBorders>
              <w:right w:val="single" w:color="auto" w:sz="4" w:space="0"/>
            </w:tcBorders>
            <w:vAlign w:val="top"/>
          </w:tcPr>
          <w:p/>
        </w:tc>
        <w:tc>
          <w:tcPr>
            <w:tcW w:w="653" w:type="dxa"/>
            <w:vAlign w:val="top"/>
          </w:tcPr>
          <w:p>
            <w:pPr>
              <w:rPr>
                <w:sz w:val="18"/>
                <w:szCs w:val="18"/>
              </w:rPr>
            </w:pPr>
            <w:r>
              <w:rPr>
                <w:sz w:val="18"/>
                <w:szCs w:val="18"/>
              </w:rPr>
              <w:t>结果维持</w:t>
            </w:r>
          </w:p>
        </w:tc>
        <w:tc>
          <w:tcPr>
            <w:tcW w:w="653" w:type="dxa"/>
            <w:vAlign w:val="top"/>
          </w:tcPr>
          <w:p>
            <w:pPr>
              <w:rPr>
                <w:sz w:val="18"/>
                <w:szCs w:val="18"/>
              </w:rPr>
            </w:pPr>
            <w:r>
              <w:rPr>
                <w:sz w:val="18"/>
                <w:szCs w:val="18"/>
              </w:rPr>
              <w:t>结果纠正</w:t>
            </w:r>
          </w:p>
        </w:tc>
        <w:tc>
          <w:tcPr>
            <w:tcW w:w="653" w:type="dxa"/>
            <w:vAlign w:val="top"/>
          </w:tcPr>
          <w:p>
            <w:pPr>
              <w:rPr>
                <w:sz w:val="18"/>
                <w:szCs w:val="18"/>
              </w:rPr>
            </w:pPr>
            <w:r>
              <w:rPr>
                <w:sz w:val="18"/>
                <w:szCs w:val="18"/>
              </w:rPr>
              <w:t>其他结果</w:t>
            </w:r>
          </w:p>
        </w:tc>
        <w:tc>
          <w:tcPr>
            <w:tcW w:w="653" w:type="dxa"/>
            <w:vAlign w:val="top"/>
          </w:tcPr>
          <w:p>
            <w:pPr>
              <w:rPr>
                <w:sz w:val="18"/>
                <w:szCs w:val="18"/>
              </w:rPr>
            </w:pPr>
            <w:r>
              <w:rPr>
                <w:sz w:val="18"/>
                <w:szCs w:val="18"/>
              </w:rPr>
              <w:t>尚未审结</w:t>
            </w:r>
          </w:p>
        </w:tc>
        <w:tc>
          <w:tcPr>
            <w:tcW w:w="482" w:type="dxa"/>
            <w:vAlign w:val="top"/>
          </w:tcPr>
          <w:p>
            <w:pPr>
              <w:rPr>
                <w:sz w:val="18"/>
                <w:szCs w:val="18"/>
              </w:rPr>
            </w:pPr>
            <w:r>
              <w:rPr>
                <w:sz w:val="18"/>
                <w:szCs w:val="18"/>
              </w:rPr>
              <w:t>总计</w:t>
            </w:r>
          </w:p>
        </w:tc>
        <w:tc>
          <w:tcPr>
            <w:tcW w:w="654" w:type="dxa"/>
            <w:vAlign w:val="top"/>
          </w:tcPr>
          <w:p>
            <w:pPr>
              <w:rPr>
                <w:sz w:val="18"/>
                <w:szCs w:val="18"/>
              </w:rPr>
            </w:pPr>
            <w:r>
              <w:rPr>
                <w:sz w:val="18"/>
                <w:szCs w:val="18"/>
              </w:rPr>
              <w:t>结果维持</w:t>
            </w:r>
          </w:p>
        </w:tc>
        <w:tc>
          <w:tcPr>
            <w:tcW w:w="654" w:type="dxa"/>
            <w:vAlign w:val="top"/>
          </w:tcPr>
          <w:p>
            <w:pPr>
              <w:rPr>
                <w:sz w:val="18"/>
                <w:szCs w:val="18"/>
              </w:rPr>
            </w:pPr>
            <w:r>
              <w:rPr>
                <w:sz w:val="18"/>
                <w:szCs w:val="18"/>
              </w:rPr>
              <w:t>结果纠正</w:t>
            </w:r>
          </w:p>
        </w:tc>
        <w:tc>
          <w:tcPr>
            <w:tcW w:w="654" w:type="dxa"/>
            <w:vAlign w:val="top"/>
          </w:tcPr>
          <w:p>
            <w:pPr>
              <w:rPr>
                <w:sz w:val="18"/>
                <w:szCs w:val="18"/>
              </w:rPr>
            </w:pPr>
            <w:r>
              <w:rPr>
                <w:sz w:val="18"/>
                <w:szCs w:val="18"/>
              </w:rPr>
              <w:t>其他结果</w:t>
            </w:r>
          </w:p>
        </w:tc>
        <w:tc>
          <w:tcPr>
            <w:tcW w:w="654" w:type="dxa"/>
            <w:vAlign w:val="top"/>
          </w:tcPr>
          <w:p>
            <w:pPr>
              <w:rPr>
                <w:sz w:val="18"/>
                <w:szCs w:val="18"/>
              </w:rPr>
            </w:pPr>
            <w:r>
              <w:rPr>
                <w:sz w:val="18"/>
                <w:szCs w:val="18"/>
              </w:rPr>
              <w:t>尚未审结</w:t>
            </w:r>
          </w:p>
        </w:tc>
        <w:tc>
          <w:tcPr>
            <w:tcW w:w="483" w:type="dxa"/>
            <w:vAlign w:val="top"/>
          </w:tcPr>
          <w:p>
            <w:pPr>
              <w:rPr>
                <w:sz w:val="18"/>
                <w:szCs w:val="18"/>
              </w:rPr>
            </w:pPr>
            <w:r>
              <w:rPr>
                <w:sz w:val="18"/>
                <w:szCs w:val="18"/>
              </w:rPr>
              <w:t>总计</w:t>
            </w:r>
          </w:p>
        </w:tc>
      </w:tr>
      <w:tr>
        <w:trPr>
          <w:trHeight w:val="550" w:hRule="atLeast"/>
        </w:trPr>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3" w:type="dxa"/>
            <w:vAlign w:val="center"/>
          </w:tcPr>
          <w:p>
            <w:pPr>
              <w:jc w:val="center"/>
              <w:rPr>
                <w:rFonts w:hint="eastAsia" w:ascii="Times New Roman" w:hAnsi="Times New Roman" w:eastAsia="宋体" w:cs="Times New Roman"/>
                <w:kern w:val="2"/>
                <w:sz w:val="21"/>
                <w:lang w:val="en-US" w:eastAsia="zh-CN" w:bidi="ar-SA"/>
              </w:rPr>
            </w:pPr>
            <w:r>
              <w:rPr>
                <w:rFonts w:hint="eastAsia"/>
                <w:lang w:val="en-US" w:eastAsia="zh-CN"/>
              </w:rPr>
              <w:t>0</w:t>
            </w:r>
          </w:p>
        </w:tc>
        <w:tc>
          <w:tcPr>
            <w:tcW w:w="482"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654"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c>
          <w:tcPr>
            <w:tcW w:w="483" w:type="dxa"/>
            <w:vAlign w:val="center"/>
          </w:tcPr>
          <w:p>
            <w:pPr>
              <w:jc w:val="center"/>
              <w:rPr>
                <w:rFonts w:ascii="Times New Roman" w:hAnsi="Times New Roman" w:eastAsia="宋体" w:cs="Times New Roman"/>
                <w:kern w:val="2"/>
                <w:sz w:val="21"/>
                <w:lang w:val="en-US" w:eastAsia="zh-CN" w:bidi="ar-SA"/>
              </w:rPr>
            </w:pPr>
            <w:r>
              <w:rPr>
                <w:rFonts w:hint="eastAsia"/>
                <w:lang w:val="en-US" w:eastAsia="zh-CN"/>
              </w:rPr>
              <w:t>0</w:t>
            </w:r>
          </w:p>
        </w:tc>
      </w:tr>
    </w:tbl>
    <w:p>
      <w:pPr>
        <w:widowControl w:val="0"/>
        <w:wordWrap/>
        <w:adjustRightInd/>
        <w:snapToGrid/>
        <w:spacing w:line="580" w:lineRule="exact"/>
        <w:textAlignment w:val="auto"/>
      </w:pPr>
    </w:p>
    <w:p>
      <w:pPr>
        <w:widowControl w:val="0"/>
        <w:wordWrap/>
        <w:adjustRightInd/>
        <w:snapToGrid/>
        <w:spacing w:line="58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五、存在的主要问题及改进情况</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目前，</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镇在政务公开方面还存在一些问题和不足。</w:t>
      </w:r>
      <w:r>
        <w:rPr>
          <w:rFonts w:hint="eastAsia" w:ascii="宋体" w:hAnsi="宋体" w:cs="宋体"/>
          <w:b w:val="0"/>
          <w:bCs w:val="0"/>
          <w:i w:val="0"/>
          <w:iCs w:val="0"/>
          <w:caps w:val="0"/>
          <w:color w:val="000000"/>
          <w:spacing w:val="0"/>
          <w:kern w:val="0"/>
          <w:sz w:val="24"/>
          <w:szCs w:val="24"/>
          <w:shd w:val="clear" w:color="0B0000" w:fill="FFFFFF"/>
          <w:lang w:val="en-US" w:eastAsia="zh-CN"/>
        </w:rPr>
        <w:t>一是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人员配置不足。由于</w:t>
      </w:r>
      <w:r>
        <w:rPr>
          <w:rFonts w:hint="eastAsia" w:ascii="宋体" w:hAnsi="宋体" w:cs="宋体"/>
          <w:b w:val="0"/>
          <w:bCs w:val="0"/>
          <w:i w:val="0"/>
          <w:iCs w:val="0"/>
          <w:caps w:val="0"/>
          <w:color w:val="000000"/>
          <w:spacing w:val="0"/>
          <w:kern w:val="0"/>
          <w:sz w:val="24"/>
          <w:szCs w:val="24"/>
          <w:shd w:val="clear" w:color="0B0000" w:fill="FFFFFF"/>
          <w:lang w:val="en-US" w:eastAsia="zh-CN"/>
        </w:rPr>
        <w:t>我</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镇机关工作繁忙，很难拥有专职信息公开人员，政府信息公开工作的敏感性不够，质量和创新需要进一步提高。</w:t>
      </w:r>
      <w:r>
        <w:rPr>
          <w:rFonts w:hint="eastAsia" w:ascii="宋体" w:hAnsi="宋体" w:cs="宋体"/>
          <w:b w:val="0"/>
          <w:bCs w:val="0"/>
          <w:i w:val="0"/>
          <w:iCs w:val="0"/>
          <w:caps w:val="0"/>
          <w:color w:val="000000"/>
          <w:spacing w:val="0"/>
          <w:kern w:val="0"/>
          <w:sz w:val="24"/>
          <w:szCs w:val="24"/>
          <w:shd w:val="clear" w:color="0B0000" w:fill="FFFFFF"/>
          <w:lang w:val="en-US" w:eastAsia="zh-CN"/>
        </w:rPr>
        <w:t>二是</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需要加强全方位解读政策、回应群众关注问题和互动的工作。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针对</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这些问题，我们提出以下改进措施：</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1.加快完善政务公开制度体系。我们将找准政务公开内容时效性较差的问题，明确差距，并有针对性地解决不足，立即行动，完善政务公开工作。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2.规范政务公开内容和程序。依据《政府信息公开条例》的要求，我们将及时公布信息，做好主动公开和依申请公开工作。</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3.加大政务公开监督检查力度。我们将强化政务公开目标责任管理，结合平时检查和年终考核，督促办公室认真贯彻落实政务公开的各项要求，确保政务公开工作有效开展。</w:t>
      </w:r>
    </w:p>
    <w:p>
      <w:pPr>
        <w:widowControl w:val="0"/>
        <w:wordWrap/>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六、其他需要报告的事项</w:t>
      </w:r>
    </w:p>
    <w:p>
      <w:pPr>
        <w:widowControl w:val="0"/>
        <w:wordWrap/>
        <w:adjustRightInd/>
        <w:snapToGrid/>
        <w:spacing w:line="580" w:lineRule="exact"/>
        <w:ind w:firstLine="480" w:firstLineChars="200"/>
        <w:textAlignment w:val="auto"/>
        <w:rPr>
          <w:rFonts w:hint="eastAsia" w:ascii="宋体" w:hAnsi="宋体" w:eastAsia="宋体" w:cs="宋体"/>
          <w:b w:val="0"/>
          <w:bCs w:val="0"/>
          <w:i w:val="0"/>
          <w:iCs w:val="0"/>
          <w:caps w:val="0"/>
          <w:color w:val="000000"/>
          <w:spacing w:val="0"/>
          <w:kern w:val="0"/>
          <w:sz w:val="24"/>
          <w:szCs w:val="24"/>
          <w:shd w:val="clear" w:color="0B0000" w:fill="FFFFFF"/>
          <w:lang w:val="en-US" w:eastAsia="zh-CN"/>
        </w:rPr>
      </w:pPr>
      <w:r>
        <w:rPr>
          <w:rFonts w:hint="eastAsia" w:ascii="宋体" w:hAnsi="宋体" w:cs="宋体"/>
          <w:b w:val="0"/>
          <w:bCs w:val="0"/>
          <w:i w:val="0"/>
          <w:iCs w:val="0"/>
          <w:caps w:val="0"/>
          <w:color w:val="000000"/>
          <w:spacing w:val="0"/>
          <w:kern w:val="0"/>
          <w:sz w:val="24"/>
          <w:szCs w:val="24"/>
          <w:shd w:val="clear" w:color="0B0000" w:fill="FFFFFF"/>
          <w:lang w:val="en-US" w:eastAsia="zh-CN"/>
        </w:rPr>
        <w:t>2025年度</w:t>
      </w:r>
      <w:r>
        <w:rPr>
          <w:rFonts w:hint="eastAsia" w:ascii="宋体" w:hAnsi="宋体" w:eastAsia="宋体" w:cs="宋体"/>
          <w:b w:val="0"/>
          <w:bCs w:val="0"/>
          <w:i w:val="0"/>
          <w:iCs w:val="0"/>
          <w:caps w:val="0"/>
          <w:color w:val="000000"/>
          <w:spacing w:val="0"/>
          <w:kern w:val="0"/>
          <w:sz w:val="24"/>
          <w:szCs w:val="24"/>
          <w:shd w:val="clear" w:color="0B0000" w:fill="FFFFFF"/>
          <w:lang w:val="en-US" w:eastAsia="zh-CN"/>
        </w:rPr>
        <w:t>本单位未收取信息处理费。</w:t>
      </w:r>
    </w:p>
    <w:p>
      <w:pPr>
        <w:ind w:firstLine="321" w:firstLineChars="100"/>
        <w:rPr>
          <w:rFonts w:hint="eastAsia" w:ascii="楷体" w:hAnsi="楷体" w:eastAsia="楷体" w:cs="楷体"/>
          <w:b/>
          <w:bCs/>
          <w:sz w:val="32"/>
          <w:szCs w:val="32"/>
          <w:lang w:val="en-US" w:eastAsia="zh-CN"/>
        </w:rPr>
      </w:pPr>
    </w:p>
    <w:p>
      <w:pPr>
        <w:wordWrap w:val="0"/>
        <w:jc w:val="right"/>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 </w:t>
      </w:r>
    </w:p>
    <w:p>
      <w:pPr>
        <w:wordWrap w:val="0"/>
        <w:ind w:firstLine="240" w:firstLineChars="100"/>
        <w:jc w:val="right"/>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榆树市秀水镇人民政府</w:t>
      </w:r>
    </w:p>
    <w:p>
      <w:pPr>
        <w:wordWrap w:val="0"/>
        <w:ind w:firstLine="240" w:firstLineChars="100"/>
        <w:jc w:val="right"/>
        <w:rPr>
          <w:rFonts w:hint="default" w:ascii="仿宋" w:hAnsi="仿宋" w:eastAsia="仿宋" w:cs="仿宋"/>
          <w:b w:val="0"/>
          <w:bCs w:val="0"/>
          <w:sz w:val="24"/>
          <w:szCs w:val="24"/>
          <w:lang w:val="en-US" w:eastAsia="zh-CN"/>
        </w:rPr>
      </w:pPr>
      <w:r>
        <w:rPr>
          <w:rFonts w:hint="eastAsia" w:ascii="宋体" w:hAnsi="宋体" w:cs="宋体"/>
          <w:b w:val="0"/>
          <w:bCs w:val="0"/>
          <w:sz w:val="24"/>
          <w:szCs w:val="24"/>
          <w:lang w:val="en-US" w:eastAsia="zh-CN"/>
        </w:rPr>
        <w:t>202</w:t>
      </w:r>
      <w:r>
        <w:rPr>
          <w:rFonts w:hint="default" w:ascii="宋体" w:hAnsi="宋体" w:cs="宋体"/>
          <w:b w:val="0"/>
          <w:bCs w:val="0"/>
          <w:sz w:val="24"/>
          <w:szCs w:val="24"/>
          <w:lang w:eastAsia="zh-CN"/>
        </w:rPr>
        <w:t>6</w:t>
      </w:r>
      <w:r>
        <w:rPr>
          <w:rFonts w:hint="eastAsia" w:ascii="宋体" w:hAnsi="宋体" w:cs="宋体"/>
          <w:b w:val="0"/>
          <w:bCs w:val="0"/>
          <w:sz w:val="24"/>
          <w:szCs w:val="24"/>
          <w:lang w:val="en-US" w:eastAsia="zh-CN"/>
        </w:rPr>
        <w:t>年1月</w:t>
      </w:r>
      <w:r>
        <w:rPr>
          <w:rFonts w:hint="default" w:ascii="宋体" w:hAnsi="宋体" w:cs="宋体"/>
          <w:b w:val="0"/>
          <w:bCs w:val="0"/>
          <w:sz w:val="24"/>
          <w:szCs w:val="24"/>
          <w:lang w:eastAsia="zh-CN"/>
        </w:rPr>
        <w:t>12</w:t>
      </w:r>
      <w:r>
        <w:rPr>
          <w:rFonts w:hint="eastAsia" w:ascii="宋体" w:hAnsi="宋体" w:cs="宋体"/>
          <w:b w:val="0"/>
          <w:bCs w:val="0"/>
          <w:sz w:val="24"/>
          <w:szCs w:val="24"/>
          <w:lang w:val="en-US" w:eastAsia="zh-CN"/>
        </w:rPr>
        <w:t>日</w:t>
      </w:r>
    </w:p>
    <w:sectPr>
      <w:footerReference r:id="rId4" w:type="default"/>
      <w:footerReference r:id="rId5" w:type="even"/>
      <w:pgSz w:w="11907" w:h="16840"/>
      <w:pgMar w:top="1247" w:right="1418" w:bottom="1440" w:left="141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HarmonyOS Sans">
    <w:altName w:val="Segoe Print"/>
    <w:panose1 w:val="00000500000000000000"/>
    <w:charset w:val="00"/>
    <w:family w:val="auto"/>
    <w:pitch w:val="default"/>
    <w:sig w:usb0="A0000287" w:usb1="00000011" w:usb2="00000000" w:usb3="00000000" w:csb0="00000001" w:csb1="00000000"/>
  </w:font>
  <w:font w:name="Calibri">
    <w:panose1 w:val="020F0502020204030204"/>
    <w:charset w:val="00"/>
    <w:family w:val="auto"/>
    <w:pitch w:val="default"/>
    <w:sig w:usb0="E00002FF" w:usb1="4000ACFF" w:usb2="00000001" w:usb3="00000000" w:csb0="2000019F" w:csb1="00000000"/>
  </w:font>
  <w:font w:name="书宋-简">
    <w:altName w:val="宋体"/>
    <w:panose1 w:val="00000500000000000000"/>
    <w:charset w:val="86"/>
    <w:family w:val="auto"/>
    <w:pitch w:val="default"/>
    <w:sig w:usb0="A00002BF" w:usb1="18EF7CFA" w:usb2="00000016" w:usb3="00000000" w:csb0="00040001" w:csb1="00000000"/>
  </w:font>
  <w:font w:name="HarmonyOS Sans SC">
    <w:altName w:val="宋体"/>
    <w:panose1 w:val="00000500000000000000"/>
    <w:charset w:val="86"/>
    <w:family w:val="auto"/>
    <w:pitch w:val="default"/>
    <w:sig w:usb0="A00002BF" w:usb1="18EF7CFA" w:usb2="00000016" w:usb3="00000000" w:csb0="00040001" w:csb1="00000000"/>
  </w:font>
  <w:font w:name="Noto Sans CJK SC">
    <w:altName w:val="宋体"/>
    <w:panose1 w:val="020B0500000000000000"/>
    <w:charset w:val="86"/>
    <w:family w:val="auto"/>
    <w:pitch w:val="default"/>
    <w:sig w:usb0="30000083" w:usb1="2BDF3C10" w:usb2="00000016" w:usb3="00000000" w:csb0="602E0107" w:csb1="00000000"/>
  </w:font>
  <w:font w:name="FTToken">
    <w:altName w:val="Wingdings 3"/>
    <w:panose1 w:val="05000000000000000000"/>
    <w:charset w:val="02"/>
    <w:family w:val="auto"/>
    <w:pitch w:val="default"/>
    <w:sig w:usb0="00000000" w:usb1="1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楷简">
    <w:altName w:val="宋体"/>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font>
  <w:font w:name="汉仪仿宋简">
    <w:altName w:val="仿宋"/>
    <w:panose1 w:val="02010600000101010101"/>
    <w:charset w:val="86"/>
    <w:family w:val="auto"/>
    <w:pitch w:val="default"/>
    <w:sig w:usb0="00000001" w:usb1="080E0800" w:usb2="00000002" w:usb3="00000000" w:csb0="00040000" w:csb1="00000000"/>
  </w:font>
  <w:font w:name="Kingsoft Sign">
    <w:altName w:val="Segoe Print"/>
    <w:panose1 w:val="05050102010706020507"/>
    <w:charset w:val="00"/>
    <w:family w:val="auto"/>
    <w:pitch w:val="default"/>
    <w:sig w:usb0="00000000" w:usb1="1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3">
    <w:panose1 w:val="050401020108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8</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hAnchor="margin" w:vAnchor="text" w:xAlign="right" w:y="1"/>
    </w:pPr>
    <w:r>
      <w:fldChar w:fldCharType="begin"/>
    </w:r>
    <w:r>
      <w:rPr>
        <w:rStyle w:val="8"/>
      </w:rPr>
      <w:instrText xml:space="preserve">Page</w:instrText>
    </w:r>
    <w:r>
      <w:fldChar w:fldCharType="separate"/>
    </w:r>
    <w:r>
      <w:rPr>
        <w:rStyle w:val="8"/>
      </w:rPr>
      <w:t>1</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7">
    <w:name w:val="Default Paragraph Font"/>
    <w:qFormat/>
    <w:uiPriority w:val="0"/>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726</Words>
  <Characters>4140</Characters>
  <Lines>34</Lines>
  <Paragraphs>9</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2021-10-08T15:53:00Z</dcterms:created>
  <dc:creator>lenovo</dc:creator>
  <cp:lastModifiedBy>Administrator</cp:lastModifiedBy>
  <cp:lastPrinted>2021-10-22T16:05:00Z</cp:lastPrinted>
  <dcterms:modified xsi:type="dcterms:W3CDTF">2026-01-12T06:26:19Z</dcterms:modified>
  <dc:title>2025年榆树市秀水镇政府信息公开工作年度报告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D1670CC930517515C58464697018A1DF_43</vt:lpwstr>
  </property>
</Properties>
</file>