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举报事项核查处理情况报告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eastAsia" w:ascii="宋体" w:hAnsi="宋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长春市“12350”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举报中心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你</w:t>
      </w:r>
      <w:r>
        <w:rPr>
          <w:rFonts w:hint="eastAsia" w:ascii="仿宋_GB2312" w:eastAsia="仿宋_GB2312"/>
          <w:sz w:val="32"/>
          <w:szCs w:val="32"/>
        </w:rPr>
        <w:t>中心转来的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举报事项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移送表》</w:t>
      </w:r>
      <w:r>
        <w:rPr>
          <w:rFonts w:hint="eastAsia" w:ascii="仿宋_GB2312" w:eastAsia="仿宋_GB2312"/>
          <w:sz w:val="32"/>
          <w:szCs w:val="32"/>
        </w:rPr>
        <w:t>已收悉，我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进行了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核查</w:t>
      </w:r>
      <w:r>
        <w:rPr>
          <w:rFonts w:hint="eastAsia" w:ascii="仿宋_GB2312" w:eastAsia="仿宋_GB2312"/>
          <w:sz w:val="32"/>
          <w:szCs w:val="32"/>
        </w:rPr>
        <w:t>办理，现将有关情况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反馈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一、举报事项是否属实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是/否/部分属实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二、被举报单位概况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包括单位名称、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地址、单位负责人、生产经营范围、持有各类证照等情况）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举报事项</w:t>
      </w:r>
      <w:r>
        <w:rPr>
          <w:rFonts w:hint="eastAsia" w:ascii="黑体" w:hAnsi="黑体" w:eastAsia="黑体"/>
          <w:sz w:val="32"/>
          <w:szCs w:val="32"/>
        </w:rPr>
        <w:t>发生的时间、地点和经过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58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四、核查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处理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 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核查人员、判定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安全生产事故隐患和违法行为的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对举报事项的处理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及行政处罚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情况、隐患整改情况）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***（</w:t>
      </w:r>
      <w:r>
        <w:rPr>
          <w:rFonts w:hint="eastAsia" w:ascii="仿宋_GB2312" w:eastAsia="仿宋_GB2312"/>
          <w:sz w:val="32"/>
          <w:szCs w:val="32"/>
          <w:lang w:eastAsia="zh-CN"/>
        </w:rPr>
        <w:t>是否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给予奖励，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奖金的具体数额和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法规依据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详细核查证据材料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**********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IyY2ZiMDJlNTcxNmRkZDQzYzkzOWJhMTFlZDcifQ=="/>
  </w:docVars>
  <w:rsids>
    <w:rsidRoot w:val="3EF353D1"/>
    <w:rsid w:val="3EF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2022-11-11T06:30:00Z</dcterms:created>
  <dc:creator>安琪</dc:creator>
  <cp:lastModifiedBy>安琪</cp:lastModifiedBy>
  <dcterms:modified xsi:type="dcterms:W3CDTF">2022-11-11T06:30:57Z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37BFCAEC9BBA47749AA7437E1996FA04</vt:lpwstr>
  </property>
</Properties>
</file>