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bidi w:val="0"/>
        <w:jc w:val="center"/>
        <w:rPr>
          <w:rFonts w:hint="eastAsia" w:ascii="宋体" w:hAnsi="宋体" w:eastAsia="宋体" w:cs="宋体"/>
          <w:b w:val="0"/>
          <w:bCs w:val="0"/>
          <w:sz w:val="44"/>
          <w:szCs w:val="44"/>
          <w:lang w:val="en-US" w:eastAsia="zh-CN"/>
        </w:rPr>
      </w:pPr>
    </w:p>
    <w:p>
      <w:pPr>
        <w:bidi w:val="0"/>
        <w:jc w:val="both"/>
        <w:rPr>
          <w:rFonts w:hint="eastAsia" w:ascii="宋体" w:hAnsi="宋体" w:eastAsia="宋体" w:cs="宋体"/>
          <w:b w:val="0"/>
          <w:bCs w:val="0"/>
          <w:sz w:val="44"/>
          <w:szCs w:val="44"/>
          <w:lang w:val="en-US" w:eastAsia="zh-CN"/>
        </w:rPr>
      </w:pPr>
    </w:p>
    <w:p>
      <w:pPr>
        <w:pStyle w:val="2"/>
        <w:rPr>
          <w:rFonts w:hint="eastAsia" w:asciiTheme="minorEastAsia" w:hAnsiTheme="minorEastAsia" w:eastAsiaTheme="minorEastAsia" w:cstheme="minorEastAsia"/>
          <w:sz w:val="44"/>
          <w:szCs w:val="44"/>
        </w:rPr>
      </w:pPr>
      <w:r>
        <w:rPr>
          <w:rFonts w:hint="eastAsia" w:asciiTheme="minorEastAsia" w:hAnsiTheme="minorEastAsia" w:eastAsiaTheme="minorEastAsia" w:cstheme="minorEastAsia"/>
          <w:sz w:val="44"/>
          <w:szCs w:val="44"/>
        </w:rPr>
        <w:t>长春市餐厨垃圾管理暂行办法</w:t>
      </w:r>
    </w:p>
    <w:p>
      <w:pPr>
        <w:spacing w:line="360" w:lineRule="atLeast"/>
        <w:ind w:firstLine="480" w:firstLineChars="200"/>
        <w:jc w:val="left"/>
        <w:rPr>
          <w:rFonts w:asciiTheme="minorEastAsia" w:hAnsiTheme="minorEastAsia"/>
          <w:sz w:val="24"/>
          <w:szCs w:val="24"/>
        </w:rPr>
      </w:pPr>
    </w:p>
    <w:p>
      <w:pPr>
        <w:spacing w:line="360" w:lineRule="atLeast"/>
        <w:ind w:firstLine="640" w:firstLineChars="200"/>
        <w:jc w:val="left"/>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（2017年6月14日长春市人民政府令第70号公布 2020年10月21日长春市人民政府令第82号第一次修改 2021年12月10日长春市人民政府令第88号第二次修改 2025年10月28日长春市人民政府令第99号第三次修改</w:t>
      </w:r>
      <w:bookmarkStart w:id="0" w:name="_GoBack"/>
      <w:bookmarkEnd w:id="0"/>
      <w:r>
        <w:rPr>
          <w:rFonts w:hint="eastAsia" w:ascii="楷体_GB2312" w:hAnsi="楷体_GB2312" w:eastAsia="楷体_GB2312" w:cs="楷体_GB2312"/>
          <w:sz w:val="32"/>
          <w:szCs w:val="32"/>
        </w:rPr>
        <w:t>）</w:t>
      </w:r>
    </w:p>
    <w:p>
      <w:pPr>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heme="minorEastAsia" w:hAnsiTheme="minorEastAsia"/>
          <w:sz w:val="24"/>
          <w:szCs w:val="24"/>
        </w:rPr>
      </w:pPr>
    </w:p>
    <w:p>
      <w:pPr>
        <w:pStyle w:val="3"/>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eastAsia" w:ascii="黑体" w:hAnsi="黑体" w:eastAsia="黑体" w:cs="黑体"/>
          <w:sz w:val="32"/>
          <w:szCs w:val="32"/>
        </w:rPr>
      </w:pPr>
      <w:r>
        <w:rPr>
          <w:rFonts w:hint="eastAsia" w:ascii="黑体" w:hAnsi="黑体" w:eastAsia="黑体" w:cs="黑体"/>
          <w:sz w:val="32"/>
          <w:szCs w:val="32"/>
        </w:rPr>
        <w:t>第一章 总 则</w:t>
      </w:r>
    </w:p>
    <w:p>
      <w:pPr>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黑体" w:hAnsi="黑体" w:eastAsia="黑体" w:cs="黑体"/>
          <w:sz w:val="32"/>
          <w:szCs w:val="32"/>
          <w:lang w:val="en"/>
        </w:rPr>
      </w:pP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5"/>
          <w:rFonts w:hint="eastAsia" w:ascii="黑体" w:hAnsi="黑体" w:eastAsia="黑体" w:cs="黑体"/>
          <w:sz w:val="32"/>
          <w:szCs w:val="32"/>
        </w:rPr>
        <w:t>第一条</w:t>
      </w:r>
      <w:r>
        <w:rPr>
          <w:rFonts w:hint="eastAsia" w:ascii="仿宋_GB2312" w:hAnsi="仿宋_GB2312" w:eastAsia="仿宋_GB2312" w:cs="仿宋_GB2312"/>
          <w:sz w:val="32"/>
          <w:szCs w:val="32"/>
        </w:rPr>
        <w:t xml:space="preserve"> 为了加强餐厨垃圾管理,维护城市市容环境卫生，保障社会公众身体健康，根据有关法律、法规和规章的规定，结合本市实际，制定本办法。</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5"/>
          <w:rFonts w:hint="eastAsia" w:ascii="黑体" w:hAnsi="黑体" w:eastAsia="黑体" w:cs="黑体"/>
          <w:sz w:val="32"/>
          <w:szCs w:val="32"/>
        </w:rPr>
        <w:t>第二条</w:t>
      </w:r>
      <w:r>
        <w:rPr>
          <w:rFonts w:hint="eastAsia" w:ascii="仿宋_GB2312" w:hAnsi="仿宋_GB2312" w:eastAsia="仿宋_GB2312" w:cs="仿宋_GB2312"/>
          <w:sz w:val="32"/>
          <w:szCs w:val="32"/>
        </w:rPr>
        <w:t xml:space="preserve"> 本市市区范围内（不含双阳区和九台区）餐厨垃圾的产生、收集、运输和处理及其相关管理活动适用本办法。</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5"/>
          <w:rFonts w:hint="eastAsia" w:ascii="黑体" w:hAnsi="黑体" w:eastAsia="黑体" w:cs="黑体"/>
          <w:sz w:val="32"/>
          <w:szCs w:val="32"/>
        </w:rPr>
        <w:t>第三条</w:t>
      </w:r>
      <w:r>
        <w:rPr>
          <w:rFonts w:hint="eastAsia" w:ascii="仿宋_GB2312" w:hAnsi="仿宋_GB2312" w:eastAsia="仿宋_GB2312" w:cs="仿宋_GB2312"/>
          <w:sz w:val="32"/>
          <w:szCs w:val="32"/>
        </w:rPr>
        <w:t xml:space="preserve"> 本办法所称餐厨垃圾，是指除居民日常生活以外的食品加工、餐饮服务、单位供餐等活动中产生并废弃的食品、食品残余、食品原材料和食用油脂等。</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5"/>
          <w:rFonts w:hint="eastAsia" w:ascii="黑体" w:hAnsi="黑体" w:eastAsia="黑体" w:cs="黑体"/>
          <w:sz w:val="32"/>
          <w:szCs w:val="32"/>
        </w:rPr>
        <w:t>第四条</w:t>
      </w:r>
      <w:r>
        <w:rPr>
          <w:rFonts w:hint="eastAsia" w:ascii="仿宋_GB2312" w:hAnsi="仿宋_GB2312" w:eastAsia="仿宋_GB2312" w:cs="仿宋_GB2312"/>
          <w:sz w:val="32"/>
          <w:szCs w:val="32"/>
        </w:rPr>
        <w:t xml:space="preserve"> 市市容环境卫生主管部门负责本市餐厨垃圾的管理工作。</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区市容环境卫生主管部门按照职责分工，负责本辖区内餐厨垃圾的管理工作。</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市固体废弃物管理机构受市市容环境卫生主管部门的委托，具体负责餐厨垃圾的监督管理工作。</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5"/>
          <w:rFonts w:hint="eastAsia" w:ascii="黑体" w:hAnsi="黑体" w:eastAsia="黑体" w:cs="黑体"/>
          <w:sz w:val="32"/>
          <w:szCs w:val="32"/>
        </w:rPr>
        <w:t>第五条</w:t>
      </w:r>
      <w:r>
        <w:rPr>
          <w:rFonts w:hint="eastAsia" w:ascii="仿宋_GB2312" w:hAnsi="仿宋_GB2312" w:eastAsia="仿宋_GB2312" w:cs="仿宋_GB2312"/>
          <w:sz w:val="32"/>
          <w:szCs w:val="32"/>
        </w:rPr>
        <w:t xml:space="preserve"> 市人民政府建立餐厨垃圾管理工作协调机制，研究解决餐厨垃圾管理过程中的重大问题。</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5"/>
          <w:rFonts w:hint="eastAsia" w:ascii="黑体" w:hAnsi="黑体" w:eastAsia="黑体" w:cs="黑体"/>
          <w:sz w:val="32"/>
          <w:szCs w:val="32"/>
        </w:rPr>
        <w:t>第六条</w:t>
      </w:r>
      <w:r>
        <w:rPr>
          <w:rFonts w:hint="eastAsia" w:ascii="仿宋_GB2312" w:hAnsi="仿宋_GB2312" w:eastAsia="仿宋_GB2312" w:cs="仿宋_GB2312"/>
          <w:sz w:val="32"/>
          <w:szCs w:val="32"/>
        </w:rPr>
        <w:t xml:space="preserve"> 市市容环境卫生主管部门会同有关部门，依据国民经济和社会发展计划、城市总体规划等，编制环境卫生专项规划。</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环境卫生专项规划应当包括餐厨垃圾治理的内容，统筹安排餐厨垃圾收集、运输、处理设施的布局、用地和规模，并纳入控制性详细规划。</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5"/>
          <w:rFonts w:hint="eastAsia" w:ascii="黑体" w:hAnsi="黑体" w:eastAsia="黑体" w:cs="黑体"/>
          <w:sz w:val="32"/>
          <w:szCs w:val="32"/>
        </w:rPr>
        <w:t>第七条</w:t>
      </w:r>
      <w:r>
        <w:rPr>
          <w:rFonts w:hint="eastAsia" w:ascii="仿宋_GB2312" w:hAnsi="仿宋_GB2312" w:eastAsia="仿宋_GB2312" w:cs="仿宋_GB2312"/>
          <w:sz w:val="32"/>
          <w:szCs w:val="32"/>
        </w:rPr>
        <w:t xml:space="preserve"> 餐厨垃圾治理遵循减量化、资源化和无害化的原则。</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倡导净菜上市、改进加工工艺和节约用餐，减少餐厨垃圾的产生量。</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鼓励餐厨垃圾处理单位采取符合环境保护技术标准的新工艺、新技术、新方式对餐厨垃圾进行深加工，提高餐厨垃圾的资源化利用和无害化处理水平。</w:t>
      </w:r>
    </w:p>
    <w:p>
      <w:pPr>
        <w:pStyle w:val="3"/>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eastAsia" w:ascii="黑体" w:hAnsi="黑体" w:eastAsia="黑体" w:cs="黑体"/>
          <w:sz w:val="32"/>
          <w:szCs w:val="32"/>
        </w:rPr>
      </w:pPr>
    </w:p>
    <w:p>
      <w:pPr>
        <w:pStyle w:val="3"/>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eastAsia" w:ascii="黑体" w:hAnsi="黑体" w:eastAsia="黑体" w:cs="黑体"/>
          <w:sz w:val="32"/>
          <w:szCs w:val="32"/>
        </w:rPr>
      </w:pPr>
      <w:r>
        <w:rPr>
          <w:rFonts w:hint="eastAsia" w:ascii="黑体" w:hAnsi="黑体" w:eastAsia="黑体" w:cs="黑体"/>
          <w:sz w:val="32"/>
          <w:szCs w:val="32"/>
        </w:rPr>
        <w:t>第二章 产 生</w:t>
      </w:r>
    </w:p>
    <w:p>
      <w:pPr>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15"/>
          <w:rFonts w:hint="eastAsia" w:ascii="黑体" w:hAnsi="黑体" w:eastAsia="黑体" w:cs="黑体"/>
          <w:sz w:val="32"/>
          <w:szCs w:val="32"/>
        </w:rPr>
      </w:pPr>
    </w:p>
    <w:p>
      <w:pPr>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5"/>
          <w:rFonts w:hint="eastAsia" w:ascii="黑体" w:hAnsi="黑体" w:eastAsia="黑体" w:cs="黑体"/>
          <w:sz w:val="32"/>
          <w:szCs w:val="32"/>
        </w:rPr>
        <w:t>第八条</w:t>
      </w:r>
      <w:r>
        <w:rPr>
          <w:rFonts w:hint="eastAsia" w:ascii="仿宋_GB2312" w:hAnsi="仿宋_GB2312" w:eastAsia="仿宋_GB2312" w:cs="仿宋_GB2312"/>
          <w:sz w:val="32"/>
          <w:szCs w:val="32"/>
        </w:rPr>
        <w:t xml:space="preserve"> 从事食品加工、餐饮服务、单位供餐的单位和个人（以下简称餐厨垃圾产生者）应当遵守下列规定：</w:t>
      </w:r>
    </w:p>
    <w:p>
      <w:pPr>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（一）与取得餐厨垃圾收集、运输许可证件的单位签订餐厨垃圾收集、运输服务协议，约定收集、运输的时间、地点和频次等内容；</w:t>
      </w:r>
    </w:p>
    <w:p>
      <w:pPr>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（二）设置、使用专用餐厨垃圾收集容器，并保持外观整洁；</w:t>
      </w:r>
    </w:p>
    <w:p>
      <w:pPr>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（三）单独存放废弃的食用油脂；</w:t>
      </w:r>
    </w:p>
    <w:p>
      <w:pPr>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（四）法律、法规和规章的其他规定。</w:t>
      </w:r>
    </w:p>
    <w:p>
      <w:pPr>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5"/>
          <w:rFonts w:hint="eastAsia" w:ascii="黑体" w:hAnsi="黑体" w:eastAsia="黑体" w:cs="黑体"/>
          <w:sz w:val="32"/>
          <w:szCs w:val="32"/>
        </w:rPr>
        <w:t>第九条</w:t>
      </w:r>
      <w:r>
        <w:rPr>
          <w:rFonts w:hint="eastAsia" w:ascii="仿宋_GB2312" w:hAnsi="仿宋_GB2312" w:eastAsia="仿宋_GB2312" w:cs="仿宋_GB2312"/>
          <w:sz w:val="32"/>
          <w:szCs w:val="32"/>
        </w:rPr>
        <w:t xml:space="preserve"> 餐厨垃圾产生者应当按照规定交纳餐厨垃圾处理费。</w:t>
      </w:r>
    </w:p>
    <w:p>
      <w:pPr>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餐厨垃圾处理费纳入城市生活垃圾处理费收费体系，具体收费标准由价格主管部门按照有关规定确定。</w:t>
      </w:r>
    </w:p>
    <w:p>
      <w:pPr>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5"/>
          <w:rFonts w:hint="eastAsia" w:ascii="黑体" w:hAnsi="黑体" w:eastAsia="黑体" w:cs="黑体"/>
          <w:sz w:val="32"/>
          <w:szCs w:val="32"/>
        </w:rPr>
        <w:t>第十条</w:t>
      </w:r>
      <w:r>
        <w:rPr>
          <w:rFonts w:hint="eastAsia" w:ascii="黑体" w:hAnsi="黑体" w:eastAsia="黑体" w:cs="黑体"/>
          <w:sz w:val="32"/>
          <w:szCs w:val="32"/>
        </w:rPr>
        <w:t xml:space="preserve"> </w:t>
      </w:r>
      <w:r>
        <w:rPr>
          <w:rFonts w:hint="eastAsia" w:ascii="仿宋_GB2312" w:hAnsi="仿宋_GB2312" w:eastAsia="仿宋_GB2312" w:cs="仿宋_GB2312"/>
          <w:sz w:val="32"/>
          <w:szCs w:val="32"/>
        </w:rPr>
        <w:t>餐厨垃圾产生者在食品加工、餐饮服务、单位供餐等活动中产生油水的，应当按照规定安装油水隔离池、油水分离器等设施。餐厨垃圾产生者可以选择与取得餐厨垃圾收集、运输许可证件的单位签订废弃食用油脂专项收集、运输服务协议。</w:t>
      </w:r>
    </w:p>
    <w:p>
      <w:pPr>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5"/>
          <w:rFonts w:hint="eastAsia" w:ascii="黑体" w:hAnsi="黑体" w:eastAsia="黑体" w:cs="黑体"/>
          <w:sz w:val="32"/>
          <w:szCs w:val="32"/>
        </w:rPr>
        <w:t>第十一条</w:t>
      </w:r>
      <w:r>
        <w:rPr>
          <w:rFonts w:hint="eastAsia" w:ascii="仿宋_GB2312" w:hAnsi="仿宋_GB2312" w:eastAsia="仿宋_GB2312" w:cs="仿宋_GB2312"/>
          <w:sz w:val="32"/>
          <w:szCs w:val="32"/>
        </w:rPr>
        <w:t xml:space="preserve"> 餐厨垃圾产生者不得实施下列行为：</w:t>
      </w:r>
    </w:p>
    <w:p>
      <w:pPr>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（一）将餐厨垃圾提供给未取得餐厨垃圾收集、运输许可证件的单位或者个人；</w:t>
      </w:r>
    </w:p>
    <w:p>
      <w:pPr>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（二）在店外放置餐厨垃圾收集容器；</w:t>
      </w:r>
    </w:p>
    <w:p>
      <w:pPr>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（三）随意倾倒、排放餐厨垃圾；</w:t>
      </w:r>
    </w:p>
    <w:p>
      <w:pPr>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（四）将其他垃圾混入餐厨垃圾；</w:t>
      </w:r>
    </w:p>
    <w:p>
      <w:pPr>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（五）将未经无害化处理的餐厨垃圾作为畜禽饲料；</w:t>
      </w:r>
    </w:p>
    <w:p>
      <w:pPr>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（六）法律、法规和规章禁止的其他行为。</w:t>
      </w:r>
    </w:p>
    <w:p>
      <w:pPr>
        <w:pStyle w:val="3"/>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eastAsia" w:ascii="黑体" w:hAnsi="黑体" w:eastAsia="黑体" w:cs="黑体"/>
          <w:sz w:val="32"/>
          <w:szCs w:val="32"/>
        </w:rPr>
      </w:pPr>
    </w:p>
    <w:p>
      <w:pPr>
        <w:pStyle w:val="3"/>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eastAsia" w:ascii="黑体" w:hAnsi="黑体" w:eastAsia="黑体" w:cs="黑体"/>
          <w:sz w:val="32"/>
          <w:szCs w:val="32"/>
        </w:rPr>
      </w:pPr>
      <w:r>
        <w:rPr>
          <w:rFonts w:hint="eastAsia" w:ascii="黑体" w:hAnsi="黑体" w:eastAsia="黑体" w:cs="黑体"/>
          <w:sz w:val="32"/>
          <w:szCs w:val="32"/>
        </w:rPr>
        <w:t>第三章 收集、运输</w:t>
      </w:r>
    </w:p>
    <w:p>
      <w:pPr>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15"/>
          <w:rFonts w:hint="eastAsia" w:ascii="黑体" w:hAnsi="黑体" w:eastAsia="黑体" w:cs="黑体"/>
          <w:sz w:val="32"/>
          <w:szCs w:val="32"/>
        </w:rPr>
      </w:pPr>
    </w:p>
    <w:p>
      <w:pPr>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5"/>
          <w:rFonts w:hint="eastAsia" w:ascii="黑体" w:hAnsi="黑体" w:eastAsia="黑体" w:cs="黑体"/>
          <w:sz w:val="32"/>
          <w:szCs w:val="32"/>
        </w:rPr>
        <w:t>第十二条</w:t>
      </w:r>
      <w:r>
        <w:rPr>
          <w:rFonts w:hint="eastAsia" w:ascii="仿宋_GB2312" w:hAnsi="仿宋_GB2312" w:eastAsia="仿宋_GB2312" w:cs="仿宋_GB2312"/>
          <w:sz w:val="32"/>
          <w:szCs w:val="32"/>
        </w:rPr>
        <w:t xml:space="preserve"> 市市容环境卫生主管部门应当通过招投标等公平竞争方式确定餐厨垃圾的收集、运输单位，并依法颁发许可证件。</w:t>
      </w:r>
    </w:p>
    <w:p>
      <w:pPr>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未取得许可证件的单位和个人不得擅自从事餐厨垃圾的收集、运输活动。</w:t>
      </w:r>
    </w:p>
    <w:p>
      <w:pPr>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5"/>
          <w:rFonts w:hint="eastAsia" w:ascii="黑体" w:hAnsi="黑体" w:eastAsia="黑体" w:cs="黑体"/>
          <w:sz w:val="32"/>
          <w:szCs w:val="32"/>
        </w:rPr>
        <w:t>第十三条</w:t>
      </w:r>
      <w:r>
        <w:rPr>
          <w:rFonts w:hint="eastAsia" w:ascii="仿宋_GB2312" w:hAnsi="仿宋_GB2312" w:eastAsia="仿宋_GB2312" w:cs="仿宋_GB2312"/>
          <w:sz w:val="32"/>
          <w:szCs w:val="32"/>
        </w:rPr>
        <w:t xml:space="preserve"> 市市容环境卫生主管部门应当与取得餐厨垃圾收集、运输许可证件的单位签订餐厨垃圾收集、运输服务协议（以下简称收集、运输服务协议）。</w:t>
      </w:r>
    </w:p>
    <w:p>
      <w:pPr>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收集、运输服务协议应当约定收集、运输单位的服务范围、服务期限、服务规范、服务费用、餐厨垃圾去向、退出机制和违约责任等内容。</w:t>
      </w:r>
    </w:p>
    <w:p>
      <w:pPr>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5"/>
          <w:rFonts w:hint="eastAsia" w:ascii="黑体" w:hAnsi="黑体" w:eastAsia="黑体" w:cs="黑体"/>
          <w:sz w:val="32"/>
          <w:szCs w:val="32"/>
        </w:rPr>
        <w:t>第十四条</w:t>
      </w:r>
      <w:r>
        <w:rPr>
          <w:rFonts w:hint="eastAsia" w:ascii="仿宋_GB2312" w:hAnsi="仿宋_GB2312" w:eastAsia="仿宋_GB2312" w:cs="仿宋_GB2312"/>
          <w:sz w:val="32"/>
          <w:szCs w:val="32"/>
        </w:rPr>
        <w:t xml:space="preserve"> 餐厨垃圾收集、运输车辆应当具备下列条件：</w:t>
      </w:r>
    </w:p>
    <w:p>
      <w:pPr>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（一）具有道路运输营运证、车辆行驶证；</w:t>
      </w:r>
    </w:p>
    <w:p>
      <w:pPr>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（二）按照规定喷涂车身颜色、车辆标识；</w:t>
      </w:r>
    </w:p>
    <w:p>
      <w:pPr>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（三）具有全密闭、自动卸载装置；</w:t>
      </w:r>
    </w:p>
    <w:p>
      <w:pPr>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（四）安装完好的装卸计量系统、行驶记录仪或者卫星定位装置；</w:t>
      </w:r>
    </w:p>
    <w:p>
      <w:pPr>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（五）法律、法规和规章规定的其他条件。</w:t>
      </w:r>
    </w:p>
    <w:p>
      <w:pPr>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5"/>
          <w:rFonts w:hint="eastAsia" w:ascii="黑体" w:hAnsi="黑体" w:eastAsia="黑体" w:cs="黑体"/>
          <w:sz w:val="32"/>
          <w:szCs w:val="32"/>
        </w:rPr>
        <w:t>第十五条</w:t>
      </w:r>
      <w:r>
        <w:rPr>
          <w:rFonts w:hint="eastAsia" w:ascii="仿宋_GB2312" w:hAnsi="仿宋_GB2312" w:eastAsia="仿宋_GB2312" w:cs="仿宋_GB2312"/>
          <w:sz w:val="32"/>
          <w:szCs w:val="32"/>
        </w:rPr>
        <w:t xml:space="preserve"> 餐厨垃圾收集、运输单位应当定期开展培训，提高收集、运输服务质量。</w:t>
      </w:r>
    </w:p>
    <w:p>
      <w:pPr>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收集、运输人员应当规范作业，主动向餐厨垃圾产生者出示工作证件，并如实填写收集、运输单据。</w:t>
      </w:r>
    </w:p>
    <w:p>
      <w:pPr>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5"/>
          <w:rFonts w:hint="eastAsia" w:ascii="黑体" w:hAnsi="黑体" w:eastAsia="黑体" w:cs="黑体"/>
          <w:sz w:val="32"/>
          <w:szCs w:val="32"/>
        </w:rPr>
        <w:t>第十六条</w:t>
      </w:r>
      <w:r>
        <w:rPr>
          <w:rFonts w:hint="eastAsia" w:ascii="仿宋_GB2312" w:hAnsi="仿宋_GB2312" w:eastAsia="仿宋_GB2312" w:cs="仿宋_GB2312"/>
          <w:sz w:val="32"/>
          <w:szCs w:val="32"/>
        </w:rPr>
        <w:t xml:space="preserve"> 餐厨垃圾收集、运输单位应当遵守下列规定：</w:t>
      </w:r>
    </w:p>
    <w:p>
      <w:pPr>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（一）与餐厨垃圾产生者签订收集、运输服务协议，并按照要求向市市容环境卫生主管部门报送；</w:t>
      </w:r>
    </w:p>
    <w:p>
      <w:pPr>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（二）按照约定的时间、地点和频次收集、运输餐厨垃圾；</w:t>
      </w:r>
    </w:p>
    <w:p>
      <w:pPr>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（三）遵守环境卫生作业标准和规范，分类收集、运输餐厨垃圾，收集后及时复位餐厨垃圾收集容器，清理作业场地，并将餐厨垃圾运送至指定的餐厨垃圾处理场所；</w:t>
      </w:r>
    </w:p>
    <w:p>
      <w:pPr>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（四）保持餐厨垃圾运输车辆的完好和整洁；</w:t>
      </w:r>
    </w:p>
    <w:p>
      <w:pPr>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（五）建立餐厨垃圾收集、运输台账，如实记录餐厨垃圾的来源、种类、数量和处理单位等情况，并定期向市市容环境卫生主管部门报送；</w:t>
      </w:r>
    </w:p>
    <w:p>
      <w:pPr>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（六）编制本单位餐厨垃圾收集、运输应急预案；</w:t>
      </w:r>
    </w:p>
    <w:p>
      <w:pPr>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（七）法律、法规和规章的其他规定。</w:t>
      </w:r>
    </w:p>
    <w:p>
      <w:pPr>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5"/>
          <w:rFonts w:hint="eastAsia" w:ascii="黑体" w:hAnsi="黑体" w:eastAsia="黑体" w:cs="黑体"/>
          <w:sz w:val="32"/>
          <w:szCs w:val="32"/>
        </w:rPr>
        <w:t>第十七条</w:t>
      </w:r>
      <w:r>
        <w:rPr>
          <w:rFonts w:hint="eastAsia" w:ascii="仿宋_GB2312" w:hAnsi="仿宋_GB2312" w:eastAsia="仿宋_GB2312" w:cs="仿宋_GB2312"/>
          <w:sz w:val="32"/>
          <w:szCs w:val="32"/>
        </w:rPr>
        <w:t xml:space="preserve"> 餐厨垃圾收集、运输单位不得实施下列行为：</w:t>
      </w:r>
    </w:p>
    <w:p>
      <w:pPr>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（一）擅自停业、歇业；</w:t>
      </w:r>
    </w:p>
    <w:p>
      <w:pPr>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（二）随意倾倒、抛洒、堆放餐厨垃圾或者将餐厨垃圾混入其他垃圾；</w:t>
      </w:r>
    </w:p>
    <w:p>
      <w:pPr>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（三）丢弃、遗撒餐厨垃圾；</w:t>
      </w:r>
    </w:p>
    <w:p>
      <w:pPr>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（四）倒卖或者转让餐厨垃圾；</w:t>
      </w:r>
    </w:p>
    <w:p>
      <w:pPr>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（五）法律、法规和规章禁止的其他行为。</w:t>
      </w:r>
    </w:p>
    <w:p>
      <w:pPr>
        <w:pStyle w:val="3"/>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eastAsia" w:ascii="黑体" w:hAnsi="黑体" w:eastAsia="黑体" w:cs="黑体"/>
          <w:sz w:val="32"/>
          <w:szCs w:val="32"/>
        </w:rPr>
      </w:pPr>
    </w:p>
    <w:p>
      <w:pPr>
        <w:pStyle w:val="3"/>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eastAsia" w:ascii="黑体" w:hAnsi="黑体" w:eastAsia="黑体" w:cs="黑体"/>
          <w:sz w:val="32"/>
          <w:szCs w:val="32"/>
        </w:rPr>
      </w:pPr>
      <w:r>
        <w:rPr>
          <w:rFonts w:hint="eastAsia" w:ascii="黑体" w:hAnsi="黑体" w:eastAsia="黑体" w:cs="黑体"/>
          <w:sz w:val="32"/>
          <w:szCs w:val="32"/>
        </w:rPr>
        <w:t>第四章 处 理</w:t>
      </w:r>
    </w:p>
    <w:p>
      <w:pPr>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15"/>
          <w:rFonts w:hint="eastAsia" w:ascii="黑体" w:hAnsi="黑体" w:eastAsia="黑体" w:cs="黑体"/>
          <w:sz w:val="32"/>
          <w:szCs w:val="32"/>
        </w:rPr>
      </w:pPr>
    </w:p>
    <w:p>
      <w:pPr>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5"/>
          <w:rFonts w:hint="eastAsia" w:ascii="黑体" w:hAnsi="黑体" w:eastAsia="黑体" w:cs="黑体"/>
          <w:sz w:val="32"/>
          <w:szCs w:val="32"/>
        </w:rPr>
        <w:t>第十八条</w:t>
      </w:r>
      <w:r>
        <w:rPr>
          <w:rFonts w:hint="eastAsia" w:ascii="仿宋_GB2312" w:hAnsi="仿宋_GB2312" w:eastAsia="仿宋_GB2312" w:cs="仿宋_GB2312"/>
          <w:sz w:val="32"/>
          <w:szCs w:val="32"/>
        </w:rPr>
        <w:t xml:space="preserve"> 餐厨垃圾实行集中定点处置，任何单位和个人不得随意处理餐厨垃圾，不得将废弃食用油脂加工为食用油。</w:t>
      </w:r>
    </w:p>
    <w:p>
      <w:pPr>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5"/>
          <w:rFonts w:hint="eastAsia" w:ascii="黑体" w:hAnsi="黑体" w:eastAsia="黑体" w:cs="黑体"/>
          <w:sz w:val="32"/>
          <w:szCs w:val="32"/>
        </w:rPr>
        <w:t>第十九条</w:t>
      </w:r>
      <w:r>
        <w:rPr>
          <w:rFonts w:hint="eastAsia" w:ascii="仿宋_GB2312" w:hAnsi="仿宋_GB2312" w:eastAsia="仿宋_GB2312" w:cs="仿宋_GB2312"/>
          <w:sz w:val="32"/>
          <w:szCs w:val="32"/>
        </w:rPr>
        <w:t xml:space="preserve"> 市市容环境卫生主管部门应当采取招投标等公平竞争方式确定餐厨垃圾处理单位，并依法颁发许可证件。</w:t>
      </w:r>
    </w:p>
    <w:p>
      <w:pPr>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未取得许可证件的单位和个人不得擅自从事餐厨垃圾的处理活动。</w:t>
      </w:r>
    </w:p>
    <w:p>
      <w:pPr>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5"/>
          <w:rFonts w:hint="eastAsia" w:ascii="黑体" w:hAnsi="黑体" w:eastAsia="黑体" w:cs="黑体"/>
          <w:sz w:val="32"/>
          <w:szCs w:val="32"/>
        </w:rPr>
        <w:t>第二十条</w:t>
      </w:r>
      <w:r>
        <w:rPr>
          <w:rStyle w:val="15"/>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rPr>
        <w:t>市市容环境卫生主管部门应当与取得餐厨垃圾处理许可证件的单位签订餐厨垃圾处理服务协议（以下简称处理服务协议）。</w:t>
      </w:r>
    </w:p>
    <w:p>
      <w:pPr>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处理服务协议应当约定处理单位的服务范围、服务期限、服务规范、服务费用、退出机制和违约责任等内容。</w:t>
      </w:r>
    </w:p>
    <w:p>
      <w:pPr>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5"/>
          <w:rFonts w:hint="eastAsia" w:ascii="黑体" w:hAnsi="黑体" w:eastAsia="黑体" w:cs="黑体"/>
          <w:sz w:val="32"/>
          <w:szCs w:val="32"/>
        </w:rPr>
        <w:t>第二十一条</w:t>
      </w:r>
      <w:r>
        <w:rPr>
          <w:rStyle w:val="15"/>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rPr>
        <w:t>餐厨垃圾处理单位应当遵守下列规定：</w:t>
      </w:r>
    </w:p>
    <w:p>
      <w:pPr>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（一）按照处理服务协议约定接收餐厨垃圾；</w:t>
      </w:r>
    </w:p>
    <w:p>
      <w:pPr>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（二）安装电子监控设备，建立信息管理系统，并保持正常运行；</w:t>
      </w:r>
    </w:p>
    <w:p>
      <w:pPr>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pacing w:val="-4"/>
          <w:sz w:val="32"/>
          <w:szCs w:val="32"/>
        </w:rPr>
      </w:pPr>
      <w:r>
        <w:rPr>
          <w:rFonts w:hint="eastAsia" w:ascii="仿宋_GB2312" w:hAnsi="仿宋_GB2312" w:eastAsia="仿宋_GB2312" w:cs="仿宋_GB2312"/>
          <w:sz w:val="32"/>
          <w:szCs w:val="32"/>
        </w:rPr>
        <w:t>（三）</w:t>
      </w:r>
      <w:r>
        <w:rPr>
          <w:rFonts w:hint="eastAsia" w:ascii="仿宋_GB2312" w:hAnsi="仿宋_GB2312" w:eastAsia="仿宋_GB2312" w:cs="仿宋_GB2312"/>
          <w:spacing w:val="-4"/>
          <w:sz w:val="32"/>
          <w:szCs w:val="32"/>
        </w:rPr>
        <w:t>按照国家有关规定和技术标准对餐厨垃圾进行资源化利用和无害化</w:t>
      </w:r>
      <w:r>
        <w:rPr>
          <w:rFonts w:hint="eastAsia" w:ascii="仿宋_GB2312" w:hAnsi="仿宋_GB2312" w:eastAsia="仿宋_GB2312" w:cs="仿宋_GB2312"/>
          <w:sz w:val="32"/>
          <w:szCs w:val="32"/>
        </w:rPr>
        <w:t>处理</w:t>
      </w:r>
      <w:r>
        <w:rPr>
          <w:rFonts w:hint="eastAsia" w:ascii="仿宋_GB2312" w:hAnsi="仿宋_GB2312" w:eastAsia="仿宋_GB2312" w:cs="仿宋_GB2312"/>
          <w:spacing w:val="-4"/>
          <w:sz w:val="32"/>
          <w:szCs w:val="32"/>
        </w:rPr>
        <w:t>；</w:t>
      </w:r>
    </w:p>
    <w:p>
      <w:pPr>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pacing w:val="-4"/>
          <w:sz w:val="32"/>
          <w:szCs w:val="32"/>
        </w:rPr>
      </w:pPr>
      <w:r>
        <w:rPr>
          <w:rFonts w:hint="eastAsia" w:ascii="仿宋_GB2312" w:hAnsi="仿宋_GB2312" w:eastAsia="仿宋_GB2312" w:cs="仿宋_GB2312"/>
          <w:sz w:val="32"/>
          <w:szCs w:val="32"/>
        </w:rPr>
        <w:t>（四）</w:t>
      </w:r>
      <w:r>
        <w:rPr>
          <w:rFonts w:hint="eastAsia" w:ascii="仿宋_GB2312" w:hAnsi="仿宋_GB2312" w:eastAsia="仿宋_GB2312" w:cs="仿宋_GB2312"/>
          <w:spacing w:val="-4"/>
          <w:sz w:val="32"/>
          <w:szCs w:val="32"/>
        </w:rPr>
        <w:t>建立餐厨垃圾</w:t>
      </w:r>
      <w:r>
        <w:rPr>
          <w:rFonts w:hint="eastAsia" w:ascii="仿宋_GB2312" w:hAnsi="仿宋_GB2312" w:eastAsia="仿宋_GB2312" w:cs="仿宋_GB2312"/>
          <w:sz w:val="32"/>
          <w:szCs w:val="32"/>
        </w:rPr>
        <w:t>处理</w:t>
      </w:r>
      <w:r>
        <w:rPr>
          <w:rFonts w:hint="eastAsia" w:ascii="仿宋_GB2312" w:hAnsi="仿宋_GB2312" w:eastAsia="仿宋_GB2312" w:cs="仿宋_GB2312"/>
          <w:spacing w:val="-4"/>
          <w:sz w:val="32"/>
          <w:szCs w:val="32"/>
        </w:rPr>
        <w:t>台账，如实记录餐厨垃圾的来源、数量、产品流向、运行数据等情况，并及时向市市容环境卫生主管部门报送；</w:t>
      </w:r>
    </w:p>
    <w:p>
      <w:pPr>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（五）设备停产、检修的，应当提前十五个工作日书面报告市市容环境卫生主管部门；</w:t>
      </w:r>
    </w:p>
    <w:p>
      <w:pPr>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（六）编制本单位餐厨垃圾处理应急预案；</w:t>
      </w:r>
    </w:p>
    <w:p>
      <w:pPr>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（七）保持处理场所环境整洁；</w:t>
      </w:r>
    </w:p>
    <w:p>
      <w:pPr>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（八）按照规定处理处置过程中产生的污水、废气、废渣、粉尘等，防止二次污染；</w:t>
      </w:r>
    </w:p>
    <w:p>
      <w:pPr>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（九）法律、法规和规章的其他规定。</w:t>
      </w:r>
    </w:p>
    <w:p>
      <w:pPr>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5"/>
          <w:rFonts w:hint="eastAsia" w:ascii="黑体" w:hAnsi="黑体" w:eastAsia="黑体" w:cs="黑体"/>
          <w:sz w:val="32"/>
          <w:szCs w:val="32"/>
        </w:rPr>
        <w:t>第二十二条</w:t>
      </w:r>
      <w:r>
        <w:rPr>
          <w:rStyle w:val="15"/>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rPr>
        <w:t>从事餐厨垃圾处理的单位，不得实施下列行为：</w:t>
      </w:r>
    </w:p>
    <w:p>
      <w:pPr>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（一）擅自停业、歇业；</w:t>
      </w:r>
    </w:p>
    <w:p>
      <w:pPr>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（二）倒卖或者转让餐厨垃圾；</w:t>
      </w:r>
    </w:p>
    <w:p>
      <w:pPr>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（三）随意倾倒和排放餐厨垃圾；</w:t>
      </w:r>
    </w:p>
    <w:p>
      <w:pPr>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（四）法律、法规和规章禁止的其他行为。</w:t>
      </w:r>
    </w:p>
    <w:p>
      <w:pPr>
        <w:pStyle w:val="3"/>
        <w:pageBreakBefore w:val="0"/>
        <w:widowControl w:val="0"/>
        <w:kinsoku/>
        <w:wordWrap/>
        <w:overflowPunct/>
        <w:topLinePunct w:val="0"/>
        <w:autoSpaceDE/>
        <w:autoSpaceDN/>
        <w:bidi w:val="0"/>
        <w:adjustRightInd/>
        <w:snapToGrid/>
        <w:spacing w:before="0" w:after="0" w:line="240" w:lineRule="auto"/>
        <w:jc w:val="center"/>
        <w:textAlignment w:val="auto"/>
        <w:rPr>
          <w:rFonts w:hint="eastAsia" w:ascii="黑体" w:hAnsi="黑体" w:eastAsia="黑体" w:cs="黑体"/>
          <w:sz w:val="32"/>
          <w:szCs w:val="32"/>
        </w:rPr>
      </w:pPr>
    </w:p>
    <w:p>
      <w:pPr>
        <w:pStyle w:val="3"/>
        <w:pageBreakBefore w:val="0"/>
        <w:widowControl w:val="0"/>
        <w:kinsoku/>
        <w:wordWrap/>
        <w:overflowPunct/>
        <w:topLinePunct w:val="0"/>
        <w:autoSpaceDE/>
        <w:autoSpaceDN/>
        <w:bidi w:val="0"/>
        <w:adjustRightInd/>
        <w:snapToGrid/>
        <w:spacing w:before="0" w:after="0" w:line="240" w:lineRule="auto"/>
        <w:jc w:val="center"/>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第五章 监督管理</w:t>
      </w:r>
    </w:p>
    <w:p>
      <w:pPr>
        <w:pageBreakBefore w:val="0"/>
        <w:widowControl w:val="0"/>
        <w:kinsoku/>
        <w:wordWrap/>
        <w:overflowPunct/>
        <w:topLinePunct w:val="0"/>
        <w:autoSpaceDE/>
        <w:autoSpaceDN/>
        <w:bidi w:val="0"/>
        <w:adjustRightInd/>
        <w:snapToGrid/>
        <w:spacing w:line="240" w:lineRule="auto"/>
        <w:ind w:firstLine="640" w:firstLineChars="200"/>
        <w:textAlignment w:val="auto"/>
        <w:rPr>
          <w:rStyle w:val="15"/>
          <w:rFonts w:hint="eastAsia" w:ascii="黑体" w:hAnsi="黑体" w:eastAsia="黑体" w:cs="黑体"/>
          <w:sz w:val="32"/>
          <w:szCs w:val="32"/>
        </w:rPr>
      </w:pPr>
    </w:p>
    <w:p>
      <w:pPr>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5"/>
          <w:rFonts w:hint="eastAsia" w:ascii="黑体" w:hAnsi="黑体" w:eastAsia="黑体" w:cs="黑体"/>
          <w:sz w:val="32"/>
          <w:szCs w:val="32"/>
        </w:rPr>
        <w:t>第二十三条</w:t>
      </w:r>
      <w:r>
        <w:rPr>
          <w:rFonts w:hint="eastAsia" w:ascii="仿宋_GB2312" w:hAnsi="仿宋_GB2312" w:eastAsia="仿宋_GB2312" w:cs="仿宋_GB2312"/>
          <w:sz w:val="32"/>
          <w:szCs w:val="32"/>
        </w:rPr>
        <w:t xml:space="preserve"> 市容环境卫生主管部门应当会同有关部门制定餐厨垃圾收集、运输、处理应急预案并建立应急处理系统，确保紧急或者特殊情况下，餐厨垃圾的正常收集、运输和处理。</w:t>
      </w:r>
    </w:p>
    <w:p>
      <w:pPr>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5"/>
          <w:rFonts w:hint="eastAsia" w:ascii="黑体" w:hAnsi="黑体" w:eastAsia="黑体" w:cs="黑体"/>
          <w:sz w:val="32"/>
          <w:szCs w:val="32"/>
        </w:rPr>
        <w:t>第二十四条</w:t>
      </w:r>
      <w:r>
        <w:rPr>
          <w:rFonts w:hint="eastAsia" w:ascii="仿宋_GB2312" w:hAnsi="仿宋_GB2312" w:eastAsia="仿宋_GB2312" w:cs="仿宋_GB2312"/>
          <w:sz w:val="32"/>
          <w:szCs w:val="32"/>
        </w:rPr>
        <w:t xml:space="preserve"> 市容环境卫生主管部门应当建立投诉举报制度，接受公众对餐厨垃圾产生、收集、运输、处理的投诉和举报，及时调查处理，并将处理结果告知投诉人或者举报人。</w:t>
      </w:r>
    </w:p>
    <w:p>
      <w:pPr>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5"/>
          <w:rFonts w:hint="eastAsia" w:ascii="黑体" w:hAnsi="黑体" w:eastAsia="黑体" w:cs="黑体"/>
          <w:sz w:val="32"/>
          <w:szCs w:val="32"/>
        </w:rPr>
        <w:t xml:space="preserve">第二十五条 </w:t>
      </w:r>
      <w:r>
        <w:rPr>
          <w:rFonts w:hint="eastAsia" w:ascii="仿宋_GB2312" w:hAnsi="仿宋_GB2312" w:eastAsia="仿宋_GB2312" w:cs="仿宋_GB2312"/>
          <w:sz w:val="32"/>
          <w:szCs w:val="32"/>
        </w:rPr>
        <w:t>市容环境卫生主管部门应当加强对餐厨垃圾产生、收集、运输和处理过程的监督检查。被检查的单位或者个人应当如实反映情况，提供与检查内容有关的资料，不得拒绝或者阻挠检查人员依法执行公务，不得弄虚作假或者隐瞒事实。</w:t>
      </w:r>
    </w:p>
    <w:p>
      <w:pPr>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5"/>
          <w:rFonts w:hint="eastAsia" w:ascii="黑体" w:hAnsi="黑体" w:eastAsia="黑体" w:cs="黑体"/>
          <w:sz w:val="32"/>
          <w:szCs w:val="32"/>
        </w:rPr>
        <w:t>第二十六条</w:t>
      </w:r>
      <w:r>
        <w:rPr>
          <w:rStyle w:val="15"/>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rPr>
        <w:t>市容环境卫生主管部门应当会同市场监督管理、生态环境、公安、畜牧等部门，定期开展餐厨垃圾管理联合执法，依法查处餐厨垃圾产生、收集、运输和处理过程中的违法行为。</w:t>
      </w:r>
    </w:p>
    <w:p>
      <w:pPr>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5"/>
          <w:rFonts w:hint="eastAsia" w:ascii="黑体" w:hAnsi="黑体" w:eastAsia="黑体" w:cs="黑体"/>
          <w:sz w:val="32"/>
          <w:szCs w:val="32"/>
        </w:rPr>
        <w:t xml:space="preserve">第二十七条 </w:t>
      </w:r>
      <w:r>
        <w:rPr>
          <w:rFonts w:hint="eastAsia" w:ascii="仿宋_GB2312" w:hAnsi="仿宋_GB2312" w:eastAsia="仿宋_GB2312" w:cs="仿宋_GB2312"/>
          <w:sz w:val="32"/>
          <w:szCs w:val="32"/>
        </w:rPr>
        <w:t>市、区人民政府有关部门应当按照职责分工，依法做好餐厨垃圾的管理工作：</w:t>
      </w:r>
    </w:p>
    <w:p>
      <w:pPr>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（一）财政、审计主管部门应当对餐厨垃圾收集、运输和处理设施建设与运行的财政资金进行监督管理；</w:t>
      </w:r>
    </w:p>
    <w:p>
      <w:pPr>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（二）市场监督管理主管部门负责查处以餐厨垃圾为原料制作、销售食品的违法行为；</w:t>
      </w:r>
    </w:p>
    <w:p>
      <w:pPr>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（三）畜牧主管部门负责查处畜禽生产场所使用未经高温处理的餐厨垃圾作为畜禽饲料的违法行为；</w:t>
      </w:r>
    </w:p>
    <w:p>
      <w:pPr>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（四）生态环境主管部门负责查处未按规定安装、使用油水隔离池、油水分离器的违法行为；</w:t>
      </w:r>
    </w:p>
    <w:p>
      <w:pPr>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公安机关负责查处无证、无照车辆收集、运输餐厨垃圾的违法行为和利用餐厨垃圾中的废弃食用油脂危害人身健康的犯罪行为。公安机关交通管理部门配合市容环境卫生主管部门查处未使用餐厨垃圾专用车辆收集、运输餐厨垃圾的违法行为。</w:t>
      </w:r>
    </w:p>
    <w:p>
      <w:pPr>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5"/>
          <w:rFonts w:hint="eastAsia" w:ascii="黑体" w:hAnsi="黑体" w:eastAsia="黑体" w:cs="黑体"/>
          <w:sz w:val="32"/>
          <w:szCs w:val="32"/>
        </w:rPr>
        <w:t>第二十八条</w:t>
      </w:r>
      <w:r>
        <w:rPr>
          <w:rFonts w:hint="eastAsia" w:ascii="黑体" w:hAnsi="黑体" w:eastAsia="黑体" w:cs="黑体"/>
          <w:sz w:val="32"/>
          <w:szCs w:val="32"/>
        </w:rPr>
        <w:t xml:space="preserve"> </w:t>
      </w:r>
      <w:r>
        <w:rPr>
          <w:rFonts w:hint="eastAsia" w:ascii="仿宋_GB2312" w:hAnsi="仿宋_GB2312" w:eastAsia="仿宋_GB2312" w:cs="仿宋_GB2312"/>
          <w:sz w:val="32"/>
          <w:szCs w:val="32"/>
        </w:rPr>
        <w:t>市场监督管理等部门应当与市容环境卫生主管部门建立餐厨垃圾产生者信息共享和动态管理机制，及时更新餐厨垃圾产生者的信息。</w:t>
      </w:r>
    </w:p>
    <w:p>
      <w:pPr>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5"/>
          <w:rFonts w:hint="eastAsia" w:ascii="黑体" w:hAnsi="黑体" w:eastAsia="黑体" w:cs="黑体"/>
          <w:sz w:val="32"/>
          <w:szCs w:val="32"/>
        </w:rPr>
        <w:t>第二十九条</w:t>
      </w:r>
      <w:r>
        <w:rPr>
          <w:rFonts w:hint="eastAsia" w:ascii="仿宋_GB2312" w:hAnsi="仿宋_GB2312" w:eastAsia="仿宋_GB2312" w:cs="仿宋_GB2312"/>
          <w:sz w:val="32"/>
          <w:szCs w:val="32"/>
        </w:rPr>
        <w:t xml:space="preserve"> 有下列情形之一的，可以依法撤销餐厨垃圾收集、运输或者处理许可：</w:t>
      </w:r>
    </w:p>
    <w:p>
      <w:pPr>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pacing w:val="8"/>
          <w:sz w:val="32"/>
          <w:szCs w:val="32"/>
        </w:rPr>
      </w:pPr>
      <w:r>
        <w:rPr>
          <w:rFonts w:hint="eastAsia" w:ascii="仿宋_GB2312" w:hAnsi="仿宋_GB2312" w:eastAsia="仿宋_GB2312" w:cs="仿宋_GB2312"/>
          <w:sz w:val="32"/>
          <w:szCs w:val="32"/>
        </w:rPr>
        <w:t>（一）市市容环境卫生主管部门工作人员滥用职权、玩忽职守作出准予许可决定的</w:t>
      </w:r>
      <w:r>
        <w:rPr>
          <w:rFonts w:hint="eastAsia" w:ascii="仿宋_GB2312" w:hAnsi="仿宋_GB2312" w:eastAsia="仿宋_GB2312" w:cs="仿宋_GB2312"/>
          <w:spacing w:val="8"/>
          <w:sz w:val="32"/>
          <w:szCs w:val="32"/>
        </w:rPr>
        <w:t>；</w:t>
      </w:r>
    </w:p>
    <w:p>
      <w:pPr>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（二）超越法定职权作出准予许可决定的；</w:t>
      </w:r>
    </w:p>
    <w:p>
      <w:pPr>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（三）违反法定程序作出准予许可决定的；</w:t>
      </w:r>
    </w:p>
    <w:p>
      <w:pPr>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（四）对不符合许可条件的申请人作出准予许可决定的；</w:t>
      </w:r>
    </w:p>
    <w:p>
      <w:pPr>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（五）依法可以撤销许可决定的其他情形。</w:t>
      </w:r>
    </w:p>
    <w:p>
      <w:pPr>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申请人以欺骗、贿赂等不正当手段取得餐厨垃圾收集、运输或者处理许可决定的，应当予以撤销。</w:t>
      </w:r>
    </w:p>
    <w:p>
      <w:pPr>
        <w:pStyle w:val="3"/>
        <w:pageBreakBefore w:val="0"/>
        <w:widowControl w:val="0"/>
        <w:kinsoku/>
        <w:wordWrap/>
        <w:overflowPunct/>
        <w:topLinePunct w:val="0"/>
        <w:autoSpaceDE/>
        <w:autoSpaceDN/>
        <w:bidi w:val="0"/>
        <w:adjustRightInd/>
        <w:snapToGrid/>
        <w:spacing w:before="0" w:after="0" w:line="240" w:lineRule="auto"/>
        <w:ind w:firstLine="640" w:firstLineChars="200"/>
        <w:textAlignment w:val="auto"/>
        <w:rPr>
          <w:rFonts w:hint="eastAsia" w:ascii="黑体" w:hAnsi="黑体" w:eastAsia="黑体" w:cs="黑体"/>
          <w:sz w:val="32"/>
          <w:szCs w:val="32"/>
        </w:rPr>
      </w:pPr>
    </w:p>
    <w:p>
      <w:pPr>
        <w:pStyle w:val="3"/>
        <w:pageBreakBefore w:val="0"/>
        <w:widowControl w:val="0"/>
        <w:kinsoku/>
        <w:wordWrap/>
        <w:overflowPunct/>
        <w:topLinePunct w:val="0"/>
        <w:autoSpaceDE/>
        <w:autoSpaceDN/>
        <w:bidi w:val="0"/>
        <w:adjustRightInd/>
        <w:snapToGrid/>
        <w:spacing w:before="0" w:after="0" w:line="240" w:lineRule="auto"/>
        <w:jc w:val="center"/>
        <w:textAlignment w:val="auto"/>
        <w:rPr>
          <w:rFonts w:hint="eastAsia" w:ascii="黑体" w:hAnsi="黑体" w:eastAsia="黑体" w:cs="黑体"/>
          <w:sz w:val="32"/>
          <w:szCs w:val="32"/>
        </w:rPr>
      </w:pPr>
      <w:r>
        <w:rPr>
          <w:rFonts w:hint="eastAsia" w:ascii="黑体" w:hAnsi="黑体" w:eastAsia="黑体" w:cs="黑体"/>
          <w:sz w:val="32"/>
          <w:szCs w:val="32"/>
        </w:rPr>
        <w:t>第六章 法律责任</w:t>
      </w:r>
    </w:p>
    <w:p>
      <w:pPr>
        <w:pageBreakBefore w:val="0"/>
        <w:widowControl w:val="0"/>
        <w:kinsoku/>
        <w:wordWrap/>
        <w:overflowPunct/>
        <w:topLinePunct w:val="0"/>
        <w:autoSpaceDE/>
        <w:autoSpaceDN/>
        <w:bidi w:val="0"/>
        <w:adjustRightInd/>
        <w:snapToGrid/>
        <w:spacing w:line="240" w:lineRule="auto"/>
        <w:ind w:firstLine="640" w:firstLineChars="200"/>
        <w:textAlignment w:val="auto"/>
        <w:rPr>
          <w:rStyle w:val="15"/>
          <w:rFonts w:hint="eastAsia" w:ascii="黑体" w:hAnsi="黑体" w:eastAsia="黑体" w:cs="黑体"/>
          <w:sz w:val="32"/>
          <w:szCs w:val="32"/>
        </w:rPr>
      </w:pPr>
    </w:p>
    <w:p>
      <w:pPr>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5"/>
          <w:rFonts w:hint="eastAsia" w:ascii="黑体" w:hAnsi="黑体" w:eastAsia="黑体" w:cs="黑体"/>
          <w:sz w:val="32"/>
          <w:szCs w:val="32"/>
        </w:rPr>
        <w:t>第三十条</w:t>
      </w:r>
      <w:r>
        <w:rPr>
          <w:rFonts w:hint="eastAsia" w:ascii="仿宋_GB2312" w:hAnsi="仿宋_GB2312" w:eastAsia="仿宋_GB2312" w:cs="仿宋_GB2312"/>
          <w:sz w:val="32"/>
          <w:szCs w:val="32"/>
        </w:rPr>
        <w:t xml:space="preserve"> 违反本办法规定，餐厨垃圾收集、运输单位未经批准擅自停业、歇业的，由市容环境卫生主管部门责令限期改正，并可处以一万元以上三万元以下的罚款。造成损失的，依法承担赔偿责任。</w:t>
      </w:r>
    </w:p>
    <w:p>
      <w:pPr>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5"/>
          <w:rFonts w:hint="eastAsia" w:ascii="黑体" w:hAnsi="黑体" w:eastAsia="黑体" w:cs="黑体"/>
          <w:sz w:val="32"/>
          <w:szCs w:val="32"/>
        </w:rPr>
        <w:t>第三十一条</w:t>
      </w:r>
      <w:r>
        <w:rPr>
          <w:rStyle w:val="15"/>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rPr>
        <w:t>违反本办法规定，餐厨垃圾处理单位未经批准擅自停业、歇业的，由市容环境卫生主管部门责令限期改正，并可处以五万元以上十万元以下的罚款。造成损失的，依法承担赔偿责任。</w:t>
      </w:r>
    </w:p>
    <w:p>
      <w:pPr>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5"/>
          <w:rFonts w:hint="eastAsia" w:ascii="黑体" w:hAnsi="黑体" w:eastAsia="黑体" w:cs="黑体"/>
          <w:sz w:val="32"/>
          <w:szCs w:val="32"/>
        </w:rPr>
        <w:t>第三十二条</w:t>
      </w:r>
      <w:r>
        <w:rPr>
          <w:rFonts w:hint="eastAsia" w:ascii="仿宋_GB2312" w:hAnsi="仿宋_GB2312" w:eastAsia="仿宋_GB2312" w:cs="仿宋_GB2312"/>
          <w:sz w:val="32"/>
          <w:szCs w:val="32"/>
        </w:rPr>
        <w:t xml:space="preserve"> 违反本办法规定，餐厨垃圾产生者随意倾倒、排放餐厨垃圾的，由市容环境卫生主管部门责令停止违法行为，限期改正，没收违法所得，对单位处以五万元以上五十万元以下的罚款。对个人处以一百元以上五百元以下的罚款。</w:t>
      </w:r>
    </w:p>
    <w:p>
      <w:pPr>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5"/>
          <w:rFonts w:hint="eastAsia" w:ascii="黑体" w:hAnsi="黑体" w:eastAsia="黑体" w:cs="黑体"/>
          <w:sz w:val="32"/>
          <w:szCs w:val="32"/>
        </w:rPr>
        <w:t>第三十三条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违反本办法规定，未经批准从事餐厨垃圾收集、运输或者处理活动的，由市容环境卫生主管部门责令限期改正；逾期不改正的，处以一万元以上三万元以下的罚款。</w:t>
      </w:r>
    </w:p>
    <w:p>
      <w:pPr>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lang w:eastAsia="zh-CN"/>
        </w:rPr>
      </w:pPr>
      <w:r>
        <w:rPr>
          <w:rStyle w:val="15"/>
          <w:rFonts w:hint="eastAsia" w:ascii="黑体" w:hAnsi="黑体" w:eastAsia="黑体" w:cs="黑体"/>
          <w:sz w:val="32"/>
          <w:szCs w:val="32"/>
        </w:rPr>
        <w:t>第三十四条</w:t>
      </w:r>
      <w:r>
        <w:rPr>
          <w:rFonts w:hint="eastAsia" w:ascii="仿宋_GB2312" w:hAnsi="仿宋_GB2312" w:eastAsia="仿宋_GB2312" w:cs="仿宋_GB2312"/>
          <w:sz w:val="32"/>
          <w:szCs w:val="32"/>
        </w:rPr>
        <w:t xml:space="preserve"> 违反本办法规定，在运输过程中丢弃、遗撒餐厨垃圾的，由市容环境卫生主管部门责令停止违法行为，限期改正，没收违法所得，</w:t>
      </w:r>
      <w:r>
        <w:rPr>
          <w:rFonts w:hint="eastAsia" w:ascii="仿宋_GB2312" w:hAnsi="仿宋_GB2312" w:eastAsia="仿宋_GB2312" w:cs="仿宋_GB2312"/>
          <w:sz w:val="32"/>
          <w:szCs w:val="32"/>
          <w:lang w:eastAsia="zh-CN"/>
        </w:rPr>
        <w:t>对单位</w:t>
      </w:r>
      <w:r>
        <w:rPr>
          <w:rFonts w:hint="eastAsia" w:ascii="仿宋_GB2312" w:hAnsi="仿宋_GB2312" w:eastAsia="仿宋_GB2312" w:cs="仿宋_GB2312"/>
          <w:sz w:val="32"/>
          <w:szCs w:val="32"/>
        </w:rPr>
        <w:t>处以五万元以上五十万元以下的罚款</w:t>
      </w:r>
      <w:r>
        <w:rPr>
          <w:rFonts w:hint="eastAsia" w:ascii="仿宋_GB2312" w:hAnsi="仿宋_GB2312" w:eastAsia="仿宋_GB2312" w:cs="仿宋_GB2312"/>
          <w:sz w:val="32"/>
          <w:szCs w:val="32"/>
          <w:lang w:eastAsia="zh-CN"/>
        </w:rPr>
        <w:t>，对个人处以一百元以上五百元以下的罚款。</w:t>
      </w:r>
    </w:p>
    <w:p>
      <w:pPr>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5"/>
          <w:rFonts w:hint="eastAsia" w:ascii="黑体" w:hAnsi="黑体" w:eastAsia="黑体" w:cs="黑体"/>
          <w:sz w:val="32"/>
          <w:szCs w:val="32"/>
        </w:rPr>
        <w:t>第三十五条</w:t>
      </w:r>
      <w:r>
        <w:rPr>
          <w:rStyle w:val="15"/>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rPr>
        <w:t>违反本办法规定，餐厨垃圾收集、运输单位未按收集、运输服务协议约定的时间、地点和频次分类收集、运输餐厨垃圾的，由市容环境卫生主管部门责令限期改正，并可处以五千元以上三万元以下的罚款。造成损失的，依法承担赔偿责任。</w:t>
      </w:r>
    </w:p>
    <w:p>
      <w:pPr>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未将餐厨垃圾运送至指定餐厨垃圾处理场所</w:t>
      </w:r>
      <w:r>
        <w:rPr>
          <w:rFonts w:hint="eastAsia" w:ascii="仿宋_GB2312" w:hAnsi="仿宋_GB2312" w:eastAsia="仿宋_GB2312" w:cs="仿宋_GB2312"/>
          <w:sz w:val="32"/>
          <w:szCs w:val="32"/>
          <w:lang w:eastAsia="zh-CN"/>
        </w:rPr>
        <w:t>的，对单位</w:t>
      </w:r>
      <w:r>
        <w:rPr>
          <w:rFonts w:hint="eastAsia" w:ascii="仿宋_GB2312" w:hAnsi="仿宋_GB2312" w:eastAsia="仿宋_GB2312" w:cs="仿宋_GB2312"/>
          <w:sz w:val="32"/>
          <w:szCs w:val="32"/>
        </w:rPr>
        <w:t>处以</w:t>
      </w:r>
      <w:r>
        <w:rPr>
          <w:rFonts w:hint="eastAsia" w:ascii="仿宋_GB2312" w:hAnsi="仿宋_GB2312" w:eastAsia="仿宋_GB2312" w:cs="仿宋_GB2312"/>
          <w:sz w:val="32"/>
          <w:szCs w:val="32"/>
          <w:lang w:eastAsia="zh-CN"/>
        </w:rPr>
        <w:t>十</w:t>
      </w:r>
      <w:r>
        <w:rPr>
          <w:rFonts w:hint="eastAsia" w:ascii="仿宋_GB2312" w:hAnsi="仿宋_GB2312" w:eastAsia="仿宋_GB2312" w:cs="仿宋_GB2312"/>
          <w:sz w:val="32"/>
          <w:szCs w:val="32"/>
        </w:rPr>
        <w:t>万元以上</w:t>
      </w:r>
      <w:r>
        <w:rPr>
          <w:rFonts w:hint="eastAsia" w:ascii="仿宋_GB2312" w:hAnsi="仿宋_GB2312" w:eastAsia="仿宋_GB2312" w:cs="仿宋_GB2312"/>
          <w:sz w:val="32"/>
          <w:szCs w:val="32"/>
          <w:lang w:eastAsia="zh-CN"/>
        </w:rPr>
        <w:t>一百</w:t>
      </w:r>
      <w:r>
        <w:rPr>
          <w:rFonts w:hint="eastAsia" w:ascii="仿宋_GB2312" w:hAnsi="仿宋_GB2312" w:eastAsia="仿宋_GB2312" w:cs="仿宋_GB2312"/>
          <w:sz w:val="32"/>
          <w:szCs w:val="32"/>
        </w:rPr>
        <w:t>万元以下的罚款</w:t>
      </w:r>
      <w:r>
        <w:rPr>
          <w:rFonts w:hint="eastAsia" w:ascii="仿宋_GB2312" w:hAnsi="仿宋_GB2312" w:eastAsia="仿宋_GB2312" w:cs="仿宋_GB2312"/>
          <w:sz w:val="32"/>
          <w:szCs w:val="32"/>
          <w:lang w:eastAsia="zh-CN"/>
        </w:rPr>
        <w:t>，对个人处以一百元以上五百元以下的罚款。</w:t>
      </w:r>
    </w:p>
    <w:p>
      <w:pPr>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5"/>
          <w:rFonts w:hint="eastAsia" w:ascii="黑体" w:hAnsi="黑体" w:eastAsia="黑体" w:cs="黑体"/>
          <w:sz w:val="32"/>
          <w:szCs w:val="32"/>
        </w:rPr>
        <w:t>第三十六条</w:t>
      </w:r>
      <w:r>
        <w:rPr>
          <w:rFonts w:hint="eastAsia" w:ascii="黑体" w:hAnsi="黑体" w:eastAsia="黑体" w:cs="黑体"/>
          <w:sz w:val="32"/>
          <w:szCs w:val="32"/>
        </w:rPr>
        <w:t xml:space="preserve"> </w:t>
      </w:r>
      <w:r>
        <w:rPr>
          <w:rFonts w:hint="eastAsia" w:ascii="仿宋_GB2312" w:hAnsi="仿宋_GB2312" w:eastAsia="仿宋_GB2312" w:cs="仿宋_GB2312"/>
          <w:sz w:val="32"/>
          <w:szCs w:val="32"/>
        </w:rPr>
        <w:t>违反本办法规定，餐厨垃圾处理单位未按照国家有关规定和技术标准对餐厨垃圾进行资源化利用和无害化处理</w:t>
      </w:r>
      <w:r>
        <w:rPr>
          <w:rFonts w:hint="eastAsia" w:ascii="仿宋_GB2312" w:hAnsi="仿宋_GB2312" w:eastAsia="仿宋_GB2312" w:cs="仿宋_GB2312"/>
          <w:sz w:val="32"/>
          <w:szCs w:val="32"/>
          <w:lang w:eastAsia="zh-CN"/>
        </w:rPr>
        <w:t>的</w:t>
      </w:r>
      <w:r>
        <w:rPr>
          <w:rFonts w:hint="eastAsia" w:ascii="仿宋_GB2312" w:hAnsi="仿宋_GB2312" w:eastAsia="仿宋_GB2312" w:cs="仿宋_GB2312"/>
          <w:sz w:val="32"/>
          <w:szCs w:val="32"/>
        </w:rPr>
        <w:t>，由市容环境卫生主管部门责令限期改正，并可处以三万元以上十万元以下的罚款。造成损失的，依法承担赔偿责任。</w:t>
      </w:r>
    </w:p>
    <w:p>
      <w:pPr>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未按照规定处置</w:t>
      </w:r>
      <w:r>
        <w:rPr>
          <w:rFonts w:hint="eastAsia" w:ascii="仿宋_GB2312" w:hAnsi="仿宋_GB2312" w:eastAsia="仿宋_GB2312" w:cs="仿宋_GB2312"/>
          <w:sz w:val="32"/>
          <w:szCs w:val="32"/>
        </w:rPr>
        <w:t>处理过程中产生的污水、废气、废渣、粉尘</w:t>
      </w:r>
      <w:r>
        <w:rPr>
          <w:rFonts w:hint="eastAsia" w:ascii="仿宋_GB2312" w:hAnsi="仿宋_GB2312" w:eastAsia="仿宋_GB2312" w:cs="仿宋_GB2312"/>
          <w:sz w:val="32"/>
          <w:szCs w:val="32"/>
          <w:lang w:eastAsia="zh-CN"/>
        </w:rPr>
        <w:t>等</w:t>
      </w:r>
      <w:r>
        <w:rPr>
          <w:rFonts w:hint="eastAsia" w:ascii="仿宋_GB2312" w:hAnsi="仿宋_GB2312" w:eastAsia="仿宋_GB2312" w:cs="仿宋_GB2312"/>
          <w:sz w:val="32"/>
          <w:szCs w:val="32"/>
        </w:rPr>
        <w:t>造成二次污染的，</w:t>
      </w:r>
      <w:r>
        <w:rPr>
          <w:rFonts w:hint="eastAsia" w:ascii="仿宋_GB2312" w:hAnsi="仿宋_GB2312" w:eastAsia="仿宋_GB2312" w:cs="仿宋_GB2312"/>
          <w:sz w:val="32"/>
          <w:szCs w:val="32"/>
          <w:lang w:eastAsia="zh-CN"/>
        </w:rPr>
        <w:t>依照有关法律法规的规定处罚。</w:t>
      </w:r>
    </w:p>
    <w:p>
      <w:pPr>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5"/>
          <w:rFonts w:hint="eastAsia" w:ascii="黑体" w:hAnsi="黑体" w:eastAsia="黑体" w:cs="黑体"/>
          <w:sz w:val="32"/>
          <w:szCs w:val="32"/>
        </w:rPr>
        <w:t>第三十七条</w:t>
      </w:r>
      <w:r>
        <w:rPr>
          <w:rFonts w:hint="eastAsia" w:ascii="仿宋_GB2312" w:hAnsi="仿宋_GB2312" w:eastAsia="仿宋_GB2312" w:cs="仿宋_GB2312"/>
          <w:sz w:val="32"/>
          <w:szCs w:val="32"/>
        </w:rPr>
        <w:t xml:space="preserve"> 违反本办法规定，倒卖、转让餐厨垃圾的，由市容环境卫生主管部门责令限期改正，并处五万元以下的罚款。</w:t>
      </w:r>
    </w:p>
    <w:p>
      <w:pPr>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5"/>
          <w:rFonts w:hint="eastAsia" w:ascii="黑体" w:hAnsi="黑体" w:eastAsia="黑体" w:cs="黑体"/>
          <w:sz w:val="32"/>
          <w:szCs w:val="32"/>
        </w:rPr>
        <w:t>第三十八条</w:t>
      </w:r>
      <w:r>
        <w:rPr>
          <w:rFonts w:hint="eastAsia" w:ascii="仿宋_GB2312" w:hAnsi="仿宋_GB2312" w:eastAsia="仿宋_GB2312" w:cs="仿宋_GB2312"/>
          <w:sz w:val="32"/>
          <w:szCs w:val="32"/>
        </w:rPr>
        <w:t xml:space="preserve"> 违反本办法规定，将废弃食用油脂加工为食用油尚不构成犯罪的，由市场监督管理部门没收违法所得和违法生产经营的食品，并可以没收用于违法生产经营的工具、设备、原料等物品；违法生产经营的食品货值金额不足一万元的，并处十万元以上十五万元以下罚款；货值金额一万元以上的，并处货值金额十五倍以上三十倍以下罚款；情节严重的，吊销许可证，并可以由公安机关对其直接负责的主管人员和其他直接责任人员依法予以处罚。构成犯罪的，依法追究刑事责任。</w:t>
      </w:r>
    </w:p>
    <w:p>
      <w:pPr>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5"/>
          <w:rFonts w:hint="eastAsia" w:ascii="黑体" w:hAnsi="黑体" w:eastAsia="黑体" w:cs="黑体"/>
          <w:sz w:val="32"/>
          <w:szCs w:val="32"/>
        </w:rPr>
        <w:t>第三十九条</w:t>
      </w:r>
      <w:r>
        <w:rPr>
          <w:rFonts w:hint="eastAsia" w:ascii="仿宋_GB2312" w:hAnsi="仿宋_GB2312" w:eastAsia="仿宋_GB2312" w:cs="仿宋_GB2312"/>
          <w:sz w:val="32"/>
          <w:szCs w:val="32"/>
        </w:rPr>
        <w:t xml:space="preserve"> 违反本办法规定，将未经无害化处理的餐厨垃圾作为畜禽饲料的，由畜牧主管部门会同有关部门没收并捕杀所饲养的畜禽，并进行无害化处理。</w:t>
      </w:r>
    </w:p>
    <w:p>
      <w:pPr>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5"/>
          <w:rFonts w:hint="eastAsia" w:ascii="黑体" w:hAnsi="黑体" w:eastAsia="黑体" w:cs="黑体"/>
          <w:sz w:val="32"/>
          <w:szCs w:val="32"/>
        </w:rPr>
        <w:t>第四十条</w:t>
      </w:r>
      <w:r>
        <w:rPr>
          <w:rFonts w:hint="eastAsia" w:ascii="黑体" w:hAnsi="黑体" w:eastAsia="黑体" w:cs="黑体"/>
          <w:sz w:val="32"/>
          <w:szCs w:val="32"/>
        </w:rPr>
        <w:t xml:space="preserve"> </w:t>
      </w:r>
      <w:r>
        <w:rPr>
          <w:rFonts w:hint="eastAsia" w:ascii="仿宋_GB2312" w:hAnsi="仿宋_GB2312" w:eastAsia="仿宋_GB2312" w:cs="仿宋_GB2312"/>
          <w:sz w:val="32"/>
          <w:szCs w:val="32"/>
        </w:rPr>
        <w:t>违反本办法规定的其他违法行为，依照法律、法规和规章的有关规定予以处罚。</w:t>
      </w:r>
    </w:p>
    <w:p>
      <w:pPr>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5"/>
          <w:rFonts w:hint="eastAsia" w:ascii="黑体" w:hAnsi="黑体" w:eastAsia="黑体" w:cs="黑体"/>
          <w:sz w:val="32"/>
          <w:szCs w:val="32"/>
        </w:rPr>
        <w:t>第四十一条</w:t>
      </w:r>
      <w:r>
        <w:rPr>
          <w:rStyle w:val="15"/>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rPr>
        <w:t>市容环境卫生主管部门工作人员在餐厨垃圾监督管理工作中，玩忽职守、滥用职权、徇私舞弊的，依法给予处分；构成犯罪的，依法追究刑事责任。</w:t>
      </w:r>
    </w:p>
    <w:p>
      <w:pPr>
        <w:pStyle w:val="3"/>
        <w:pageBreakBefore w:val="0"/>
        <w:widowControl w:val="0"/>
        <w:kinsoku/>
        <w:wordWrap/>
        <w:overflowPunct/>
        <w:topLinePunct w:val="0"/>
        <w:autoSpaceDE/>
        <w:autoSpaceDN/>
        <w:bidi w:val="0"/>
        <w:adjustRightInd/>
        <w:snapToGrid/>
        <w:spacing w:before="0" w:after="0" w:line="240" w:lineRule="auto"/>
        <w:jc w:val="center"/>
        <w:textAlignment w:val="auto"/>
        <w:rPr>
          <w:rFonts w:hint="eastAsia" w:ascii="黑体" w:hAnsi="黑体" w:eastAsia="黑体" w:cs="黑体"/>
          <w:sz w:val="32"/>
          <w:szCs w:val="32"/>
        </w:rPr>
      </w:pPr>
    </w:p>
    <w:p>
      <w:pPr>
        <w:pStyle w:val="3"/>
        <w:pageBreakBefore w:val="0"/>
        <w:widowControl w:val="0"/>
        <w:kinsoku/>
        <w:wordWrap/>
        <w:overflowPunct/>
        <w:topLinePunct w:val="0"/>
        <w:autoSpaceDE/>
        <w:autoSpaceDN/>
        <w:bidi w:val="0"/>
        <w:adjustRightInd/>
        <w:snapToGrid/>
        <w:spacing w:before="0" w:after="0" w:line="240" w:lineRule="auto"/>
        <w:jc w:val="center"/>
        <w:textAlignment w:val="auto"/>
        <w:rPr>
          <w:rFonts w:hint="eastAsia" w:ascii="黑体" w:hAnsi="黑体" w:eastAsia="黑体" w:cs="黑体"/>
          <w:sz w:val="32"/>
          <w:szCs w:val="32"/>
        </w:rPr>
      </w:pPr>
      <w:r>
        <w:rPr>
          <w:rFonts w:hint="eastAsia" w:ascii="黑体" w:hAnsi="黑体" w:eastAsia="黑体" w:cs="黑体"/>
          <w:sz w:val="32"/>
          <w:szCs w:val="32"/>
        </w:rPr>
        <w:t>第七章 附 则</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Style w:val="15"/>
          <w:rFonts w:hint="eastAsia" w:ascii="黑体" w:hAnsi="黑体" w:eastAsia="黑体" w:cs="黑体"/>
          <w:sz w:val="32"/>
          <w:szCs w:val="32"/>
        </w:rPr>
      </w:pP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5"/>
          <w:rFonts w:hint="eastAsia" w:ascii="黑体" w:hAnsi="黑体" w:eastAsia="黑体" w:cs="黑体"/>
          <w:sz w:val="32"/>
          <w:szCs w:val="32"/>
        </w:rPr>
        <w:t>第四十二条</w:t>
      </w:r>
      <w:r>
        <w:rPr>
          <w:rStyle w:val="15"/>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rPr>
        <w:t>本办法自2017年7月15日起施行。</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jc w:val="left"/>
        <w:textAlignment w:val="auto"/>
        <w:rPr>
          <w:rFonts w:hint="default" w:ascii="黑体" w:hAnsi="黑体" w:eastAsia="黑体" w:cs="黑体"/>
          <w:b w:val="0"/>
          <w:bCs w:val="0"/>
          <w:sz w:val="32"/>
          <w:szCs w:val="32"/>
          <w:lang w:val="en-US" w:eastAsia="zh-CN"/>
        </w:rPr>
      </w:pPr>
    </w:p>
    <w:sectPr>
      <w:headerReference r:id="rId3" w:type="default"/>
      <w:footerReference r:id="rId4" w:type="default"/>
      <w:pgSz w:w="11906" w:h="16838"/>
      <w:pgMar w:top="1962" w:right="1474" w:bottom="1848" w:left="1587" w:header="851" w:footer="992" w:gutter="0"/>
      <w:pgNumType w:fmt="numberInDash"/>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方正小标宋简体">
    <w:panose1 w:val="02000000000000000000"/>
    <w:charset w:val="86"/>
    <w:family w:val="auto"/>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fangsong">
    <w:altName w:val="04b_21"/>
    <w:panose1 w:val="00000000000000000000"/>
    <w:charset w:val="00"/>
    <w:family w:val="auto"/>
    <w:pitch w:val="default"/>
    <w:sig w:usb0="00000000" w:usb1="00000000" w:usb2="00000000" w:usb3="00000000" w:csb0="00000000" w:csb1="00000000"/>
  </w:font>
  <w:font w:name="04b_21">
    <w:panose1 w:val="00000400000000000000"/>
    <w:charset w:val="00"/>
    <w:family w:val="auto"/>
    <w:pitch w:val="default"/>
    <w:sig w:usb0="00000000" w:usb1="00000000" w:usb2="00000000" w:usb3="00000000" w:csb0="00000000" w:csb1="00000000"/>
  </w:font>
  <w:font w:name="方正宋体S-超大字符集">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left="4788" w:leftChars="2280" w:firstLine="6400" w:firstLineChars="2000"/>
      <w:rPr>
        <w:rFonts w:hint="eastAsia" w:eastAsia="仿宋"/>
        <w:sz w:val="32"/>
        <w:szCs w:val="48"/>
        <w:lang w:val="en-US" w:eastAsia="zh-CN"/>
      </w:rPr>
    </w:pPr>
    <w:r>
      <w:rPr>
        <w:sz w:val="32"/>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7"/>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WAAAAZHJzL1BLAQIUABQAAAAIAIdO&#10;4kCzSVju0AAAAAUBAAAPAAAAAAAAAAEAIAAAADgAAABkcnMvZG93bnJldi54bWxQSwECFAAUAAAA&#10;CACHTuJAgqAHrhkCAAAhBAAADgAAAAAAAAABACAAAAA1AQAAZHJzL2Uyb0RvYy54bWxQSwUGAAAA&#10;AAYABgBZAQAAwAUAAAAA&#10;">
              <v:fill on="f" focussize="0,0"/>
              <v:stroke on="f" weight="0.5pt"/>
              <v:imagedata o:title=""/>
              <o:lock v:ext="edit" aspectratio="f"/>
              <v:textbox inset="0mm,0mm,0mm,0mm" style="mso-fit-shape-to-text:t;">
                <w:txbxContent>
                  <w:p>
                    <w:pPr>
                      <w:pStyle w:val="7"/>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r>
      <w:rPr>
        <w:rFonts w:hint="eastAsia" w:eastAsia="仿宋"/>
        <w:sz w:val="32"/>
        <w:szCs w:val="48"/>
        <w:lang w:val="en-US" w:eastAsia="zh-CN"/>
      </w:rPr>
      <w:t xml:space="preserve">  </w:t>
    </w:r>
  </w:p>
  <w:p>
    <w:pPr>
      <w:pStyle w:val="8"/>
      <w:wordWrap w:val="0"/>
      <w:ind w:left="4788" w:leftChars="2280" w:firstLine="6400" w:firstLineChars="2000"/>
      <w:jc w:val="right"/>
      <w:rPr>
        <w:rFonts w:hint="eastAsia" w:ascii="宋体" w:hAnsi="宋体" w:eastAsia="宋体" w:cs="宋体"/>
        <w:b/>
        <w:bCs/>
        <w:color w:val="005192"/>
        <w:sz w:val="28"/>
        <w:szCs w:val="44"/>
        <w:lang w:val="en-US" w:eastAsia="zh-CN"/>
      </w:rPr>
    </w:pPr>
    <w:r>
      <w:rPr>
        <w:color w:val="FAFAFA"/>
        <w:sz w:val="32"/>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noFill/>
                      <a:ln w="22225" cap="flat" cmpd="sng" algn="ctr">
                        <a:solidFill>
                          <a:srgbClr val="005192"/>
                        </a:solidFill>
                        <a:prstDash val="solid"/>
                        <a:miter lim="800000"/>
                      </a:ln>
                      <a:effectLst/>
                    </wps:spPr>
                    <wps:bodyPr/>
                  </wps:wsp>
                </a:graphicData>
              </a:graphic>
            </wp:anchor>
          </w:drawing>
        </mc:Choice>
        <mc:Fallback>
          <w:pict>
            <v:line id="_x0000_s1026" o:spid="_x0000_s1026" o:spt="20" style="position:absolute;left:0pt;margin-left:0pt;margin-top:5.85pt;height:0.15pt;width:442.25pt;z-index:251659264;mso-width-relative:page;mso-height-relative:page;" filled="f" stroked="t" coordsize="21600,21600" o:gfxdata="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WAAAAZHJzL1BLAQIUABQAAAAIAIdO4kDzp6XR1AAA&#10;AAYBAAAPAAAAAAAAAAEAIAAAADgAAABkcnMvZG93bnJldi54bWxQSwECFAAUAAAACACHTuJAQhCS&#10;aNMBAAB1AwAADgAAAAAAAAABACAAAAA5AQAAZHJzL2Uyb0RvYy54bWxQSwUGAAAAAAYABgBZAQAA&#10;fgUAAAAA&#10;">
              <v:fill on="f" focussize="0,0"/>
              <v:stroke weight="1.75pt" color="#005192" miterlimit="8" joinstyle="miter"/>
              <v:imagedata o:title=""/>
              <o:lock v:ext="edit" aspectratio="f"/>
            </v:line>
          </w:pict>
        </mc:Fallback>
      </mc:AlternateContent>
    </w:r>
    <w:r>
      <w:rPr>
        <w:rFonts w:hint="eastAsia"/>
        <w:color w:val="FAFAFA"/>
        <w:sz w:val="32"/>
        <w:lang w:eastAsia="zh-CN"/>
      </w:rPr>
      <w:t>长春市长</w:t>
    </w:r>
    <w:r>
      <w:rPr>
        <w:rFonts w:hint="eastAsia"/>
        <w:color w:val="FAFAFA"/>
        <w:sz w:val="32"/>
        <w:lang w:val="en-US" w:eastAsia="zh-CN"/>
      </w:rPr>
      <w:t xml:space="preserve"> </w:t>
    </w:r>
    <w:r>
      <w:rPr>
        <w:rFonts w:hint="eastAsia" w:ascii="宋体" w:hAnsi="宋体" w:eastAsia="宋体" w:cs="宋体"/>
        <w:b/>
        <w:bCs/>
        <w:color w:val="005192"/>
        <w:sz w:val="28"/>
        <w:szCs w:val="44"/>
        <w:lang w:val="en-US" w:eastAsia="zh-CN"/>
      </w:rPr>
      <w:t xml:space="preserve">长春市人民政府发布 </w:t>
    </w:r>
  </w:p>
  <w:p>
    <w:pPr>
      <w:pStyle w:val="8"/>
      <w:wordWrap w:val="0"/>
      <w:ind w:left="4788" w:leftChars="2280" w:firstLine="5621" w:firstLineChars="2000"/>
      <w:jc w:val="right"/>
      <w:rPr>
        <w:rFonts w:hint="eastAsia" w:ascii="宋体" w:hAnsi="宋体" w:eastAsia="宋体" w:cs="宋体"/>
        <w:b/>
        <w:bCs/>
        <w:color w:val="005192"/>
        <w:sz w:val="28"/>
        <w:szCs w:val="44"/>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rPr>
    </w:pPr>
    <w:r>
      <w:rPr>
        <w:rFonts w:hint="eastAsia" w:ascii="宋体" w:hAnsi="宋体" w:eastAsia="宋体" w:cs="宋体"/>
        <w:b/>
        <w:bCs/>
        <w:color w:val="005192"/>
        <w:sz w:val="32"/>
      </w:rPr>
      <mc:AlternateContent>
        <mc:Choice Requires="wps">
          <w:drawing>
            <wp:anchor distT="0" distB="0" distL="114300" distR="114300" simplePos="0" relativeHeight="251658240" behindDoc="0" locked="0" layoutInCell="1" allowOverlap="1">
              <wp:simplePos x="0" y="0"/>
              <wp:positionH relativeFrom="column">
                <wp:posOffset>-3810</wp:posOffset>
              </wp:positionH>
              <wp:positionV relativeFrom="paragraph">
                <wp:posOffset>690245</wp:posOffset>
              </wp:positionV>
              <wp:extent cx="5620385" cy="0"/>
              <wp:effectExtent l="0" t="10795" r="18415" b="17780"/>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noFill/>
                      <a:ln w="22225" cap="flat" cmpd="sng" algn="ctr">
                        <a:solidFill>
                          <a:srgbClr val="005192"/>
                        </a:solidFill>
                        <a:prstDash val="solid"/>
                        <a:miter lim="800000"/>
                      </a:ln>
                      <a:effectLst/>
                    </wps:spPr>
                    <wps:bodyPr/>
                  </wps:wsp>
                </a:graphicData>
              </a:graphic>
            </wp:anchor>
          </w:drawing>
        </mc:Choice>
        <mc:Fallback>
          <w:pict>
            <v:line id="_x0000_s1026" o:spid="_x0000_s1026" o:spt="20" style="position:absolute;left:0pt;margin-left:-0.3pt;margin-top:54.35pt;height:0pt;width:442.55pt;z-index:251658240;mso-width-relative:page;mso-height-relative:page;" filled="f" stroked="t" coordsize="21600,21600" o:gfxdata="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FgAAAGRycy9QSwECFAAUAAAACACH&#10;TuJA1EdA1tUAAAAJAQAADwAAAAAAAAABACAAAAA4AAAAZHJzL2Rvd25yZXYueG1sUEsBAhQAFAAA&#10;AAgAh07iQNqbbOfcAQAAfQMAAA4AAAAAAAAAAQAgAAAAOgEAAGRycy9lMm9Eb2MueG1sUEsFBgAA&#10;AAAGAAYAWQEAAIgFAAAAAA==&#10;">
              <v:fill on="f" focussize="0,0"/>
              <v:stroke weight="1.75pt" color="#005192" miterlimit="8" joinstyle="miter"/>
              <v:imagedata o:title=""/>
              <o:lock v:ext="edit" aspectratio="f"/>
            </v:line>
          </w:pict>
        </mc:Fallback>
      </mc:AlternateContent>
    </w:r>
  </w:p>
  <w:p>
    <w:pPr>
      <w:pStyle w:val="8"/>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szCs w:val="32"/>
        <w:lang w:val="en-US" w:eastAsia="zh-CN"/>
      </w:rPr>
    </w:pPr>
    <w:r>
      <w:rPr>
        <w:rFonts w:hint="eastAsia" w:ascii="宋体" w:hAnsi="宋体" w:eastAsia="宋体" w:cs="宋体"/>
        <w:b/>
        <w:bCs/>
        <w:color w:val="005192"/>
        <w:sz w:val="32"/>
      </w:rPr>
      <w:drawing>
        <wp:inline distT="0" distB="0" distL="114300" distR="114300">
          <wp:extent cx="308610" cy="308610"/>
          <wp:effectExtent l="0" t="0" r="15240" b="15240"/>
          <wp:docPr id="1"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国徽1024"/>
                  <pic:cNvPicPr>
                    <a:picLocks noChangeAspect="1"/>
                  </pic:cNvPicPr>
                </pic:nvPicPr>
                <pic:blipFill>
                  <a:blip r:embed="rId1"/>
                  <a:stretch>
                    <a:fillRect/>
                  </a:stretch>
                </pic:blipFill>
                <pic:spPr>
                  <a:xfrm>
                    <a:off x="0" y="0"/>
                    <a:ext cx="308610" cy="308610"/>
                  </a:xfrm>
                  <a:prstGeom prst="rect">
                    <a:avLst/>
                  </a:prstGeom>
                  <a:noFill/>
                  <a:ln>
                    <a:noFill/>
                  </a:ln>
                </pic:spPr>
              </pic:pic>
            </a:graphicData>
          </a:graphic>
        </wp:inline>
      </w:drawing>
    </w:r>
    <w:r>
      <w:rPr>
        <w:rFonts w:hint="eastAsia" w:ascii="宋体" w:hAnsi="宋体" w:eastAsia="宋体" w:cs="宋体"/>
        <w:b/>
        <w:bCs/>
        <w:color w:val="005192"/>
        <w:sz w:val="32"/>
        <w:lang w:eastAsia="zh-CN"/>
      </w:rPr>
      <w:t>长春市人民政府</w:t>
    </w:r>
    <w:r>
      <w:rPr>
        <w:rFonts w:hint="eastAsia" w:ascii="宋体" w:hAnsi="宋体" w:eastAsia="宋体" w:cs="宋体"/>
        <w:b/>
        <w:bCs/>
        <w:color w:val="005192"/>
        <w:sz w:val="32"/>
        <w:szCs w:val="32"/>
        <w:lang w:val="en-US" w:eastAsia="zh-CN"/>
      </w:rPr>
      <w:t>规章</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19E71BD"/>
    <w:rsid w:val="04B679C3"/>
    <w:rsid w:val="080F63D8"/>
    <w:rsid w:val="09341458"/>
    <w:rsid w:val="0B0912D7"/>
    <w:rsid w:val="152D2DCA"/>
    <w:rsid w:val="1DEC284C"/>
    <w:rsid w:val="1E6523AC"/>
    <w:rsid w:val="22440422"/>
    <w:rsid w:val="275F5B07"/>
    <w:rsid w:val="2EE4E1E9"/>
    <w:rsid w:val="31A15F24"/>
    <w:rsid w:val="395347B5"/>
    <w:rsid w:val="39A232A0"/>
    <w:rsid w:val="39E745AA"/>
    <w:rsid w:val="3B5A6BBB"/>
    <w:rsid w:val="3BFFD238"/>
    <w:rsid w:val="3D758C2F"/>
    <w:rsid w:val="3E3FF015"/>
    <w:rsid w:val="3EDA13A6"/>
    <w:rsid w:val="3EFA4F75"/>
    <w:rsid w:val="3FFDD449"/>
    <w:rsid w:val="42F058B7"/>
    <w:rsid w:val="436109F6"/>
    <w:rsid w:val="441A38D4"/>
    <w:rsid w:val="4BC77339"/>
    <w:rsid w:val="4C9236C5"/>
    <w:rsid w:val="505C172E"/>
    <w:rsid w:val="52F46F0B"/>
    <w:rsid w:val="53D8014D"/>
    <w:rsid w:val="55E064E0"/>
    <w:rsid w:val="572C6D10"/>
    <w:rsid w:val="5CEF77EE"/>
    <w:rsid w:val="5DC34279"/>
    <w:rsid w:val="5EF782AD"/>
    <w:rsid w:val="5F7F6892"/>
    <w:rsid w:val="5FF22B40"/>
    <w:rsid w:val="608816D1"/>
    <w:rsid w:val="60EF4E7F"/>
    <w:rsid w:val="612F3FD0"/>
    <w:rsid w:val="665233C1"/>
    <w:rsid w:val="69F36A47"/>
    <w:rsid w:val="6AD9688B"/>
    <w:rsid w:val="6D0E3F22"/>
    <w:rsid w:val="6EB550C6"/>
    <w:rsid w:val="6F2B0D2A"/>
    <w:rsid w:val="75FFF989"/>
    <w:rsid w:val="76B6E50D"/>
    <w:rsid w:val="76FDF66E"/>
    <w:rsid w:val="7AEE4886"/>
    <w:rsid w:val="7BF7583F"/>
    <w:rsid w:val="7BFF93D3"/>
    <w:rsid w:val="7C9011D9"/>
    <w:rsid w:val="7DC651C5"/>
    <w:rsid w:val="7EFF6DD0"/>
    <w:rsid w:val="7F3735A7"/>
    <w:rsid w:val="7FB9966C"/>
    <w:rsid w:val="7FCC2834"/>
    <w:rsid w:val="7FF8209E"/>
    <w:rsid w:val="7FFF79BD"/>
    <w:rsid w:val="9F7F243B"/>
    <w:rsid w:val="A9DB00DE"/>
    <w:rsid w:val="AFFFD7B0"/>
    <w:rsid w:val="B3DB04D0"/>
    <w:rsid w:val="B5B1A39E"/>
    <w:rsid w:val="BD5EDC9E"/>
    <w:rsid w:val="BE3F695C"/>
    <w:rsid w:val="BEFBB8A4"/>
    <w:rsid w:val="BF9F3AF9"/>
    <w:rsid w:val="BFEDC696"/>
    <w:rsid w:val="BFEF4DC1"/>
    <w:rsid w:val="BFFF4B25"/>
    <w:rsid w:val="CBFC2AE1"/>
    <w:rsid w:val="CBFF8F95"/>
    <w:rsid w:val="CF1F0D88"/>
    <w:rsid w:val="D6E71438"/>
    <w:rsid w:val="DA7BD9C9"/>
    <w:rsid w:val="DD7F6163"/>
    <w:rsid w:val="DDEF8DC9"/>
    <w:rsid w:val="DF6EAB6E"/>
    <w:rsid w:val="DFBDCA1D"/>
    <w:rsid w:val="EEB92B30"/>
    <w:rsid w:val="F72A534E"/>
    <w:rsid w:val="F7BD58E4"/>
    <w:rsid w:val="F7E8D4DA"/>
    <w:rsid w:val="FB5D3A76"/>
    <w:rsid w:val="FB5F84F4"/>
    <w:rsid w:val="FDD67D79"/>
    <w:rsid w:val="FE7FB526"/>
    <w:rsid w:val="FED88D58"/>
    <w:rsid w:val="FEFBC815"/>
    <w:rsid w:val="FFBF4E5D"/>
    <w:rsid w:val="FFCE785E"/>
    <w:rsid w:val="FFD48E20"/>
    <w:rsid w:val="FFDD7CC4"/>
    <w:rsid w:val="FFEE5C0C"/>
    <w:rsid w:val="FFEECEF7"/>
    <w:rsid w:val="FFFAA38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qFormat/>
    <w:uiPriority w:val="0"/>
    <w:pPr>
      <w:keepNext/>
      <w:keepLines/>
      <w:spacing w:before="300" w:after="300" w:line="440" w:lineRule="exact"/>
      <w:jc w:val="center"/>
      <w:outlineLvl w:val="0"/>
    </w:pPr>
    <w:rPr>
      <w:rFonts w:ascii="仿宋_GB2312" w:hAnsi="华文中宋" w:eastAsia="方正小标宋简体"/>
      <w:bCs/>
      <w:spacing w:val="10"/>
      <w:kern w:val="44"/>
      <w:sz w:val="30"/>
      <w:szCs w:val="21"/>
    </w:rPr>
  </w:style>
  <w:style w:type="paragraph" w:styleId="3">
    <w:name w:val="heading 2"/>
    <w:basedOn w:val="1"/>
    <w:next w:val="1"/>
    <w:link w:val="14"/>
    <w:unhideWhenUsed/>
    <w:qFormat/>
    <w:uiPriority w:val="0"/>
    <w:pPr>
      <w:keepNext/>
      <w:keepLines/>
      <w:spacing w:before="300" w:after="300" w:line="300" w:lineRule="exact"/>
      <w:jc w:val="center"/>
      <w:outlineLvl w:val="1"/>
    </w:pPr>
    <w:rPr>
      <w:rFonts w:ascii="宋体" w:hAnsi="宋体" w:eastAsia="黑体" w:cs="Times New Roman"/>
      <w:bCs/>
      <w:sz w:val="24"/>
      <w:szCs w:val="24"/>
    </w:rPr>
  </w:style>
  <w:style w:type="paragraph" w:styleId="4">
    <w:name w:val="heading 3"/>
    <w:basedOn w:val="1"/>
    <w:next w:val="1"/>
    <w:link w:val="15"/>
    <w:unhideWhenUsed/>
    <w:qFormat/>
    <w:uiPriority w:val="0"/>
    <w:pPr>
      <w:keepNext/>
      <w:keepLines/>
      <w:spacing w:before="260" w:after="260" w:line="416" w:lineRule="auto"/>
      <w:outlineLvl w:val="2"/>
    </w:pPr>
    <w:rPr>
      <w:rFonts w:eastAsia="黑体"/>
      <w:bCs/>
      <w:sz w:val="24"/>
      <w:szCs w:val="32"/>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5">
    <w:name w:val="annotation text"/>
    <w:basedOn w:val="1"/>
    <w:qFormat/>
    <w:uiPriority w:val="0"/>
    <w:pPr>
      <w:jc w:val="left"/>
    </w:pPr>
  </w:style>
  <w:style w:type="paragraph" w:styleId="6">
    <w:name w:val="Plain Text"/>
    <w:basedOn w:val="1"/>
    <w:qFormat/>
    <w:uiPriority w:val="0"/>
    <w:rPr>
      <w:rFonts w:ascii="宋体" w:hAnsi="Courier New" w:cs="Courier New"/>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rPr>
      <w:sz w:val="24"/>
      <w:szCs w:val="24"/>
    </w:rPr>
  </w:style>
  <w:style w:type="character" w:styleId="12">
    <w:name w:val="Strong"/>
    <w:basedOn w:val="11"/>
    <w:qFormat/>
    <w:uiPriority w:val="22"/>
    <w:rPr>
      <w:b/>
    </w:rPr>
  </w:style>
  <w:style w:type="character" w:styleId="13">
    <w:name w:val="page number"/>
    <w:basedOn w:val="11"/>
    <w:qFormat/>
    <w:uiPriority w:val="0"/>
  </w:style>
  <w:style w:type="character" w:customStyle="1" w:styleId="14">
    <w:name w:val="标题 2 Char"/>
    <w:basedOn w:val="11"/>
    <w:link w:val="3"/>
    <w:qFormat/>
    <w:uiPriority w:val="0"/>
    <w:rPr>
      <w:rFonts w:ascii="宋体" w:hAnsi="宋体" w:eastAsia="黑体" w:cs="Times New Roman"/>
      <w:bCs/>
      <w:sz w:val="24"/>
      <w:szCs w:val="24"/>
    </w:rPr>
  </w:style>
  <w:style w:type="character" w:customStyle="1" w:styleId="15">
    <w:name w:val="标题 3 Char"/>
    <w:basedOn w:val="11"/>
    <w:link w:val="4"/>
    <w:qFormat/>
    <w:uiPriority w:val="0"/>
    <w:rPr>
      <w:rFonts w:eastAsia="黑体"/>
      <w:bCs/>
      <w:sz w:val="24"/>
      <w:szCs w:val="32"/>
    </w:rPr>
  </w:style>
  <w:style w:type="paragraph" w:customStyle="1" w:styleId="16">
    <w:name w:val="contentarticle"/>
    <w:basedOn w:val="1"/>
    <w:qFormat/>
    <w:uiPriority w:val="0"/>
    <w:pPr>
      <w:widowControl/>
      <w:spacing w:before="100" w:beforeAutospacing="1" w:after="100" w:afterAutospacing="1"/>
      <w:jc w:val="left"/>
    </w:pPr>
    <w:rPr>
      <w:rFonts w:ascii="宋体" w:hAnsi="宋体" w:cs="宋体"/>
      <w:kern w:val="0"/>
      <w:sz w:val="24"/>
    </w:rPr>
  </w:style>
  <w:style w:type="paragraph" w:styleId="17">
    <w:name w:val="List Paragraph"/>
    <w:basedOn w:val="1"/>
    <w:qFormat/>
    <w:uiPriority w:val="34"/>
    <w:pPr>
      <w:ind w:firstLine="420" w:firstLineChars="200"/>
    </w:pPr>
  </w:style>
  <w:style w:type="paragraph" w:customStyle="1" w:styleId="18">
    <w:name w:val="正文1"/>
    <w:qFormat/>
    <w:uiPriority w:val="0"/>
    <w:pPr>
      <w:jc w:val="both"/>
    </w:pPr>
    <w:rPr>
      <w:rFonts w:ascii="Calibri" w:hAnsi="Calibri" w:eastAsia="宋体" w:cs="Times New Roman"/>
      <w:kern w:val="2"/>
      <w:sz w:val="21"/>
      <w:szCs w:val="21"/>
      <w:lang w:val="en-US" w:eastAsia="zh-CN" w:bidi="ar-SA"/>
    </w:rPr>
  </w:style>
  <w:style w:type="paragraph" w:customStyle="1" w:styleId="19">
    <w:name w:val="reader-word-layer reader-word-s2-0"/>
    <w:basedOn w:val="1"/>
    <w:qFormat/>
    <w:uiPriority w:val="0"/>
    <w:pPr>
      <w:widowControl/>
      <w:spacing w:before="100" w:beforeLines="0" w:beforeAutospacing="1" w:after="100" w:afterLines="0" w:afterAutospacing="1"/>
      <w:jc w:val="left"/>
    </w:pPr>
    <w:rPr>
      <w:rFonts w:ascii="宋体" w:hAnsi="宋体" w:cs="宋体"/>
      <w:kern w:val="0"/>
      <w:sz w:val="24"/>
      <w:szCs w:val="24"/>
    </w:rPr>
  </w:style>
  <w:style w:type="paragraph" w:customStyle="1" w:styleId="20">
    <w:name w:val="reader-word-layer reader-word-s2-2"/>
    <w:basedOn w:val="1"/>
    <w:qFormat/>
    <w:uiPriority w:val="0"/>
    <w:pPr>
      <w:widowControl/>
      <w:spacing w:before="100" w:beforeLines="0" w:beforeAutospacing="1" w:after="100" w:afterLines="0" w:afterAutospacing="1"/>
      <w:jc w:val="left"/>
    </w:pPr>
    <w:rPr>
      <w:rFonts w:ascii="宋体" w:hAnsi="宋体" w:cs="宋体"/>
      <w:kern w:val="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14</Pages>
  <Words>4772</Words>
  <Characters>4797</Characters>
  <Lines>1</Lines>
  <Paragraphs>1</Paragraphs>
  <TotalTime>5</TotalTime>
  <ScaleCrop>false</ScaleCrop>
  <LinksUpToDate>false</LinksUpToDate>
  <CharactersWithSpaces>4855</CharactersWithSpaces>
  <Application>WPS Office_11.8.2.9339_F1E327BC-269C-435d-A152-05C5408002CA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2021-09-10T10:41:00Z</dcterms:created>
  <dc:creator>t</dc:creator>
  <cp:lastModifiedBy>政长通客服</cp:lastModifiedBy>
  <cp:lastPrinted>2021-10-27T11:30:00Z</cp:lastPrinted>
  <dcterms:modified xsi:type="dcterms:W3CDTF">2026-01-30T16:25:08Z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2052-11.8.2.9339</vt:lpwstr>
  </property>
  <property fmtid="{D5CDD505-2E9C-101B-9397-08002B2CF9AE}" pid="3" name="ICV">
    <vt:lpwstr>48C61CB29D3F4D9384F5922CF0F7FFB4</vt:lpwstr>
  </property>
</Properties>
</file>