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bidi w:val="0"/>
        <w:jc w:val="center"/>
        <w:rPr>
          <w:rFonts w:hint="eastAsia" w:asciiTheme="minorEastAsia" w:hAnsiTheme="minorEastAsia" w:eastAsiaTheme="minorEastAsia" w:cstheme="minorEastAsia"/>
          <w:sz w:val="44"/>
          <w:szCs w:val="44"/>
          <w:lang w:val="en-US" w:eastAsia="zh-CN"/>
        </w:rPr>
      </w:pPr>
    </w:p>
    <w:p>
      <w:pPr>
        <w:bidi w:val="0"/>
        <w:jc w:val="both"/>
        <w:rPr>
          <w:rFonts w:hint="eastAsia" w:asciiTheme="minorEastAsia" w:hAnsiTheme="minorEastAsia" w:eastAsiaTheme="minorEastAsia" w:cstheme="minorEastAsia"/>
          <w:sz w:val="44"/>
          <w:szCs w:val="44"/>
          <w:lang w:val="en-US" w:eastAsia="zh-CN"/>
        </w:rPr>
      </w:pPr>
    </w:p>
    <w:p>
      <w:pPr>
        <w:pStyle w:val="2"/>
        <w:rPr>
          <w:rFonts w:hint="eastAsia" w:asciiTheme="minorEastAsia" w:hAnsiTheme="minorEastAsia" w:eastAsiaTheme="minorEastAsia" w:cstheme="minorEastAsia"/>
          <w:sz w:val="44"/>
          <w:szCs w:val="44"/>
        </w:rPr>
      </w:pPr>
      <w:bookmarkStart w:id="0" w:name="_Toc29268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长春市拨用房产管理办法</w:t>
      </w:r>
      <w:bookmarkEnd w:id="0"/>
    </w:p>
    <w:p>
      <w:pPr>
        <w:widowControl/>
        <w:shd w:val="clear" w:color="auto" w:fill="FFFFFF"/>
        <w:spacing w:line="360" w:lineRule="atLeast"/>
        <w:ind w:firstLine="480"/>
        <w:jc w:val="left"/>
        <w:rPr>
          <w:rFonts w:cs="Times New Roman" w:asciiTheme="minorEastAsia" w:hAnsiTheme="minorEastAsia"/>
          <w:sz w:val="24"/>
          <w:szCs w:val="24"/>
        </w:rPr>
      </w:pPr>
    </w:p>
    <w:p>
      <w:pPr>
        <w:widowControl/>
        <w:shd w:val="clear" w:color="auto" w:fill="FFFFFF"/>
        <w:spacing w:line="360" w:lineRule="atLeast"/>
        <w:ind w:firstLine="480"/>
        <w:jc w:val="left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（1993年5月1日长春市人民政府令第2号公布，1997年11月18日市政府令第68号第一次修改，2020年10月21日市政府令第82号第二次修改，2024年2月23日市政府令第95号第三次修改）</w:t>
      </w:r>
    </w:p>
    <w:p>
      <w:pPr>
        <w:pStyle w:val="3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第一章 总则</w:t>
      </w:r>
    </w:p>
    <w:p>
      <w:pPr>
        <w:widowControl/>
        <w:shd w:val="clear" w:color="auto" w:fill="FFFFFF"/>
        <w:spacing w:line="360" w:lineRule="atLeas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11"/>
          <w:rFonts w:hint="eastAsia" w:ascii="黑体" w:hAnsi="黑体" w:eastAsia="黑体" w:cs="黑体"/>
          <w:sz w:val="32"/>
          <w:szCs w:val="32"/>
        </w:rPr>
        <w:t>第一条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为加强拨用房产管理，促进拨用房产使用单位（以下简称用房单位）依法使用房产，确保国有资产不受损失，根据《吉林省城市房产管理条例》的有关规定，结合我市的实际情况，制定本办法。</w:t>
      </w:r>
    </w:p>
    <w:p>
      <w:pPr>
        <w:widowControl/>
        <w:shd w:val="clear" w:color="auto" w:fill="FFFFFF"/>
        <w:spacing w:line="360" w:lineRule="atLeas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11"/>
          <w:rFonts w:hint="eastAsia" w:ascii="黑体" w:hAnsi="黑体" w:eastAsia="黑体" w:cs="黑体"/>
          <w:sz w:val="32"/>
          <w:szCs w:val="32"/>
        </w:rPr>
        <w:t>第二条</w:t>
      </w:r>
      <w:r>
        <w:rPr>
          <w:rFonts w:hint="eastAsia" w:ascii="黑体" w:hAnsi="黑体" w:eastAsia="黑体" w:cs="黑体"/>
          <w:kern w:val="0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凡我市行政区域内的拨用房产，均适用本办法。</w:t>
      </w:r>
      <w:r>
        <w:rPr>
          <w:rFonts w:hint="eastAsia" w:ascii="仿宋_GB2312" w:hAnsi="仿宋_GB2312" w:eastAsia="仿宋_GB2312" w:cs="仿宋_GB2312"/>
          <w:sz w:val="32"/>
          <w:szCs w:val="32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</w:rPr>
        <w:t>　　本办法所称拨用房产是指房屋所有权属于国家，经原吉林省人民委员会批准，由市住房保障和房屋管理部门拨给机关、团体、文教、卫生单位免租使用且实行“保住保修”的房产。</w:t>
      </w:r>
    </w:p>
    <w:p>
      <w:pPr>
        <w:widowControl/>
        <w:shd w:val="clear" w:color="auto" w:fill="FFFFFF"/>
        <w:spacing w:line="360" w:lineRule="atLeas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11"/>
          <w:rFonts w:hint="eastAsia" w:ascii="黑体" w:hAnsi="黑体" w:eastAsia="黑体" w:cs="黑体"/>
          <w:sz w:val="32"/>
          <w:szCs w:val="32"/>
        </w:rPr>
        <w:t>第三条</w:t>
      </w:r>
      <w:r>
        <w:rPr>
          <w:rFonts w:hint="eastAsia" w:ascii="黑体" w:hAnsi="黑体" w:eastAsia="黑体" w:cs="黑体"/>
          <w:kern w:val="0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市住房保障和房屋管理部门是全市拨用房产的主管部门。市房产产权管理处负责城区拨用房产的日常管理工作。各县（市）住房保障和房屋管理部门负责本辖区拨用房产的日常管理工作。</w:t>
      </w:r>
    </w:p>
    <w:p>
      <w:pPr>
        <w:pStyle w:val="3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第二章 拨用房产使用权登记</w:t>
      </w:r>
    </w:p>
    <w:p>
      <w:pPr>
        <w:widowControl/>
        <w:shd w:val="clear" w:color="auto" w:fill="FFFFFF"/>
        <w:spacing w:line="360" w:lineRule="atLeas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11"/>
          <w:rFonts w:hint="eastAsia" w:ascii="黑体" w:hAnsi="黑体" w:eastAsia="黑体" w:cs="黑体"/>
          <w:sz w:val="32"/>
          <w:szCs w:val="32"/>
        </w:rPr>
        <w:t>第四条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拨用房产实行使用权登记制度，凡我市行政区域内的拨用房产，统一由房产所在地拨用房产管理部门组织清理登记。符合拨用房产有关规定的，发给用房单位《拨用房产使用证》；不符合规定的，由房产所在地拨用房产管理部门将房产收回或按租赁制处理。</w:t>
      </w:r>
      <w:r>
        <w:rPr>
          <w:rFonts w:hint="eastAsia" w:ascii="仿宋_GB2312" w:hAnsi="仿宋_GB2312" w:eastAsia="仿宋_GB2312" w:cs="仿宋_GB2312"/>
          <w:sz w:val="32"/>
          <w:szCs w:val="32"/>
        </w:rPr>
        <w:br w:type="textWrapping"/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各级房产行政管理部门不得将直管房产再行拨用。</w:t>
      </w:r>
    </w:p>
    <w:p>
      <w:pPr>
        <w:widowControl/>
        <w:shd w:val="clear" w:color="auto" w:fill="FFFFFF"/>
        <w:spacing w:line="360" w:lineRule="atLeas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11"/>
          <w:rFonts w:hint="eastAsia" w:ascii="黑体" w:hAnsi="黑体" w:eastAsia="黑体" w:cs="黑体"/>
          <w:sz w:val="32"/>
          <w:szCs w:val="32"/>
        </w:rPr>
        <w:t>第五条</w:t>
      </w:r>
      <w:r>
        <w:rPr>
          <w:rFonts w:hint="eastAsia" w:ascii="黑体" w:hAnsi="黑体" w:eastAsia="黑体" w:cs="黑体"/>
          <w:kern w:val="0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用房单位应在拨用房产管理部门规定的期限内，向房产所在地拨用房产管理部门申请拨用房产使用权登记，领取《拨用房产使用证》。</w:t>
      </w:r>
    </w:p>
    <w:p>
      <w:pPr>
        <w:widowControl/>
        <w:shd w:val="clear" w:color="auto" w:fill="FFFFFF"/>
        <w:spacing w:line="360" w:lineRule="atLeast"/>
        <w:ind w:firstLine="48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11"/>
          <w:rFonts w:hint="eastAsia" w:ascii="黑体" w:hAnsi="黑体" w:eastAsia="黑体" w:cs="黑体"/>
          <w:sz w:val="32"/>
          <w:szCs w:val="32"/>
        </w:rPr>
        <w:t>第六条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《拨用房产使用证》由市拨用房产主管部门统一印制。由房产所在地拨用房产管理部门负责发放，当拨用房产使用权终止时，用房单位应将《拨用房产使用证》缴回发证部门。</w:t>
      </w:r>
    </w:p>
    <w:p>
      <w:pPr>
        <w:widowControl/>
        <w:shd w:val="clear" w:color="auto" w:fill="FFFFFF"/>
        <w:spacing w:line="360" w:lineRule="atLeast"/>
        <w:ind w:firstLine="640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Style w:val="11"/>
          <w:rFonts w:hint="eastAsia" w:ascii="黑体" w:hAnsi="黑体" w:eastAsia="黑体" w:cs="黑体"/>
          <w:sz w:val="32"/>
          <w:szCs w:val="32"/>
        </w:rPr>
        <w:t>第七条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遇有下列情况之一的，用房单位应申请使用权变更登记：</w:t>
      </w:r>
      <w:r>
        <w:rPr>
          <w:rFonts w:hint="eastAsia" w:ascii="仿宋_GB2312" w:hAnsi="仿宋_GB2312" w:eastAsia="仿宋_GB2312" w:cs="仿宋_GB2312"/>
          <w:sz w:val="32"/>
          <w:szCs w:val="32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</w:rPr>
        <w:t>　　（一）单位名称变更的。</w:t>
      </w:r>
      <w:r>
        <w:rPr>
          <w:rFonts w:hint="eastAsia" w:ascii="仿宋_GB2312" w:hAnsi="仿宋_GB2312" w:eastAsia="仿宋_GB2312" w:cs="仿宋_GB2312"/>
          <w:sz w:val="32"/>
          <w:szCs w:val="32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</w:rPr>
        <w:t>　　（二）单位分立或合并的。</w:t>
      </w:r>
      <w:r>
        <w:rPr>
          <w:rFonts w:hint="eastAsia" w:ascii="仿宋_GB2312" w:hAnsi="仿宋_GB2312" w:eastAsia="仿宋_GB2312" w:cs="仿宋_GB2312"/>
          <w:sz w:val="32"/>
          <w:szCs w:val="32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</w:rPr>
        <w:t>　　（三）拨用房产经批准相互交换的。</w:t>
      </w:r>
    </w:p>
    <w:p>
      <w:pPr>
        <w:pStyle w:val="3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第三章 拨用房产管理</w:t>
      </w:r>
    </w:p>
    <w:p>
      <w:pPr>
        <w:widowControl/>
        <w:shd w:val="clear" w:color="auto" w:fill="FFFFFF"/>
        <w:spacing w:line="360" w:lineRule="atLeast"/>
        <w:ind w:firstLine="640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Style w:val="11"/>
          <w:rFonts w:hint="eastAsia" w:ascii="黑体" w:hAnsi="黑体" w:eastAsia="黑体" w:cs="黑体"/>
          <w:sz w:val="32"/>
          <w:szCs w:val="32"/>
        </w:rPr>
        <w:t>第八条</w:t>
      </w:r>
      <w:r>
        <w:rPr>
          <w:rFonts w:hint="eastAsia" w:ascii="黑体" w:hAnsi="黑体" w:eastAsia="黑体" w:cs="黑体"/>
          <w:kern w:val="0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持有《拨用房产使用证》的用房单位，依法享有拨用房产使用权，并免交房租，其他任何单位和个人不得妨碍其行使合法的房产使用权。</w:t>
      </w:r>
    </w:p>
    <w:p>
      <w:pPr>
        <w:widowControl/>
        <w:shd w:val="clear" w:color="auto" w:fill="FFFFFF"/>
        <w:spacing w:line="360" w:lineRule="atLeas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11"/>
          <w:rFonts w:hint="eastAsia" w:ascii="黑体" w:hAnsi="黑体" w:eastAsia="黑体" w:cs="黑体"/>
          <w:sz w:val="32"/>
          <w:szCs w:val="32"/>
        </w:rPr>
        <w:t>第九条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用房单位必须遵守下列规定：</w:t>
      </w:r>
    </w:p>
    <w:p>
      <w:pPr>
        <w:widowControl/>
        <w:shd w:val="clear" w:color="auto" w:fill="FFFFFF"/>
        <w:spacing w:line="360" w:lineRule="atLeas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（一）不得转租、转借、转兑、转让、出卖拨用房产</w:t>
      </w:r>
    </w:p>
    <w:p>
      <w:pPr>
        <w:widowControl/>
        <w:shd w:val="clear" w:color="auto" w:fill="FFFFFF"/>
        <w:spacing w:line="360" w:lineRule="atLeas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（二）不得擅自拆除、改建、扩建拨用房产。</w:t>
      </w:r>
    </w:p>
    <w:p>
      <w:pPr>
        <w:widowControl/>
        <w:shd w:val="clear" w:color="auto" w:fill="FFFFFF"/>
        <w:spacing w:line="360" w:lineRule="atLeas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（三）不得擅自改变拨用房产的用途。</w:t>
      </w:r>
    </w:p>
    <w:p>
      <w:pPr>
        <w:widowControl/>
        <w:shd w:val="clear" w:color="auto" w:fill="FFFFFF"/>
        <w:spacing w:line="360" w:lineRule="atLeas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（四）不得放弃拨用房产的管理和维护。</w:t>
      </w:r>
    </w:p>
    <w:p>
      <w:pPr>
        <w:widowControl/>
        <w:shd w:val="clear" w:color="auto" w:fill="FFFFFF"/>
        <w:spacing w:line="360" w:lineRule="atLeas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11"/>
          <w:rFonts w:hint="eastAsia" w:ascii="黑体" w:hAnsi="黑体" w:eastAsia="黑体" w:cs="黑体"/>
          <w:sz w:val="32"/>
          <w:szCs w:val="32"/>
        </w:rPr>
        <w:t>第十条</w:t>
      </w:r>
      <w:r>
        <w:rPr>
          <w:rFonts w:hint="eastAsia" w:ascii="黑体" w:hAnsi="黑体" w:eastAsia="黑体" w:cs="黑体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用房单位应加强拨用房产的管理，根据房产数量配备专（兼）职管理人员，并应及时维修养护拨用房产，保持房产的基本完好，保证房产的使用安全。</w:t>
      </w:r>
    </w:p>
    <w:p>
      <w:pPr>
        <w:widowControl/>
        <w:shd w:val="clear" w:color="auto" w:fill="FFFFFF"/>
        <w:spacing w:line="360" w:lineRule="atLeas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11"/>
          <w:rFonts w:hint="eastAsia" w:ascii="黑体" w:hAnsi="黑体" w:eastAsia="黑体" w:cs="黑体"/>
          <w:sz w:val="32"/>
          <w:szCs w:val="32"/>
        </w:rPr>
        <w:t>第十一条</w:t>
      </w:r>
      <w:r>
        <w:rPr>
          <w:rFonts w:hint="eastAsia" w:ascii="黑体" w:hAnsi="黑体" w:eastAsia="黑体" w:cs="黑体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用房单位改建、扩建拨用房产或者改变拨用房产用途的，应报经房产所在地拨用房产管理部门批准。</w:t>
      </w:r>
      <w:r>
        <w:rPr>
          <w:rFonts w:hint="eastAsia" w:ascii="仿宋_GB2312" w:hAnsi="仿宋_GB2312" w:eastAsia="仿宋_GB2312" w:cs="仿宋_GB2312"/>
          <w:sz w:val="32"/>
          <w:szCs w:val="32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经批准扩建的拨用房产，其扩建部分房产，应按下列规定处理：</w:t>
      </w:r>
      <w:r>
        <w:rPr>
          <w:rFonts w:hint="eastAsia" w:ascii="仿宋_GB2312" w:hAnsi="仿宋_GB2312" w:eastAsia="仿宋_GB2312" w:cs="仿宋_GB2312"/>
          <w:sz w:val="32"/>
          <w:szCs w:val="32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</w:rPr>
        <w:t>　　（一）收归房产管理部门直管，按租赁制处理，单位所投资金折抵房租。</w:t>
      </w:r>
      <w:r>
        <w:rPr>
          <w:rFonts w:hint="eastAsia" w:ascii="仿宋_GB2312" w:hAnsi="仿宋_GB2312" w:eastAsia="仿宋_GB2312" w:cs="仿宋_GB2312"/>
          <w:sz w:val="32"/>
          <w:szCs w:val="32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</w:rPr>
        <w:t>　　（二）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扩建单位要扩建部分房产所有权的，同时应当缴纳使用拨用房产重置费，原拨用房产和扩建部分房产所有权归扩建单位所有。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经批准改变用途的拨用房产，由房产管理部门收归直管，实行租赁制。</w:t>
      </w:r>
    </w:p>
    <w:p>
      <w:pPr>
        <w:widowControl/>
        <w:shd w:val="clear" w:color="auto" w:fill="FFFFFF"/>
        <w:spacing w:line="360" w:lineRule="atLeas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11"/>
          <w:rFonts w:hint="eastAsia" w:ascii="黑体" w:hAnsi="黑体" w:eastAsia="黑体" w:cs="黑体"/>
          <w:sz w:val="32"/>
          <w:szCs w:val="32"/>
        </w:rPr>
        <w:t>第十二条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用房单位拆除拨用房产的，应报经拨用房产管理部门批准。</w:t>
      </w:r>
      <w:r>
        <w:rPr>
          <w:rFonts w:hint="eastAsia" w:ascii="仿宋_GB2312" w:hAnsi="仿宋_GB2312" w:eastAsia="仿宋_GB2312" w:cs="仿宋_GB2312"/>
          <w:sz w:val="32"/>
          <w:szCs w:val="32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经批准拆除的拨用房产，新建房产所有权归政府所有，房产管理部门收回直管，按租赁制处理；经批准房产所有权归用房单位的，用房单位应缴纳原使用拨用房产重置费。</w:t>
      </w:r>
      <w:r>
        <w:rPr>
          <w:rFonts w:hint="eastAsia" w:ascii="仿宋_GB2312" w:hAnsi="仿宋_GB2312" w:eastAsia="仿宋_GB2312" w:cs="仿宋_GB2312"/>
          <w:sz w:val="32"/>
          <w:szCs w:val="32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经批准拆除拨用房产，新建房屋必须按上述规定办理，不得以其他房产抵换拨用房产。</w:t>
      </w:r>
    </w:p>
    <w:p>
      <w:pPr>
        <w:widowControl/>
        <w:shd w:val="clear" w:color="auto" w:fill="FFFFFF"/>
        <w:spacing w:line="360" w:lineRule="atLeas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11"/>
          <w:rFonts w:hint="eastAsia" w:ascii="黑体" w:hAnsi="黑体" w:eastAsia="黑体" w:cs="黑体"/>
          <w:sz w:val="32"/>
          <w:szCs w:val="32"/>
        </w:rPr>
        <w:t>第十三条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因城市建设需要拆除拨用房产的，新房建成后收归房产管理部门直管，实行租赁制。</w:t>
      </w:r>
    </w:p>
    <w:p>
      <w:pPr>
        <w:widowControl/>
        <w:shd w:val="clear" w:color="auto" w:fill="FFFFFF"/>
        <w:spacing w:line="360" w:lineRule="atLeas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11"/>
          <w:rFonts w:hint="eastAsia" w:ascii="黑体" w:hAnsi="黑体" w:eastAsia="黑体" w:cs="黑体"/>
          <w:sz w:val="32"/>
          <w:szCs w:val="32"/>
        </w:rPr>
        <w:t>第十四条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用房单位可以申请将使用的拨用房产交回或改为租赁制，但其交回的房产必须达到基本完好，未达到基本完好的，由用房单位负责维修或支付维修费用。</w:t>
      </w:r>
    </w:p>
    <w:p>
      <w:pPr>
        <w:widowControl/>
        <w:shd w:val="clear" w:color="auto" w:fill="FFFFFF"/>
        <w:spacing w:line="360" w:lineRule="atLeas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11"/>
          <w:rFonts w:hint="eastAsia" w:ascii="黑体" w:hAnsi="黑体" w:eastAsia="黑体" w:cs="黑体"/>
          <w:sz w:val="32"/>
          <w:szCs w:val="32"/>
        </w:rPr>
        <w:t>第十五条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拨用房产管理部门应加强拨用房产使用、维修的管理、监督、检查和指导，纠正用房单位违反规定使用房产的行为。</w:t>
      </w:r>
    </w:p>
    <w:p>
      <w:pPr>
        <w:widowControl/>
        <w:shd w:val="clear" w:color="auto" w:fill="FFFFFF"/>
        <w:spacing w:line="360" w:lineRule="atLeast"/>
        <w:ind w:firstLine="640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Style w:val="11"/>
          <w:rFonts w:hint="eastAsia" w:ascii="黑体" w:hAnsi="黑体" w:eastAsia="黑体" w:cs="黑体"/>
          <w:sz w:val="32"/>
          <w:szCs w:val="32"/>
        </w:rPr>
        <w:t>第十六条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用房单位应按年缴纳拨用房产管理费。管理费及收取标准依照物价管理审批权限报请批准后执行。</w:t>
      </w:r>
    </w:p>
    <w:p>
      <w:pPr>
        <w:pStyle w:val="3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第四章 罚则</w:t>
      </w:r>
    </w:p>
    <w:p>
      <w:pPr>
        <w:widowControl/>
        <w:shd w:val="clear" w:color="auto" w:fill="FFFFFF"/>
        <w:spacing w:line="360" w:lineRule="atLeas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11"/>
          <w:rFonts w:hint="eastAsia" w:ascii="黑体" w:hAnsi="黑体" w:eastAsia="黑体" w:cs="黑体"/>
          <w:sz w:val="32"/>
          <w:szCs w:val="32"/>
        </w:rPr>
        <w:t>第十七条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用房单位违反本办法第五条规定，逾期不申请登记的，由房产所在地拨用房产管理部门收回房产或按租赁制处理。</w:t>
      </w:r>
    </w:p>
    <w:p>
      <w:pPr>
        <w:widowControl/>
        <w:shd w:val="clear" w:color="auto" w:fill="FFFFFF"/>
        <w:spacing w:line="360" w:lineRule="atLeas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11"/>
          <w:rFonts w:hint="eastAsia" w:ascii="黑体" w:hAnsi="黑体" w:eastAsia="黑体" w:cs="黑体"/>
          <w:sz w:val="32"/>
          <w:szCs w:val="32"/>
        </w:rPr>
        <w:t>第十八条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违反本办法第九条第（一）、（三）项规定，将拨用房产全部转租、转让、交换、改变使用用途的，除没收非法所得外，并收回房屋使用权；将拨用房产部分转租、转让、交换、改变使用用途的，除没收非法所得外，并对该部分房产自违法使用之日起，改为租赁制。</w:t>
      </w:r>
    </w:p>
    <w:p>
      <w:pPr>
        <w:widowControl/>
        <w:shd w:val="clear" w:color="auto" w:fill="FFFFFF"/>
        <w:spacing w:line="360" w:lineRule="atLeas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11"/>
          <w:rFonts w:hint="eastAsia" w:ascii="黑体" w:hAnsi="黑体" w:eastAsia="黑体" w:cs="黑体"/>
          <w:sz w:val="32"/>
          <w:szCs w:val="32"/>
        </w:rPr>
        <w:t>第十九条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违反本办法第九条第（一）项规定，非法出卖拨用房产的，除没收非法所得，收回房屋使用权外，并对直接责任者和主管领导人员处以20元以上100元以下的罚款。</w:t>
      </w:r>
    </w:p>
    <w:p>
      <w:pPr>
        <w:widowControl/>
        <w:shd w:val="clear" w:color="auto" w:fill="FFFFFF"/>
        <w:spacing w:line="360" w:lineRule="atLeas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11"/>
          <w:rFonts w:hint="eastAsia" w:ascii="黑体" w:hAnsi="黑体" w:eastAsia="黑体" w:cs="黑体"/>
          <w:sz w:val="32"/>
          <w:szCs w:val="32"/>
        </w:rPr>
        <w:t>第二十条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违反本办法第九条第（二）项、第十一条第一款和第十二条规定，未经批准拆除拨用房产的，除责令单位进行赔偿，收回房屋使用权外，并对直接责任者和主管领导人员处以20元以上100元以下的罚款；未经批准改建拨用房产的，责令使用单位赔偿损失；擅自扩建的，其扩建部分房产产权收归国有。</w:t>
      </w:r>
    </w:p>
    <w:p>
      <w:pPr>
        <w:widowControl/>
        <w:shd w:val="clear" w:color="auto" w:fill="FFFFFF"/>
        <w:spacing w:line="360" w:lineRule="atLeast"/>
        <w:ind w:firstLine="640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Style w:val="11"/>
          <w:rFonts w:hint="eastAsia" w:ascii="黑体" w:hAnsi="黑体" w:eastAsia="黑体" w:cs="黑体"/>
          <w:sz w:val="32"/>
          <w:szCs w:val="32"/>
        </w:rPr>
        <w:t>第二十一条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违反本办法第九条第（四）项规定，用房单位放弃房产管理的，收回房屋使用权。因弃管造成的他人人身、财产伤亡损失的，由弃管单位承担法律责任。</w:t>
      </w:r>
    </w:p>
    <w:p>
      <w:pPr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tLeas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11"/>
          <w:rFonts w:hint="eastAsia" w:ascii="黑体" w:hAnsi="黑体" w:eastAsia="黑体" w:cs="黑体"/>
          <w:sz w:val="32"/>
          <w:szCs w:val="32"/>
        </w:rPr>
        <w:t>第二十二条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凡因收回房屋使用权而缴回的拨用房产必须达到基本完好，未达到基本完好的，由原用房单位负责维修或支付维修费用。</w:t>
      </w:r>
    </w:p>
    <w:p>
      <w:pPr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tLeast"/>
        <w:jc w:val="center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第五章 附则</w:t>
      </w:r>
    </w:p>
    <w:p>
      <w:pPr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tLeas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11"/>
          <w:rFonts w:hint="eastAsia" w:ascii="黑体" w:hAnsi="黑体" w:eastAsia="黑体" w:cs="黑体"/>
          <w:sz w:val="32"/>
          <w:szCs w:val="32"/>
        </w:rPr>
        <w:t>第二十三条</w:t>
      </w:r>
      <w:r>
        <w:rPr>
          <w:rStyle w:val="11"/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市住房保障和房屋管理部门应当于每年年底前</w:t>
      </w:r>
    </w:p>
    <w:p>
      <w:pPr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tLeas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向</w:t>
      </w:r>
      <w:bookmarkStart w:id="1" w:name="_GoBack"/>
      <w:bookmarkEnd w:id="1"/>
      <w:r>
        <w:rPr>
          <w:rFonts w:hint="eastAsia" w:ascii="仿宋_GB2312" w:hAnsi="仿宋_GB2312" w:eastAsia="仿宋_GB2312" w:cs="仿宋_GB2312"/>
          <w:sz w:val="32"/>
          <w:szCs w:val="32"/>
        </w:rPr>
        <w:t>市国有资产监督管理部门报送全市拨用房产使用变动情况表。</w:t>
      </w:r>
    </w:p>
    <w:p>
      <w:pPr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tLeas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Style w:val="11"/>
          <w:rFonts w:hint="eastAsia" w:ascii="黑体" w:hAnsi="黑体" w:eastAsia="黑体" w:cs="黑体"/>
          <w:sz w:val="32"/>
          <w:szCs w:val="32"/>
        </w:rPr>
        <w:t>第二十四条</w:t>
      </w:r>
      <w:r>
        <w:rPr>
          <w:rFonts w:hint="eastAsia" w:ascii="黑体" w:hAnsi="黑体" w:eastAsia="黑体" w:cs="黑体"/>
          <w:kern w:val="0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本办法自公布之日起施行。</w:t>
      </w:r>
    </w:p>
    <w:p>
      <w:pPr>
        <w:pStyle w:val="8"/>
        <w:spacing w:line="360" w:lineRule="atLeas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962" w:right="1474" w:bottom="1848" w:left="1587" w:header="851" w:footer="992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琥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宋体-方正超大字符集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简行楷_0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中楷繁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书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繁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卡通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left="4788" w:leftChars="2280" w:firstLine="6400" w:firstLineChars="2000"/>
      <w:rPr>
        <w:rFonts w:hint="eastAsia" w:eastAsia="仿宋"/>
        <w:sz w:val="32"/>
        <w:szCs w:val="48"/>
        <w:lang w:val="en-US" w:eastAsia="zh-CN"/>
      </w:rPr>
    </w:pPr>
    <w:r>
      <w:rPr>
        <w:sz w:val="32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2336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BYAAABkcnMvUEsBAhQAFAAAAAgAh07iQLNJWO7Q&#10;AAAABQEAAA8AAAAAAAAAAQAgAAAAOAAAAGRycy9kb3ducmV2LnhtbFBLAQIUABQAAAAIAIdO4kDm&#10;yYHKEgIAABMEAAAOAAAAAAAAAAEAIAAAADUBAABkcnMvZTJvRG9jLnhtbFBLBQYAAAAABgAGAFkB&#10;AAC5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 w:eastAsia="仿宋"/>
        <w:sz w:val="32"/>
        <w:szCs w:val="48"/>
        <w:lang w:val="en-US" w:eastAsia="zh-CN"/>
      </w:rPr>
      <w:t xml:space="preserve">  </w:t>
    </w:r>
  </w:p>
  <w:p>
    <w:pPr>
      <w:pStyle w:val="7"/>
      <w:wordWrap w:val="0"/>
      <w:ind w:left="4788" w:leftChars="2280" w:firstLine="6400" w:firstLineChars="2000"/>
      <w:jc w:val="right"/>
      <w:rPr>
        <w:rFonts w:hint="eastAsia" w:ascii="宋体" w:hAnsi="宋体" w:eastAsia="宋体" w:cs="宋体"/>
        <w:b/>
        <w:bCs/>
        <w:color w:val="005192"/>
        <w:sz w:val="28"/>
        <w:szCs w:val="44"/>
        <w:lang w:val="en-US" w:eastAsia="zh-CN"/>
      </w:rPr>
    </w:pPr>
    <w:r>
      <w:rPr>
        <w:color w:val="FAFAFA"/>
        <w:sz w:val="32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74295</wp:posOffset>
              </wp:positionV>
              <wp:extent cx="5616575" cy="1905"/>
              <wp:effectExtent l="0" t="10795" r="3175" b="15875"/>
              <wp:wrapNone/>
              <wp:docPr id="5" name="直接连接符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616575" cy="1905"/>
                      </a:xfrm>
                      <a:prstGeom prst="line">
                        <a:avLst/>
                      </a:prstGeom>
                      <a:ln w="22225">
                        <a:solidFill>
                          <a:srgbClr val="00519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left:0pt;margin-top:5.85pt;height:0.15pt;width:442.25pt;z-index:251661312;mso-width-relative:page;mso-height-relative:page;" filled="f" stroked="t" coordsize="21600,21600" o:gfxdata="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WAAAAZHJzL1BLAQIUABQAAAAIAIdO4kDzp6XR1AAAAAYBAAAP&#10;AAAAAAAAAAEAIAAAADgAAABkcnMvZG93bnJldi54bWxQSwECFAAUAAAACACHTuJArqM64M0BAABn&#10;AwAADgAAAAAAAAABACAAAAA5AQAAZHJzL2Uyb0RvYy54bWxQSwUGAAAAAAYABgBZAQAAeAUAAAAA&#10;">
              <v:fill on="f" focussize="0,0"/>
              <v:stroke weight="1.75pt" color="#005192 [3204]" miterlimit="8" joinstyle="miter"/>
              <v:imagedata o:title=""/>
              <o:lock v:ext="edit" aspectratio="f"/>
            </v:line>
          </w:pict>
        </mc:Fallback>
      </mc:AlternateContent>
    </w:r>
    <w:r>
      <w:rPr>
        <w:rFonts w:hint="eastAsia"/>
        <w:color w:val="FAFAFA"/>
        <w:sz w:val="32"/>
        <w:lang w:eastAsia="zh-CN"/>
      </w:rPr>
      <w:t>长春市长</w:t>
    </w:r>
    <w:r>
      <w:rPr>
        <w:rFonts w:hint="eastAsia"/>
        <w:color w:val="FAFAFA"/>
        <w:sz w:val="32"/>
        <w:lang w:val="en-US" w:eastAsia="zh-CN"/>
      </w:rPr>
      <w:t xml:space="preserve"> </w:t>
    </w:r>
    <w:r>
      <w:rPr>
        <w:rFonts w:hint="eastAsia" w:ascii="宋体" w:hAnsi="宋体" w:eastAsia="宋体" w:cs="宋体"/>
        <w:b/>
        <w:bCs/>
        <w:color w:val="005192"/>
        <w:sz w:val="28"/>
        <w:szCs w:val="44"/>
        <w:lang w:val="en-US" w:eastAsia="zh-CN"/>
      </w:rPr>
      <w:t xml:space="preserve">长春市人民政府发布     </w:t>
    </w:r>
  </w:p>
  <w:p>
    <w:pPr>
      <w:pStyle w:val="7"/>
      <w:wordWrap w:val="0"/>
      <w:ind w:left="4788" w:leftChars="2280" w:firstLine="5621" w:firstLineChars="2000"/>
      <w:jc w:val="right"/>
      <w:rPr>
        <w:rFonts w:hint="eastAsia" w:ascii="宋体" w:hAnsi="宋体" w:eastAsia="宋体" w:cs="宋体"/>
        <w:b/>
        <w:bCs/>
        <w:color w:val="005192"/>
        <w:sz w:val="28"/>
        <w:szCs w:val="44"/>
        <w:lang w:val="en-US"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napToGrid w:val="0"/>
      <w:textAlignment w:val="center"/>
      <w:rPr>
        <w:rFonts w:hint="eastAsia" w:ascii="宋体" w:hAnsi="宋体" w:eastAsia="宋体" w:cs="宋体"/>
        <w:b/>
        <w:bCs/>
        <w:color w:val="005192"/>
        <w:sz w:val="32"/>
      </w:rPr>
    </w:pPr>
    <w:r>
      <w:rPr>
        <w:rFonts w:hint="eastAsia" w:ascii="宋体" w:hAnsi="宋体" w:eastAsia="宋体" w:cs="宋体"/>
        <w:b/>
        <w:bCs/>
        <w:color w:val="005192"/>
        <w:sz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-3810</wp:posOffset>
              </wp:positionH>
              <wp:positionV relativeFrom="paragraph">
                <wp:posOffset>690245</wp:posOffset>
              </wp:positionV>
              <wp:extent cx="5620385" cy="0"/>
              <wp:effectExtent l="0" t="12700" r="18415" b="15875"/>
              <wp:wrapNone/>
              <wp:docPr id="4" name="直接连接符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4133850" y="864870"/>
                        <a:ext cx="5620385" cy="0"/>
                      </a:xfrm>
                      <a:prstGeom prst="line">
                        <a:avLst/>
                      </a:prstGeom>
                      <a:ln w="22225">
                        <a:solidFill>
                          <a:srgbClr val="00519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left:-0.3pt;margin-top:54.35pt;height:0pt;width:442.55pt;z-index:251660288;mso-width-relative:page;mso-height-relative:page;" filled="f" stroked="t" coordsize="21600,21600" o:gfxdata="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BYAAABkcnMvUEsBAhQAFAAAAAgAh07iQNRH&#10;QNbVAAAACQEAAA8AAAAAAAAAAQAgAAAAOAAAAGRycy9kb3ducmV2LnhtbFBLAQIUABQAAAAIAIdO&#10;4kDj7jEZ1wEAAG8DAAAOAAAAAAAAAAEAIAAAADoBAABkcnMvZTJvRG9jLnhtbFBLBQYAAAAABgAG&#10;AFkBAACDBQAAAAA=&#10;">
              <v:fill on="f" focussize="0,0"/>
              <v:stroke weight="1.75pt" color="#005192 [3204]" miterlimit="8" joinstyle="miter"/>
              <v:imagedata o:title=""/>
              <o:lock v:ext="edit" aspectratio="f"/>
            </v:line>
          </w:pict>
        </mc:Fallback>
      </mc:AlternateContent>
    </w:r>
  </w:p>
  <w:p>
    <w:pPr>
      <w:pStyle w:val="7"/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napToGrid w:val="0"/>
      <w:textAlignment w:val="center"/>
      <w:rPr>
        <w:rFonts w:hint="eastAsia" w:ascii="宋体" w:hAnsi="宋体" w:eastAsia="宋体" w:cs="宋体"/>
        <w:b/>
        <w:bCs/>
        <w:color w:val="005192"/>
        <w:sz w:val="32"/>
        <w:szCs w:val="32"/>
        <w:lang w:val="en-US" w:eastAsia="zh-CN"/>
      </w:rPr>
    </w:pPr>
    <w:r>
      <w:rPr>
        <w:rFonts w:hint="eastAsia" w:ascii="宋体" w:hAnsi="宋体" w:eastAsia="宋体" w:cs="宋体"/>
        <w:b/>
        <w:bCs/>
        <w:color w:val="005192"/>
        <w:sz w:val="32"/>
      </w:rPr>
      <w:drawing>
        <wp:inline distT="0" distB="0" distL="114300" distR="114300">
          <wp:extent cx="308610" cy="308610"/>
          <wp:effectExtent l="0" t="0" r="11430" b="11430"/>
          <wp:docPr id="6" name="图片 6" descr="国徽10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6" descr="国徽1024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08610" cy="308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 w:ascii="宋体" w:hAnsi="宋体" w:eastAsia="宋体" w:cs="宋体"/>
        <w:b/>
        <w:bCs/>
        <w:color w:val="005192"/>
        <w:sz w:val="32"/>
        <w:lang w:eastAsia="zh-CN"/>
      </w:rPr>
      <w:t>长春市人民政府</w:t>
    </w:r>
    <w:r>
      <w:rPr>
        <w:rFonts w:hint="eastAsia" w:ascii="宋体" w:hAnsi="宋体" w:eastAsia="宋体" w:cs="宋体"/>
        <w:b/>
        <w:bCs/>
        <w:color w:val="005192"/>
        <w:sz w:val="32"/>
        <w:szCs w:val="32"/>
        <w:lang w:val="en-US" w:eastAsia="zh-CN"/>
      </w:rPr>
      <w:t>规章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19E71BD"/>
    <w:rsid w:val="04B679C3"/>
    <w:rsid w:val="080F63D8"/>
    <w:rsid w:val="09341458"/>
    <w:rsid w:val="0B0912D7"/>
    <w:rsid w:val="152D2DCA"/>
    <w:rsid w:val="17FF1473"/>
    <w:rsid w:val="1DEC284C"/>
    <w:rsid w:val="1E6523AC"/>
    <w:rsid w:val="22440422"/>
    <w:rsid w:val="31A15F24"/>
    <w:rsid w:val="395347B5"/>
    <w:rsid w:val="39A232A0"/>
    <w:rsid w:val="39E745AA"/>
    <w:rsid w:val="3B5A6BBB"/>
    <w:rsid w:val="3BFFD238"/>
    <w:rsid w:val="3EDA13A6"/>
    <w:rsid w:val="42F058B7"/>
    <w:rsid w:val="436109F6"/>
    <w:rsid w:val="441A38D4"/>
    <w:rsid w:val="4BC77339"/>
    <w:rsid w:val="4C9236C5"/>
    <w:rsid w:val="505C172E"/>
    <w:rsid w:val="52F46F0B"/>
    <w:rsid w:val="53D8014D"/>
    <w:rsid w:val="55E064E0"/>
    <w:rsid w:val="572C6D10"/>
    <w:rsid w:val="5DC34279"/>
    <w:rsid w:val="608816D1"/>
    <w:rsid w:val="60EF4E7F"/>
    <w:rsid w:val="665233C1"/>
    <w:rsid w:val="6AD9688B"/>
    <w:rsid w:val="6D0E3F22"/>
    <w:rsid w:val="7C9011D9"/>
    <w:rsid w:val="7DC651C5"/>
    <w:rsid w:val="7FCC2834"/>
    <w:rsid w:val="BFEDC69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00" w:after="300" w:line="440" w:lineRule="exact"/>
      <w:jc w:val="center"/>
      <w:outlineLvl w:val="0"/>
    </w:pPr>
    <w:rPr>
      <w:rFonts w:ascii="仿宋_GB2312" w:hAnsi="华文中宋" w:eastAsia="方正小标宋简体"/>
      <w:bCs/>
      <w:spacing w:val="10"/>
      <w:kern w:val="44"/>
      <w:sz w:val="30"/>
      <w:szCs w:val="21"/>
    </w:rPr>
  </w:style>
  <w:style w:type="paragraph" w:styleId="3">
    <w:name w:val="heading 2"/>
    <w:basedOn w:val="1"/>
    <w:next w:val="1"/>
    <w:link w:val="12"/>
    <w:unhideWhenUsed/>
    <w:qFormat/>
    <w:uiPriority w:val="0"/>
    <w:pPr>
      <w:keepNext/>
      <w:keepLines/>
      <w:spacing w:before="300" w:after="300" w:line="300" w:lineRule="exact"/>
      <w:jc w:val="center"/>
      <w:outlineLvl w:val="1"/>
    </w:pPr>
    <w:rPr>
      <w:rFonts w:eastAsia="黑体" w:asciiTheme="minorEastAsia" w:hAnsiTheme="minorEastAsia" w:cstheme="majorBidi"/>
      <w:bCs/>
      <w:sz w:val="24"/>
      <w:szCs w:val="24"/>
    </w:rPr>
  </w:style>
  <w:style w:type="paragraph" w:styleId="4">
    <w:name w:val="heading 3"/>
    <w:basedOn w:val="1"/>
    <w:next w:val="1"/>
    <w:link w:val="11"/>
    <w:unhideWhenUsed/>
    <w:qFormat/>
    <w:uiPriority w:val="0"/>
    <w:pPr>
      <w:keepNext/>
      <w:keepLines/>
      <w:spacing w:before="260" w:after="260" w:line="416" w:lineRule="auto"/>
      <w:outlineLvl w:val="2"/>
    </w:pPr>
    <w:rPr>
      <w:rFonts w:eastAsia="黑体"/>
      <w:bCs/>
      <w:sz w:val="24"/>
      <w:szCs w:val="32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qFormat/>
    <w:uiPriority w:val="0"/>
    <w:rPr>
      <w:sz w:val="24"/>
      <w:szCs w:val="24"/>
    </w:rPr>
  </w:style>
  <w:style w:type="character" w:customStyle="1" w:styleId="11">
    <w:name w:val="标题 3 Char"/>
    <w:basedOn w:val="10"/>
    <w:link w:val="4"/>
    <w:qFormat/>
    <w:uiPriority w:val="0"/>
    <w:rPr>
      <w:rFonts w:eastAsia="黑体"/>
      <w:bCs/>
      <w:sz w:val="24"/>
      <w:szCs w:val="32"/>
    </w:rPr>
  </w:style>
  <w:style w:type="character" w:customStyle="1" w:styleId="12">
    <w:name w:val="标题 2 Char"/>
    <w:basedOn w:val="10"/>
    <w:link w:val="3"/>
    <w:qFormat/>
    <w:uiPriority w:val="0"/>
    <w:rPr>
      <w:rFonts w:eastAsia="黑体" w:asciiTheme="minorEastAsia" w:hAnsiTheme="minorEastAsia" w:cstheme="majorBidi"/>
      <w:bCs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3555</Words>
  <Characters>3569</Characters>
  <Lines>1</Lines>
  <Paragraphs>1</Paragraphs>
  <TotalTime>0</TotalTime>
  <ScaleCrop>false</ScaleCrop>
  <LinksUpToDate>false</LinksUpToDate>
  <CharactersWithSpaces>3798</CharactersWithSpaces>
  <Application>WPS Office_11.8.2.9339_F1E327BC-269C-435d-A152-05C5408002CA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2021-09-09T18:41:00Z</dcterms:created>
  <dc:creator>t</dc:creator>
  <cp:lastModifiedBy>政长通客服</cp:lastModifiedBy>
  <cp:lastPrinted>2021-10-26T19:30:00Z</cp:lastPrinted>
  <dcterms:modified xsi:type="dcterms:W3CDTF">2024-12-23T10:21:38Z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2052-11.8.2.9339</vt:lpwstr>
  </property>
  <property fmtid="{D5CDD505-2E9C-101B-9397-08002B2CF9AE}" pid="3" name="ICV">
    <vt:lpwstr>48C61CB29D3F4D9384F5922CF0F7FFB4</vt:lpwstr>
  </property>
</Properties>
</file>