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bidi w:val="0"/>
        <w:jc w:val="center"/>
        <w:rPr>
          <w:rFonts w:hint="eastAsia" w:ascii="宋体" w:hAnsi="宋体" w:eastAsia="宋体" w:cs="宋体"/>
          <w:b w:val="0"/>
          <w:bCs w:val="0"/>
          <w:sz w:val="44"/>
          <w:szCs w:val="44"/>
          <w:lang w:val="en-US" w:eastAsia="zh-CN"/>
        </w:rPr>
      </w:pPr>
    </w:p>
    <w:p>
      <w:pPr>
        <w:bidi w:val="0"/>
        <w:jc w:val="both"/>
        <w:rPr>
          <w:rFonts w:hint="eastAsia" w:ascii="宋体" w:hAnsi="宋体" w:eastAsia="宋体" w:cs="宋体"/>
          <w:b w:val="0"/>
          <w:bCs w:val="0"/>
          <w:sz w:val="44"/>
          <w:szCs w:val="44"/>
          <w:lang w:val="en-US" w:eastAsia="zh-CN"/>
        </w:rPr>
      </w:pPr>
    </w:p>
    <w:p>
      <w:pPr>
        <w:pStyle w:val="2"/>
        <w:rPr>
          <w:rFonts w:hint="eastAsia" w:asciiTheme="minorEastAsia" w:hAnsiTheme="minorEastAsia" w:eastAsiaTheme="minorEastAsia" w:cstheme="minorEastAsia"/>
          <w:sz w:val="44"/>
          <w:szCs w:val="44"/>
        </w:rPr>
      </w:pPr>
      <w:bookmarkStart w:id="0" w:name="_Toc8512"/>
      <w:r>
        <w:rPr>
          <w:rFonts w:hint="eastAsia" w:asciiTheme="minorEastAsia" w:hAnsiTheme="minorEastAsia" w:eastAsiaTheme="minorEastAsia" w:cstheme="minorEastAsia"/>
          <w:sz w:val="44"/>
          <w:szCs w:val="44"/>
        </w:rPr>
        <w:t>长春市</w:t>
      </w:r>
      <w:bookmarkStart w:id="1" w:name="_GoBack"/>
      <w:r>
        <w:rPr>
          <w:rFonts w:hint="eastAsia" w:asciiTheme="minorEastAsia" w:hAnsiTheme="minorEastAsia" w:eastAsiaTheme="minorEastAsia" w:cstheme="minorEastAsia"/>
          <w:sz w:val="44"/>
          <w:szCs w:val="44"/>
        </w:rPr>
        <w:t>政府投资建设项目审</w:t>
      </w:r>
      <w:bookmarkEnd w:id="1"/>
      <w:r>
        <w:rPr>
          <w:rFonts w:hint="eastAsia" w:asciiTheme="minorEastAsia" w:hAnsiTheme="minorEastAsia" w:eastAsiaTheme="minorEastAsia" w:cstheme="minorEastAsia"/>
          <w:sz w:val="44"/>
          <w:szCs w:val="44"/>
        </w:rPr>
        <w:t>计监督办法</w:t>
      </w:r>
      <w:bookmarkEnd w:id="0"/>
    </w:p>
    <w:p>
      <w:pPr>
        <w:spacing w:line="360" w:lineRule="atLeast"/>
        <w:ind w:firstLine="480" w:firstLineChars="200"/>
        <w:jc w:val="left"/>
        <w:rPr>
          <w:rFonts w:cs="Times New Roman" w:asciiTheme="minorEastAsia" w:hAnsiTheme="minorEastAsia"/>
          <w:sz w:val="24"/>
          <w:szCs w:val="24"/>
        </w:rPr>
      </w:pPr>
    </w:p>
    <w:p>
      <w:pPr>
        <w:spacing w:line="360" w:lineRule="atLeast"/>
        <w:ind w:firstLine="640" w:firstLineChars="200"/>
        <w:jc w:val="left"/>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（2018年12月30日长春市人民政府令第75号发布，</w:t>
      </w:r>
      <w:r>
        <w:rPr>
          <w:rFonts w:hint="eastAsia" w:ascii="楷体_GB2312" w:hAnsi="楷体_GB2312" w:eastAsia="楷体_GB2312" w:cs="楷体_GB2312"/>
          <w:kern w:val="0"/>
          <w:sz w:val="32"/>
          <w:szCs w:val="32"/>
        </w:rPr>
        <w:t xml:space="preserve">2020年10月21日市政府令第82号修改 </w:t>
      </w:r>
      <w:r>
        <w:rPr>
          <w:rFonts w:hint="eastAsia" w:ascii="楷体_GB2312" w:hAnsi="楷体_GB2312" w:eastAsia="楷体_GB2312" w:cs="楷体_GB2312"/>
          <w:sz w:val="32"/>
          <w:szCs w:val="32"/>
        </w:rPr>
        <w:t>自2019年2月1日起施行 ）</w:t>
      </w:r>
    </w:p>
    <w:p>
      <w:pPr>
        <w:pStyle w:val="9"/>
        <w:spacing w:line="360" w:lineRule="atLeast"/>
        <w:jc w:val="center"/>
        <w:rPr>
          <w:rFonts w:asciiTheme="minorEastAsia" w:hAnsiTheme="minorEastAsia"/>
          <w:shd w:val="clear" w:color="auto" w:fill="FFFFFF"/>
        </w:rPr>
      </w:pPr>
      <w:r>
        <w:rPr>
          <w:rFonts w:hint="eastAsia" w:asciiTheme="minorEastAsia" w:hAnsiTheme="minorEastAsia"/>
          <w:shd w:val="clear" w:color="auto" w:fill="FFFFFF"/>
        </w:rPr>
        <w:t> </w:t>
      </w:r>
    </w:p>
    <w:p>
      <w:pPr>
        <w:pStyle w:val="9"/>
        <w:keepNext w:val="0"/>
        <w:keepLines w:val="0"/>
        <w:pageBreakBefore w:val="0"/>
        <w:shd w:val="clear" w:color="auto" w:fill="FFFFFF"/>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5"/>
          <w:rFonts w:hint="eastAsia" w:ascii="黑体" w:hAnsi="黑体" w:eastAsia="黑体" w:cs="黑体"/>
          <w:sz w:val="32"/>
          <w:szCs w:val="32"/>
        </w:rPr>
        <w:t>第一条</w:t>
      </w:r>
      <w:r>
        <w:rPr>
          <w:rFonts w:hint="eastAsia" w:ascii="黑体" w:hAnsi="黑体" w:eastAsia="黑体" w:cs="黑体"/>
          <w:sz w:val="32"/>
          <w:szCs w:val="32"/>
        </w:rPr>
        <w:t xml:space="preserve"> </w:t>
      </w:r>
      <w:r>
        <w:rPr>
          <w:rFonts w:hint="eastAsia" w:ascii="仿宋_GB2312" w:hAnsi="仿宋_GB2312" w:eastAsia="仿宋_GB2312" w:cs="仿宋_GB2312"/>
          <w:sz w:val="32"/>
          <w:szCs w:val="32"/>
        </w:rPr>
        <w:t>为加强对政府投资建设项目的审计监督,规范政府投资行为，提高政府投资绩效，根据《中华人民共和国审计法》、《中华人民共和国审计法实施条例》等法律、法规的有关规定，结合本市实际，制定本办法。</w:t>
      </w:r>
    </w:p>
    <w:p>
      <w:pPr>
        <w:pStyle w:val="9"/>
        <w:keepNext w:val="0"/>
        <w:keepLines w:val="0"/>
        <w:pageBreakBefore w:val="0"/>
        <w:shd w:val="clear" w:color="auto" w:fill="FFFFFF"/>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5"/>
          <w:rFonts w:hint="eastAsia" w:ascii="黑体" w:hAnsi="黑体" w:eastAsia="黑体" w:cs="黑体"/>
          <w:sz w:val="32"/>
          <w:szCs w:val="32"/>
        </w:rPr>
        <w:t>第二条</w:t>
      </w:r>
      <w:r>
        <w:rPr>
          <w:rFonts w:hint="eastAsia" w:ascii="黑体" w:hAnsi="黑体" w:eastAsia="黑体" w:cs="黑体"/>
          <w:sz w:val="32"/>
          <w:szCs w:val="32"/>
        </w:rPr>
        <w:t xml:space="preserve"> </w:t>
      </w:r>
      <w:r>
        <w:rPr>
          <w:rFonts w:hint="eastAsia" w:ascii="仿宋_GB2312" w:hAnsi="仿宋_GB2312" w:eastAsia="仿宋_GB2312" w:cs="仿宋_GB2312"/>
          <w:sz w:val="32"/>
          <w:szCs w:val="32"/>
        </w:rPr>
        <w:t>本办法所称政府投资建设项目包括：</w:t>
      </w:r>
    </w:p>
    <w:p>
      <w:pPr>
        <w:pStyle w:val="9"/>
        <w:keepNext w:val="0"/>
        <w:keepLines w:val="0"/>
        <w:pageBreakBefore w:val="0"/>
        <w:shd w:val="clear" w:color="auto" w:fill="FFFFFF"/>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pacing w:val="6"/>
          <w:sz w:val="32"/>
          <w:szCs w:val="32"/>
        </w:rPr>
      </w:pPr>
      <w:r>
        <w:rPr>
          <w:rFonts w:hint="eastAsia" w:ascii="仿宋_GB2312" w:hAnsi="仿宋_GB2312" w:eastAsia="仿宋_GB2312" w:cs="仿宋_GB2312"/>
          <w:sz w:val="32"/>
          <w:szCs w:val="32"/>
        </w:rPr>
        <w:t>（一）</w:t>
      </w:r>
      <w:r>
        <w:rPr>
          <w:rFonts w:hint="eastAsia" w:ascii="仿宋_GB2312" w:hAnsi="仿宋_GB2312" w:eastAsia="仿宋_GB2312" w:cs="仿宋_GB2312"/>
          <w:spacing w:val="6"/>
          <w:sz w:val="32"/>
          <w:szCs w:val="32"/>
        </w:rPr>
        <w:t>使用财政预算资金、上级部门专项补助资金、地方政府债券资金等财政管理资金投资的工程建设项目；</w:t>
      </w:r>
    </w:p>
    <w:p>
      <w:pPr>
        <w:pStyle w:val="9"/>
        <w:keepNext w:val="0"/>
        <w:keepLines w:val="0"/>
        <w:pageBreakBefore w:val="0"/>
        <w:shd w:val="clear" w:color="auto" w:fill="FFFFFF"/>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pacing w:val="6"/>
          <w:sz w:val="32"/>
          <w:szCs w:val="32"/>
        </w:rPr>
      </w:pPr>
      <w:r>
        <w:rPr>
          <w:rFonts w:hint="eastAsia" w:ascii="仿宋_GB2312" w:hAnsi="仿宋_GB2312" w:eastAsia="仿宋_GB2312" w:cs="仿宋_GB2312"/>
          <w:sz w:val="32"/>
          <w:szCs w:val="32"/>
        </w:rPr>
        <w:t>（二）</w:t>
      </w:r>
      <w:r>
        <w:rPr>
          <w:rFonts w:hint="eastAsia" w:ascii="仿宋_GB2312" w:hAnsi="仿宋_GB2312" w:eastAsia="仿宋_GB2312" w:cs="仿宋_GB2312"/>
          <w:spacing w:val="6"/>
          <w:sz w:val="32"/>
          <w:szCs w:val="32"/>
        </w:rPr>
        <w:t>国有企业和国有资本占控股地位或者主导地位的企业投资的工程建设项目；</w:t>
      </w:r>
    </w:p>
    <w:p>
      <w:pPr>
        <w:pStyle w:val="9"/>
        <w:keepNext w:val="0"/>
        <w:keepLines w:val="0"/>
        <w:pageBreakBefore w:val="0"/>
        <w:shd w:val="clear" w:color="auto" w:fill="FFFFFF"/>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（三）政府与社会资本合作建设的公共工程建设项目；</w:t>
      </w:r>
    </w:p>
    <w:p>
      <w:pPr>
        <w:pStyle w:val="9"/>
        <w:keepNext w:val="0"/>
        <w:keepLines w:val="0"/>
        <w:pageBreakBefore w:val="0"/>
        <w:shd w:val="clear" w:color="auto" w:fill="FFFFFF"/>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（四）贯彻落实国家重大政策措施情况的工程建设项目；</w:t>
      </w:r>
    </w:p>
    <w:p>
      <w:pPr>
        <w:pStyle w:val="9"/>
        <w:keepNext w:val="0"/>
        <w:keepLines w:val="0"/>
        <w:pageBreakBefore w:val="0"/>
        <w:shd w:val="clear" w:color="auto" w:fill="FFFFFF"/>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（五）其他涉及国家战略和公共安全、重大社会公共利益的工程建设项目。</w:t>
      </w:r>
    </w:p>
    <w:p>
      <w:pPr>
        <w:pStyle w:val="9"/>
        <w:keepNext w:val="0"/>
        <w:keepLines w:val="0"/>
        <w:pageBreakBefore w:val="0"/>
        <w:shd w:val="clear" w:color="auto" w:fill="FFFFFF"/>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5"/>
          <w:rFonts w:hint="eastAsia" w:ascii="黑体" w:hAnsi="黑体" w:eastAsia="黑体" w:cs="黑体"/>
          <w:sz w:val="32"/>
          <w:szCs w:val="32"/>
        </w:rPr>
        <w:t>第三条</w:t>
      </w:r>
      <w:r>
        <w:rPr>
          <w:rFonts w:hint="eastAsia" w:ascii="仿宋_GB2312" w:hAnsi="仿宋_GB2312" w:eastAsia="仿宋_GB2312" w:cs="仿宋_GB2312"/>
          <w:sz w:val="32"/>
          <w:szCs w:val="32"/>
        </w:rPr>
        <w:t xml:space="preserve"> 市审计机关负责本级政府投资建设项目的审计监督工作。</w:t>
      </w:r>
    </w:p>
    <w:p>
      <w:pPr>
        <w:pStyle w:val="9"/>
        <w:keepNext w:val="0"/>
        <w:keepLines w:val="0"/>
        <w:pageBreakBefore w:val="0"/>
        <w:shd w:val="clear" w:color="auto" w:fill="FFFFFF"/>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县（市）、区审计机关按照审计管辖范围，做好政府投资建设项目的审计监督工作。</w:t>
      </w:r>
    </w:p>
    <w:p>
      <w:pPr>
        <w:pStyle w:val="9"/>
        <w:keepNext w:val="0"/>
        <w:keepLines w:val="0"/>
        <w:pageBreakBefore w:val="0"/>
        <w:shd w:val="clear" w:color="auto" w:fill="FFFFFF"/>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5"/>
          <w:rFonts w:hint="eastAsia" w:ascii="黑体" w:hAnsi="黑体" w:eastAsia="黑体" w:cs="黑体"/>
          <w:sz w:val="32"/>
          <w:szCs w:val="32"/>
        </w:rPr>
        <w:t>第四条</w:t>
      </w:r>
      <w:r>
        <w:rPr>
          <w:rFonts w:hint="eastAsia" w:ascii="仿宋_GB2312" w:hAnsi="仿宋_GB2312" w:eastAsia="仿宋_GB2312" w:cs="仿宋_GB2312"/>
          <w:sz w:val="32"/>
          <w:szCs w:val="32"/>
        </w:rPr>
        <w:t xml:space="preserve"> 与政府投资建设项目相关的部门和单位应当配合审计机关实施审计。</w:t>
      </w:r>
    </w:p>
    <w:p>
      <w:pPr>
        <w:pStyle w:val="9"/>
        <w:keepNext w:val="0"/>
        <w:keepLines w:val="0"/>
        <w:pageBreakBefore w:val="0"/>
        <w:shd w:val="clear" w:color="auto" w:fill="FFFFFF"/>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发展和改革、财政、建设、水务等有关主管部门和国有企业，应当将年度内政府投资建设项目的投资安排和预计完工项目情况抄送同级审计机关。</w:t>
      </w:r>
    </w:p>
    <w:p>
      <w:pPr>
        <w:pStyle w:val="9"/>
        <w:keepNext w:val="0"/>
        <w:keepLines w:val="0"/>
        <w:pageBreakBefore w:val="0"/>
        <w:shd w:val="clear" w:color="auto" w:fill="FFFFFF"/>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财政部门对政府投资建设项目进行投资评审的，应当在投资评审结束后，将评审结果抄送同级审计机关。</w:t>
      </w:r>
    </w:p>
    <w:p>
      <w:pPr>
        <w:pStyle w:val="9"/>
        <w:keepNext w:val="0"/>
        <w:keepLines w:val="0"/>
        <w:pageBreakBefore w:val="0"/>
        <w:shd w:val="clear" w:color="auto" w:fill="FFFFFF"/>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5"/>
          <w:rFonts w:hint="eastAsia" w:ascii="黑体" w:hAnsi="黑体" w:eastAsia="黑体" w:cs="黑体"/>
          <w:sz w:val="32"/>
          <w:szCs w:val="32"/>
        </w:rPr>
        <w:t>第五条</w:t>
      </w:r>
      <w:r>
        <w:rPr>
          <w:rStyle w:val="15"/>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rPr>
        <w:t>审计机关应当充分运用信息化手段开展政府投资建设项目审计工作，建立、完善信息管理平台，提高政府投资建设项目审计管理水平和效率。</w:t>
      </w:r>
    </w:p>
    <w:p>
      <w:pPr>
        <w:pStyle w:val="9"/>
        <w:keepNext w:val="0"/>
        <w:keepLines w:val="0"/>
        <w:pageBreakBefore w:val="0"/>
        <w:shd w:val="clear" w:color="auto" w:fill="FFFFFF"/>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发展和改革、财政和有关行业主管部门应当提高政府投资建设项目审批、建设工作的信息化水平，实现与审计机关的信息互通、交换和共享。</w:t>
      </w:r>
    </w:p>
    <w:p>
      <w:pPr>
        <w:pStyle w:val="9"/>
        <w:keepNext w:val="0"/>
        <w:keepLines w:val="0"/>
        <w:pageBreakBefore w:val="0"/>
        <w:shd w:val="clear" w:color="auto" w:fill="FFFFFF"/>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5"/>
          <w:rFonts w:hint="eastAsia" w:ascii="黑体" w:hAnsi="黑体" w:eastAsia="黑体" w:cs="黑体"/>
          <w:sz w:val="32"/>
          <w:szCs w:val="32"/>
        </w:rPr>
        <w:t>第六条</w:t>
      </w:r>
      <w:r>
        <w:rPr>
          <w:rFonts w:hint="eastAsia" w:ascii="仿宋_GB2312" w:hAnsi="仿宋_GB2312" w:eastAsia="仿宋_GB2312" w:cs="仿宋_GB2312"/>
          <w:sz w:val="32"/>
          <w:szCs w:val="32"/>
        </w:rPr>
        <w:t xml:space="preserve"> 审计机关应当根据法律、法规的规定，按照本级人民政府和上级审计机关的要求，确定年度政府投资建设项目审计工作重点，编制年度审计项目计划，报本级人民政府批准后，组织实施。</w:t>
      </w:r>
    </w:p>
    <w:p>
      <w:pPr>
        <w:pStyle w:val="9"/>
        <w:keepNext w:val="0"/>
        <w:keepLines w:val="0"/>
        <w:pageBreakBefore w:val="0"/>
        <w:shd w:val="clear" w:color="auto" w:fill="FFFFFF"/>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年度审计项目计划应当明确项目名称、被审计单位、审计时限等。</w:t>
      </w:r>
    </w:p>
    <w:p>
      <w:pPr>
        <w:pStyle w:val="9"/>
        <w:keepNext w:val="0"/>
        <w:keepLines w:val="0"/>
        <w:pageBreakBefore w:val="0"/>
        <w:shd w:val="clear" w:color="auto" w:fill="FFFFFF"/>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5"/>
          <w:rFonts w:hint="eastAsia" w:ascii="黑体" w:hAnsi="黑体" w:eastAsia="黑体" w:cs="黑体"/>
          <w:sz w:val="32"/>
          <w:szCs w:val="32"/>
        </w:rPr>
        <w:t>第七条</w:t>
      </w:r>
      <w:r>
        <w:rPr>
          <w:rFonts w:hint="eastAsia" w:ascii="仿宋_GB2312" w:hAnsi="仿宋_GB2312" w:eastAsia="仿宋_GB2312" w:cs="仿宋_GB2312"/>
          <w:sz w:val="32"/>
          <w:szCs w:val="32"/>
        </w:rPr>
        <w:t xml:space="preserve"> 审计机关依照有关法律规定的职权和程序，对政府投资建设项目独立行使审计监督权，不受其他行政机关、社会团体和个人的干涉。</w:t>
      </w:r>
    </w:p>
    <w:p>
      <w:pPr>
        <w:pStyle w:val="9"/>
        <w:keepNext w:val="0"/>
        <w:keepLines w:val="0"/>
        <w:pageBreakBefore w:val="0"/>
        <w:shd w:val="clear" w:color="auto" w:fill="FFFFFF"/>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任何单位和个人不得拒绝、阻碍审计机关依法对政府投资建设项目进行审计监督。</w:t>
      </w:r>
    </w:p>
    <w:p>
      <w:pPr>
        <w:pStyle w:val="9"/>
        <w:keepNext w:val="0"/>
        <w:keepLines w:val="0"/>
        <w:pageBreakBefore w:val="0"/>
        <w:shd w:val="clear" w:color="auto" w:fill="FFFFFF"/>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5"/>
          <w:rFonts w:hint="eastAsia" w:ascii="黑体" w:hAnsi="黑体" w:eastAsia="黑体" w:cs="黑体"/>
          <w:sz w:val="32"/>
          <w:szCs w:val="32"/>
        </w:rPr>
        <w:t>第八条</w:t>
      </w:r>
      <w:r>
        <w:rPr>
          <w:rFonts w:hint="eastAsia" w:ascii="仿宋_GB2312" w:hAnsi="仿宋_GB2312" w:eastAsia="仿宋_GB2312" w:cs="仿宋_GB2312"/>
          <w:sz w:val="32"/>
          <w:szCs w:val="32"/>
        </w:rPr>
        <w:t xml:space="preserve"> 审计机关对政府投资建设项目审计时，依照法定程序可以对直接有关的勘察、设计、施工、监理、采购、供货等单位取得建设项目资金的真实性、合法性进行调查。</w:t>
      </w:r>
    </w:p>
    <w:p>
      <w:pPr>
        <w:pStyle w:val="9"/>
        <w:keepNext w:val="0"/>
        <w:keepLines w:val="0"/>
        <w:pageBreakBefore w:val="0"/>
        <w:shd w:val="clear" w:color="auto" w:fill="FFFFFF"/>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5"/>
          <w:rFonts w:hint="eastAsia" w:ascii="黑体" w:hAnsi="黑体" w:eastAsia="黑体" w:cs="黑体"/>
          <w:sz w:val="32"/>
          <w:szCs w:val="32"/>
        </w:rPr>
        <w:t>第九条</w:t>
      </w:r>
      <w:r>
        <w:rPr>
          <w:rFonts w:hint="eastAsia" w:ascii="仿宋_GB2312" w:hAnsi="仿宋_GB2312" w:eastAsia="仿宋_GB2312" w:cs="仿宋_GB2312"/>
          <w:sz w:val="32"/>
          <w:szCs w:val="32"/>
        </w:rPr>
        <w:t xml:space="preserve"> 审计机关对政府投资建设项目及与政府投资建设项目有关的重要事项实施审计或者审计调查，具有下列权限：</w:t>
      </w:r>
    </w:p>
    <w:p>
      <w:pPr>
        <w:pStyle w:val="9"/>
        <w:keepNext w:val="0"/>
        <w:keepLines w:val="0"/>
        <w:pageBreakBefore w:val="0"/>
        <w:shd w:val="clear" w:color="auto" w:fill="FFFFFF"/>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（一）要求被审计单位提供相关文件资料、财务资料和电子数据等资料；</w:t>
      </w:r>
    </w:p>
    <w:p>
      <w:pPr>
        <w:pStyle w:val="9"/>
        <w:keepNext w:val="0"/>
        <w:keepLines w:val="0"/>
        <w:pageBreakBefore w:val="0"/>
        <w:shd w:val="clear" w:color="auto" w:fill="FFFFFF"/>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（二）检查被审计单位的有关文件资料、财务资料、合同、概（预）算、工程结算、竣工决算、工程监理资料和电子数据等资料；</w:t>
      </w:r>
    </w:p>
    <w:p>
      <w:pPr>
        <w:pStyle w:val="9"/>
        <w:keepNext w:val="0"/>
        <w:keepLines w:val="0"/>
        <w:pageBreakBefore w:val="0"/>
        <w:shd w:val="clear" w:color="auto" w:fill="FFFFFF"/>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（三）依法就审计事项的有关问题向相关单位和个人调查取证；</w:t>
      </w:r>
    </w:p>
    <w:p>
      <w:pPr>
        <w:pStyle w:val="9"/>
        <w:keepNext w:val="0"/>
        <w:keepLines w:val="0"/>
        <w:pageBreakBefore w:val="0"/>
        <w:shd w:val="clear" w:color="auto" w:fill="FFFFFF"/>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（四）法律、法规和规章规定的其他权限。</w:t>
      </w:r>
    </w:p>
    <w:p>
      <w:pPr>
        <w:pStyle w:val="9"/>
        <w:keepNext w:val="0"/>
        <w:keepLines w:val="0"/>
        <w:pageBreakBefore w:val="0"/>
        <w:shd w:val="clear" w:color="auto" w:fill="FFFFFF"/>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与政府投资建设项目直接有关的建设、勘察、设计、施工、监理、采购等单位，应当按照审计机关的要求提供有关资料，并对提供资料的真实性、完整性负责。</w:t>
      </w:r>
    </w:p>
    <w:p>
      <w:pPr>
        <w:pStyle w:val="9"/>
        <w:keepNext w:val="0"/>
        <w:keepLines w:val="0"/>
        <w:pageBreakBefore w:val="0"/>
        <w:shd w:val="clear" w:color="auto" w:fill="FFFFFF"/>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5"/>
          <w:rFonts w:hint="eastAsia" w:ascii="黑体" w:hAnsi="黑体" w:eastAsia="黑体" w:cs="黑体"/>
          <w:sz w:val="32"/>
          <w:szCs w:val="32"/>
        </w:rPr>
        <w:t>第十条</w:t>
      </w:r>
      <w:r>
        <w:rPr>
          <w:rFonts w:hint="eastAsia" w:ascii="仿宋_GB2312" w:hAnsi="仿宋_GB2312" w:eastAsia="仿宋_GB2312" w:cs="仿宋_GB2312"/>
          <w:sz w:val="32"/>
          <w:szCs w:val="32"/>
        </w:rPr>
        <w:t xml:space="preserve"> 对于投资规模大、建设周期长的政府投资建设项目，经本级人民政府同意，审计机关可以对其实施全过程跟踪审计，也可以进行阶段审计、不定期审计、专项审计或者专项审计调查。</w:t>
      </w:r>
    </w:p>
    <w:p>
      <w:pPr>
        <w:pStyle w:val="9"/>
        <w:keepNext w:val="0"/>
        <w:keepLines w:val="0"/>
        <w:pageBreakBefore w:val="0"/>
        <w:shd w:val="clear" w:color="auto" w:fill="FFFFFF"/>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5"/>
          <w:rFonts w:hint="eastAsia" w:ascii="黑体" w:hAnsi="黑体" w:eastAsia="黑体" w:cs="黑体"/>
          <w:sz w:val="32"/>
          <w:szCs w:val="32"/>
        </w:rPr>
        <w:t>第十一条</w:t>
      </w:r>
      <w:r>
        <w:rPr>
          <w:rFonts w:hint="eastAsia" w:ascii="仿宋_GB2312" w:hAnsi="仿宋_GB2312" w:eastAsia="仿宋_GB2312" w:cs="仿宋_GB2312"/>
          <w:sz w:val="32"/>
          <w:szCs w:val="32"/>
        </w:rPr>
        <w:t xml:space="preserve"> 审计机关审计政府投资建设项目，可以聘请社会审计机构和具有与审计事项相关专业知识的人员参加。</w:t>
      </w:r>
    </w:p>
    <w:p>
      <w:pPr>
        <w:pStyle w:val="9"/>
        <w:keepNext w:val="0"/>
        <w:keepLines w:val="0"/>
        <w:pageBreakBefore w:val="0"/>
        <w:shd w:val="clear" w:color="auto" w:fill="FFFFFF"/>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审计机关应当加强对聘请机构和人员的监督管理。</w:t>
      </w:r>
    </w:p>
    <w:p>
      <w:pPr>
        <w:pStyle w:val="9"/>
        <w:keepNext w:val="0"/>
        <w:keepLines w:val="0"/>
        <w:pageBreakBefore w:val="0"/>
        <w:shd w:val="clear" w:color="auto" w:fill="FFFFFF"/>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5"/>
          <w:rFonts w:hint="eastAsia" w:ascii="黑体" w:hAnsi="黑体" w:eastAsia="黑体" w:cs="黑体"/>
          <w:sz w:val="32"/>
          <w:szCs w:val="32"/>
        </w:rPr>
        <w:t>第十二条</w:t>
      </w:r>
      <w:r>
        <w:rPr>
          <w:rFonts w:hint="eastAsia" w:ascii="黑体" w:hAnsi="黑体" w:eastAsia="黑体" w:cs="黑体"/>
          <w:sz w:val="32"/>
          <w:szCs w:val="32"/>
        </w:rPr>
        <w:t xml:space="preserve"> </w:t>
      </w:r>
      <w:r>
        <w:rPr>
          <w:rFonts w:hint="eastAsia" w:ascii="仿宋_GB2312" w:hAnsi="仿宋_GB2312" w:eastAsia="仿宋_GB2312" w:cs="仿宋_GB2312"/>
          <w:sz w:val="32"/>
          <w:szCs w:val="32"/>
        </w:rPr>
        <w:t>审计机关聘请的社会审计机构和相关专业人员，对政府投资建设项目审计所必需经费，应当列入财政预算，由本级人民政府予以保障。</w:t>
      </w:r>
    </w:p>
    <w:p>
      <w:pPr>
        <w:pStyle w:val="9"/>
        <w:keepNext w:val="0"/>
        <w:keepLines w:val="0"/>
        <w:pageBreakBefore w:val="0"/>
        <w:shd w:val="clear" w:color="auto" w:fill="FFFFFF"/>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5"/>
          <w:rFonts w:hint="eastAsia" w:ascii="黑体" w:hAnsi="黑体" w:eastAsia="黑体" w:cs="黑体"/>
          <w:sz w:val="32"/>
          <w:szCs w:val="32"/>
        </w:rPr>
        <w:t>第十三条</w:t>
      </w:r>
      <w:r>
        <w:rPr>
          <w:rFonts w:hint="eastAsia" w:ascii="仿宋_GB2312" w:hAnsi="仿宋_GB2312" w:eastAsia="仿宋_GB2312" w:cs="仿宋_GB2312"/>
          <w:sz w:val="32"/>
          <w:szCs w:val="32"/>
        </w:rPr>
        <w:t xml:space="preserve"> 审计机关进行政府投资建设项目审计或者专项审计调查时，有权对社会审计机构出具的建设项目工程造价审计报告进行核查。</w:t>
      </w:r>
    </w:p>
    <w:p>
      <w:pPr>
        <w:pStyle w:val="9"/>
        <w:keepNext w:val="0"/>
        <w:keepLines w:val="0"/>
        <w:pageBreakBefore w:val="0"/>
        <w:shd w:val="clear" w:color="auto" w:fill="FFFFFF"/>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5"/>
          <w:rFonts w:hint="eastAsia" w:ascii="黑体" w:hAnsi="黑体" w:eastAsia="黑体" w:cs="黑体"/>
          <w:sz w:val="32"/>
          <w:szCs w:val="32"/>
        </w:rPr>
        <w:t>第十四条</w:t>
      </w:r>
      <w:r>
        <w:rPr>
          <w:rFonts w:hint="eastAsia" w:ascii="黑体" w:hAnsi="黑体" w:eastAsia="黑体" w:cs="黑体"/>
          <w:sz w:val="32"/>
          <w:szCs w:val="32"/>
        </w:rPr>
        <w:t xml:space="preserve"> </w:t>
      </w:r>
      <w:r>
        <w:rPr>
          <w:rFonts w:hint="eastAsia" w:ascii="仿宋_GB2312" w:hAnsi="仿宋_GB2312" w:eastAsia="仿宋_GB2312" w:cs="仿宋_GB2312"/>
          <w:sz w:val="32"/>
          <w:szCs w:val="32"/>
        </w:rPr>
        <w:t>纳入年度计划的审计项目，建设单位应当按照审计机关的要求在规定时间内报送完整的送审资料。</w:t>
      </w:r>
    </w:p>
    <w:p>
      <w:pPr>
        <w:pStyle w:val="9"/>
        <w:keepNext w:val="0"/>
        <w:keepLines w:val="0"/>
        <w:pageBreakBefore w:val="0"/>
        <w:shd w:val="clear" w:color="auto" w:fill="FFFFFF"/>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5"/>
          <w:rFonts w:hint="eastAsia" w:ascii="黑体" w:hAnsi="黑体" w:eastAsia="黑体" w:cs="黑体"/>
          <w:sz w:val="32"/>
          <w:szCs w:val="32"/>
        </w:rPr>
        <w:t>第十五条</w:t>
      </w:r>
      <w:r>
        <w:rPr>
          <w:rFonts w:hint="eastAsia" w:ascii="黑体" w:hAnsi="黑体" w:eastAsia="黑体" w:cs="黑体"/>
          <w:sz w:val="32"/>
          <w:szCs w:val="32"/>
        </w:rPr>
        <w:t xml:space="preserve"> </w:t>
      </w:r>
      <w:r>
        <w:rPr>
          <w:rFonts w:hint="eastAsia" w:ascii="仿宋_GB2312" w:hAnsi="仿宋_GB2312" w:eastAsia="仿宋_GB2312" w:cs="仿宋_GB2312"/>
          <w:sz w:val="32"/>
          <w:szCs w:val="32"/>
        </w:rPr>
        <w:t>政府投资建设项目审计所取得的证明材料、工程结算等结果，审计机关应当以书面形式通知有关单位和个人进行核对，有关单位或者个人应当自审计机关通知核对之日起10日内核对完毕，并由有关单位、人员盖章或者签名。有关单位或个人可以就核对结果向审计机关提出书面意见。无正当理由逾期拒不签名、盖章或提出书面意见的，视为无异议，由审计人员予以记录、注明。</w:t>
      </w:r>
    </w:p>
    <w:p>
      <w:pPr>
        <w:pStyle w:val="9"/>
        <w:keepNext w:val="0"/>
        <w:keepLines w:val="0"/>
        <w:pageBreakBefore w:val="0"/>
        <w:shd w:val="clear" w:color="auto" w:fill="FFFFFF"/>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5"/>
          <w:rFonts w:hint="eastAsia" w:ascii="黑体" w:hAnsi="黑体" w:eastAsia="黑体" w:cs="黑体"/>
          <w:sz w:val="32"/>
          <w:szCs w:val="32"/>
        </w:rPr>
        <w:t>第十六条</w:t>
      </w:r>
      <w:r>
        <w:rPr>
          <w:rFonts w:hint="eastAsia" w:ascii="仿宋_GB2312" w:hAnsi="仿宋_GB2312" w:eastAsia="仿宋_GB2312" w:cs="仿宋_GB2312"/>
          <w:sz w:val="32"/>
          <w:szCs w:val="32"/>
        </w:rPr>
        <w:t xml:space="preserve"> 审计机关对政府投资建设项目实施审计后，应当出具审计报告，并根据审计结果，出具审计决定书或者审计移送处理书。</w:t>
      </w:r>
    </w:p>
    <w:p>
      <w:pPr>
        <w:pStyle w:val="9"/>
        <w:keepNext w:val="0"/>
        <w:keepLines w:val="0"/>
        <w:pageBreakBefore w:val="0"/>
        <w:shd w:val="clear" w:color="auto" w:fill="FFFFFF"/>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政府投资建设项目审计结束后，对结算不实等问题，应当作出审计决定，责令建设单位据实调整。</w:t>
      </w:r>
    </w:p>
    <w:p>
      <w:pPr>
        <w:pStyle w:val="9"/>
        <w:keepNext w:val="0"/>
        <w:keepLines w:val="0"/>
        <w:pageBreakBefore w:val="0"/>
        <w:shd w:val="clear" w:color="auto" w:fill="FFFFFF"/>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5"/>
          <w:rFonts w:hint="eastAsia" w:ascii="黑体" w:hAnsi="黑体" w:eastAsia="黑体" w:cs="黑体"/>
          <w:sz w:val="32"/>
          <w:szCs w:val="32"/>
        </w:rPr>
        <w:t xml:space="preserve">第十七条 </w:t>
      </w:r>
      <w:r>
        <w:rPr>
          <w:rFonts w:hint="eastAsia" w:ascii="仿宋_GB2312" w:hAnsi="仿宋_GB2312" w:eastAsia="仿宋_GB2312" w:cs="仿宋_GB2312"/>
          <w:sz w:val="32"/>
          <w:szCs w:val="32"/>
        </w:rPr>
        <w:t>被审计单位及有关人员在政府投资建设项目中有违法违规行为，属于审计机关处理、处罚职权范围内的，由审计机关依照法律、法规和规章的规定处理、处罚；对不属于审计机关处理、处罚职权范围内的，移送有关部门处理、处罚，有关部门应当将依法作出的处理、处罚结果书面告知审计机关；涉嫌犯罪的，移送司法机关处理。</w:t>
      </w:r>
    </w:p>
    <w:p>
      <w:pPr>
        <w:pStyle w:val="9"/>
        <w:keepNext w:val="0"/>
        <w:keepLines w:val="0"/>
        <w:pageBreakBefore w:val="0"/>
        <w:shd w:val="clear" w:color="auto" w:fill="FFFFFF"/>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5"/>
          <w:rFonts w:hint="eastAsia" w:ascii="黑体" w:hAnsi="黑体" w:eastAsia="黑体" w:cs="黑体"/>
          <w:sz w:val="32"/>
          <w:szCs w:val="32"/>
        </w:rPr>
        <w:t>第十八条</w:t>
      </w:r>
      <w:r>
        <w:rPr>
          <w:rFonts w:hint="eastAsia" w:ascii="仿宋_GB2312" w:hAnsi="仿宋_GB2312" w:eastAsia="仿宋_GB2312" w:cs="仿宋_GB2312"/>
          <w:sz w:val="32"/>
          <w:szCs w:val="32"/>
        </w:rPr>
        <w:t xml:space="preserve"> 违反本办法规定，被审计单位拒绝、拖延提供与审计事项有关的资料，或者提供的资料不真实、不完整，或者拒绝、阻碍检查的，由审计机关责令改正，可以通报批评，给予警告；拒不改正的，对被审计单位可以处五万元以下的罚款，对直接负责的主管人员和其他直接责任人员，可以处二万元以下罚款，审计机关认为应当给予处分的，向有关主管机关、单位提出给予处分的建议；构成犯罪的，依法追究刑事责任。</w:t>
      </w:r>
    </w:p>
    <w:p>
      <w:pPr>
        <w:pStyle w:val="9"/>
        <w:keepNext w:val="0"/>
        <w:keepLines w:val="0"/>
        <w:pageBreakBefore w:val="0"/>
        <w:shd w:val="clear" w:color="auto" w:fill="FFFFFF"/>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5"/>
          <w:rFonts w:hint="eastAsia" w:ascii="黑体" w:hAnsi="黑体" w:eastAsia="黑体" w:cs="黑体"/>
          <w:sz w:val="32"/>
          <w:szCs w:val="32"/>
        </w:rPr>
        <w:t>第十九条</w:t>
      </w:r>
      <w:r>
        <w:rPr>
          <w:rFonts w:hint="eastAsia" w:ascii="仿宋_GB2312" w:hAnsi="仿宋_GB2312" w:eastAsia="仿宋_GB2312" w:cs="仿宋_GB2312"/>
          <w:sz w:val="32"/>
          <w:szCs w:val="32"/>
        </w:rPr>
        <w:t xml:space="preserve"> 审计机关聘请的社会审计机构或者具有与审计事项相关专业知识的人员在政府投资建设项目审计中违反有关法律、法规规定的，由审计机关停止其承担的工作、追究违约责任、移送有关部门处理；涉嫌犯罪的，移送司法机关追究刑事责任。</w:t>
      </w:r>
    </w:p>
    <w:p>
      <w:pPr>
        <w:pStyle w:val="9"/>
        <w:keepNext w:val="0"/>
        <w:keepLines w:val="0"/>
        <w:pageBreakBefore w:val="0"/>
        <w:shd w:val="clear" w:color="auto" w:fill="FFFFFF"/>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5"/>
          <w:rFonts w:hint="eastAsia" w:ascii="黑体" w:hAnsi="黑体" w:eastAsia="黑体" w:cs="黑体"/>
          <w:sz w:val="32"/>
          <w:szCs w:val="32"/>
        </w:rPr>
        <w:t>第二十条</w:t>
      </w:r>
      <w:r>
        <w:rPr>
          <w:rFonts w:hint="eastAsia" w:ascii="仿宋_GB2312" w:hAnsi="仿宋_GB2312" w:eastAsia="仿宋_GB2312" w:cs="仿宋_GB2312"/>
          <w:sz w:val="32"/>
          <w:szCs w:val="32"/>
        </w:rPr>
        <w:t xml:space="preserve"> 被审计单位对审计机关作出的有关政府投资建设项目财务收支的审计决定不服的，可以依法申请行政复议或者提起行政诉讼。</w:t>
      </w:r>
    </w:p>
    <w:p>
      <w:pPr>
        <w:pStyle w:val="9"/>
        <w:keepNext w:val="0"/>
        <w:keepLines w:val="0"/>
        <w:pageBreakBefore w:val="0"/>
        <w:shd w:val="clear" w:color="auto" w:fill="FFFFFF"/>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5"/>
          <w:rFonts w:hint="eastAsia" w:ascii="黑体" w:hAnsi="黑体" w:eastAsia="黑体" w:cs="黑体"/>
          <w:sz w:val="32"/>
          <w:szCs w:val="32"/>
        </w:rPr>
        <w:t>第二十一条</w:t>
      </w:r>
      <w:r>
        <w:rPr>
          <w:rFonts w:hint="eastAsia" w:ascii="仿宋_GB2312" w:hAnsi="仿宋_GB2312" w:eastAsia="仿宋_GB2312" w:cs="仿宋_GB2312"/>
          <w:sz w:val="32"/>
          <w:szCs w:val="32"/>
        </w:rPr>
        <w:t xml:space="preserve"> 审计机关工作人员在政府投资建设项目审计监督过程中，滥用职权、徇私舞弊、玩忽职守，或者泄露所知悉的国家秘密、商业秘密的，依法给予处分；构成犯罪的，依法追究刑事责任。</w:t>
      </w:r>
    </w:p>
    <w:p>
      <w:pPr>
        <w:pStyle w:val="9"/>
        <w:keepNext w:val="0"/>
        <w:keepLines w:val="0"/>
        <w:pageBreakBefore w:val="0"/>
        <w:shd w:val="clear" w:color="auto" w:fill="FFFFFF"/>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5"/>
          <w:rFonts w:hint="eastAsia" w:ascii="黑体" w:hAnsi="黑体" w:eastAsia="黑体" w:cs="黑体"/>
          <w:sz w:val="32"/>
          <w:szCs w:val="32"/>
        </w:rPr>
        <w:t>第二十二条</w:t>
      </w:r>
      <w:r>
        <w:rPr>
          <w:rFonts w:hint="eastAsia" w:ascii="仿宋_GB2312" w:hAnsi="仿宋_GB2312" w:eastAsia="仿宋_GB2312" w:cs="仿宋_GB2312"/>
          <w:sz w:val="32"/>
          <w:szCs w:val="32"/>
        </w:rPr>
        <w:t xml:space="preserve"> 本办法自2019年2月1日起施行。</w:t>
      </w:r>
    </w:p>
    <w:p>
      <w:pPr>
        <w:keepNext w:val="0"/>
        <w:keepLines w:val="0"/>
        <w:pageBreakBefore w:val="0"/>
        <w:widowControl/>
        <w:kinsoku/>
        <w:wordWrap/>
        <w:overflowPunct/>
        <w:topLinePunct w:val="0"/>
        <w:autoSpaceDE/>
        <w:autoSpaceDN/>
        <w:bidi w:val="0"/>
        <w:adjustRightInd/>
        <w:snapToGrid/>
        <w:spacing w:after="157" w:afterLines="50" w:line="240" w:lineRule="auto"/>
        <w:ind w:firstLine="640" w:firstLineChars="200"/>
        <w:textAlignment w:val="auto"/>
        <w:rPr>
          <w:rFonts w:hint="default" w:ascii="黑体" w:hAnsi="黑体" w:eastAsia="黑体" w:cs="黑体"/>
          <w:b w:val="0"/>
          <w:bCs w:val="0"/>
          <w:sz w:val="32"/>
          <w:szCs w:val="32"/>
          <w:lang w:val="en-US" w:eastAsia="zh-CN"/>
        </w:rPr>
      </w:pPr>
    </w:p>
    <w:sectPr>
      <w:headerReference r:id="rId3" w:type="default"/>
      <w:footerReference r:id="rId4" w:type="default"/>
      <w:pgSz w:w="11906" w:h="16838"/>
      <w:pgMar w:top="1962" w:right="1474" w:bottom="1848" w:left="1587" w:header="851" w:footer="992" w:gutter="0"/>
      <w:pgNumType w:fmt="numberInDash"/>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Trebuchet MS"/>
    <w:panose1 w:val="020F0502020204030204"/>
    <w:charset w:val="00"/>
    <w:family w:val="swiss"/>
    <w:pitch w:val="default"/>
    <w:sig w:usb0="00000000" w:usb1="00000000" w:usb2="00000001" w:usb3="00000000" w:csb0="0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华文中宋">
    <w:altName w:val="方正书宋_GBK"/>
    <w:panose1 w:val="02010600040101010101"/>
    <w:charset w:val="00"/>
    <w:family w:val="auto"/>
    <w:pitch w:val="default"/>
    <w:sig w:usb0="00000000" w:usb1="00000000" w:usb2="00000000" w:usb3="00000000" w:csb0="0004009F" w:csb1="DFD7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00"/>
    <w:family w:val="auto"/>
    <w:pitch w:val="default"/>
    <w:sig w:usb0="00000000" w:usb1="00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Trebuchet MS">
    <w:panose1 w:val="020B0603020202020204"/>
    <w:charset w:val="00"/>
    <w:family w:val="auto"/>
    <w:pitch w:val="default"/>
    <w:sig w:usb0="00000287" w:usb1="00000000" w:usb2="00000000" w:usb3="00000000" w:csb0="2000009F" w:csb1="00000000"/>
  </w:font>
  <w:font w:name="楷体">
    <w:panose1 w:val="02010609060101010101"/>
    <w:charset w:val="86"/>
    <w:family w:val="auto"/>
    <w:pitch w:val="default"/>
    <w:sig w:usb0="800002BF" w:usb1="38CF7CFA" w:usb2="00000016" w:usb3="00000000" w:csb0="00040001" w:csb1="00000000"/>
  </w:font>
  <w:font w:name="华文中宋">
    <w:altName w:val="方正书宋_GBK"/>
    <w:panose1 w:val="02010600040101010101"/>
    <w:charset w:val="86"/>
    <w:family w:val="auto"/>
    <w:pitch w:val="default"/>
    <w:sig w:usb0="00000000" w:usb1="00000000" w:usb2="00000000" w:usb3="00000000" w:csb0="0004009F" w:csb1="DFD70000"/>
  </w:font>
  <w:font w:name="楷体_GB2312">
    <w:altName w:val="楷体"/>
    <w:panose1 w:val="02010609030101010101"/>
    <w:charset w:val="86"/>
    <w:family w:val="auto"/>
    <w:pitch w:val="default"/>
    <w:sig w:usb0="00000000" w:usb1="00000000" w:usb2="00000000" w:usb3="00000000" w:csb0="00040000" w:csb1="00000000"/>
  </w:font>
  <w:font w:name="方正宋体S-超大字符集">
    <w:panose1 w:val="02000000000000000000"/>
    <w:charset w:val="86"/>
    <w:family w:val="auto"/>
    <w:pitch w:val="default"/>
    <w:sig w:usb0="00000001" w:usb1="08000000" w:usb2="00000000" w:usb3="00000000" w:csb0="00040000" w:csb1="00000000"/>
  </w:font>
  <w:font w:name="??">
    <w:altName w:val="DejaVu Math TeX Gyre"/>
    <w:panose1 w:val="00000000000000000000"/>
    <w:charset w:val="00"/>
    <w:family w:val="roman"/>
    <w:pitch w:val="default"/>
    <w:sig w:usb0="00000000" w:usb1="00000000" w:usb2="00000000" w:usb3="00000000" w:csb0="00000001" w:csb1="00000000"/>
  </w:font>
  <w:font w:name="DejaVu Math TeX Gyre">
    <w:panose1 w:val="02000503000000000000"/>
    <w:charset w:val="00"/>
    <w:family w:val="auto"/>
    <w:pitch w:val="default"/>
    <w:sig w:usb0="A10000EF" w:usb1="4201F9EE" w:usb2="02000000" w:usb3="00000000" w:csb0="60000193" w:csb1="0DD4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ind w:left="4788" w:leftChars="2280" w:firstLine="6400" w:firstLineChars="2000"/>
      <w:rPr>
        <w:rFonts w:hint="eastAsia" w:eastAsia="仿宋"/>
        <w:sz w:val="32"/>
        <w:szCs w:val="48"/>
        <w:lang w:val="en-US" w:eastAsia="zh-CN"/>
      </w:rPr>
    </w:pPr>
    <w:r>
      <w:rPr>
        <w:sz w:val="32"/>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a:effectLst/>
                    </wps:spPr>
                    <wps:txbx>
                      <w:txbxContent>
                        <w:p>
                          <w:pPr>
                            <w:pStyle w:val="7"/>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BYAAABkcnMvUEsBAhQA&#10;FAAAAAgAh07iQLNJWO7QAAAABQEAAA8AAAAAAAAAAQAgAAAAOAAAAGRycy9kb3ducmV2LnhtbFBL&#10;AQIUABQAAAAIAIdO4kBWFWiqIQIAADcEAAAOAAAAAAAAAAEAIAAAADUBAABkcnMvZTJvRG9jLnht&#10;bFBLBQYAAAAABgAGAFkBAADIBQAAAAA=&#10;">
              <v:fill on="f" focussize="0,0"/>
              <v:stroke on="f" weight="0.5pt"/>
              <v:imagedata o:title=""/>
              <o:lock v:ext="edit" aspectratio="f"/>
              <v:textbox inset="0mm,0mm,0mm,0mm" style="mso-fit-shape-to-text:t;">
                <w:txbxContent>
                  <w:p>
                    <w:pPr>
                      <w:pStyle w:val="7"/>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r>
      <w:rPr>
        <w:rFonts w:hint="eastAsia" w:eastAsia="仿宋"/>
        <w:sz w:val="32"/>
        <w:szCs w:val="48"/>
        <w:lang w:val="en-US" w:eastAsia="zh-CN"/>
      </w:rPr>
      <w:t xml:space="preserve">  </w:t>
    </w:r>
  </w:p>
  <w:p>
    <w:pPr>
      <w:pStyle w:val="8"/>
      <w:wordWrap w:val="0"/>
      <w:ind w:left="4788" w:leftChars="2280" w:firstLine="6400" w:firstLineChars="2000"/>
      <w:jc w:val="right"/>
      <w:rPr>
        <w:rFonts w:hint="eastAsia" w:ascii="宋体" w:hAnsi="宋体" w:eastAsia="宋体" w:cs="宋体"/>
        <w:b/>
        <w:bCs/>
        <w:color w:val="005192"/>
        <w:sz w:val="28"/>
        <w:szCs w:val="44"/>
        <w:lang w:val="en-US" w:eastAsia="zh-CN"/>
      </w:rPr>
    </w:pPr>
    <w:r>
      <w:rPr>
        <w:color w:val="FAFAFA"/>
        <w:sz w:val="32"/>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noFill/>
                      <a:ln w="22225" cap="flat" cmpd="sng" algn="ctr">
                        <a:solidFill>
                          <a:srgbClr val="005192"/>
                        </a:solidFill>
                        <a:prstDash val="solid"/>
                        <a:miter lim="800000"/>
                      </a:ln>
                      <a:effectLst/>
                    </wps:spPr>
                    <wps:bodyPr/>
                  </wps:wsp>
                </a:graphicData>
              </a:graphic>
            </wp:anchor>
          </w:drawing>
        </mc:Choice>
        <mc:Fallback>
          <w:pict>
            <v:line id="_x0000_s1026" o:spid="_x0000_s1026" o:spt="20" style="position:absolute;left:0pt;margin-left:0pt;margin-top:5.85pt;height:0.15pt;width:442.25pt;z-index:251659264;mso-width-relative:page;mso-height-relative:page;" filled="f" stroked="t" coordsize="21600,21600" o:gfxdata="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WAAAAZHJzL1BLAQIUABQAAAAIAIdO4kDzp6XR1AAA&#10;AAYBAAAPAAAAAAAAAAEAIAAAADgAAABkcnMvZG93bnJldi54bWxQSwECFAAUAAAACACHTuJAQhCS&#10;aNMBAAB1AwAADgAAAAAAAAABACAAAAA5AQAAZHJzL2Uyb0RvYy54bWxQSwUGAAAAAAYABgBZAQAA&#10;fgUAAAAA&#10;">
              <v:fill on="f" focussize="0,0"/>
              <v:stroke weight="1.75pt" color="#005192" miterlimit="8" joinstyle="miter"/>
              <v:imagedata o:title=""/>
              <o:lock v:ext="edit" aspectratio="f"/>
            </v:line>
          </w:pict>
        </mc:Fallback>
      </mc:AlternateContent>
    </w:r>
    <w:r>
      <w:rPr>
        <w:rFonts w:hint="eastAsia"/>
        <w:color w:val="FAFAFA"/>
        <w:sz w:val="32"/>
        <w:lang w:eastAsia="zh-CN"/>
      </w:rPr>
      <w:t>长春市长</w:t>
    </w:r>
    <w:r>
      <w:rPr>
        <w:rFonts w:hint="eastAsia"/>
        <w:color w:val="FAFAFA"/>
        <w:sz w:val="32"/>
        <w:lang w:val="en-US" w:eastAsia="zh-CN"/>
      </w:rPr>
      <w:t xml:space="preserve"> </w:t>
    </w:r>
    <w:r>
      <w:rPr>
        <w:rFonts w:hint="eastAsia" w:ascii="宋体" w:hAnsi="宋体" w:eastAsia="宋体" w:cs="宋体"/>
        <w:b/>
        <w:bCs/>
        <w:color w:val="005192"/>
        <w:sz w:val="28"/>
        <w:szCs w:val="44"/>
        <w:lang w:val="en-US" w:eastAsia="zh-CN"/>
      </w:rPr>
      <w:t xml:space="preserve">长春市人民政府发布 </w:t>
    </w:r>
  </w:p>
  <w:p>
    <w:pPr>
      <w:pStyle w:val="8"/>
      <w:wordWrap w:val="0"/>
      <w:ind w:left="4788" w:leftChars="2280" w:firstLine="5621" w:firstLineChars="2000"/>
      <w:jc w:val="right"/>
      <w:rPr>
        <w:rFonts w:hint="eastAsia" w:ascii="宋体" w:hAnsi="宋体" w:eastAsia="宋体" w:cs="宋体"/>
        <w:b/>
        <w:bCs/>
        <w:color w:val="005192"/>
        <w:sz w:val="28"/>
        <w:szCs w:val="44"/>
        <w:lang w:val="en-US"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rPr>
    </w:pPr>
    <w:r>
      <w:rPr>
        <w:rFonts w:hint="eastAsia" w:ascii="宋体" w:hAnsi="宋体" w:eastAsia="宋体" w:cs="宋体"/>
        <w:b/>
        <w:bCs/>
        <w:color w:val="005192"/>
        <w:sz w:val="32"/>
      </w:rPr>
      <mc:AlternateContent>
        <mc:Choice Requires="wps">
          <w:drawing>
            <wp:anchor distT="0" distB="0" distL="114300" distR="114300" simplePos="0" relativeHeight="251658240" behindDoc="0" locked="0" layoutInCell="1" allowOverlap="1">
              <wp:simplePos x="0" y="0"/>
              <wp:positionH relativeFrom="column">
                <wp:posOffset>-3810</wp:posOffset>
              </wp:positionH>
              <wp:positionV relativeFrom="paragraph">
                <wp:posOffset>690245</wp:posOffset>
              </wp:positionV>
              <wp:extent cx="5620385" cy="0"/>
              <wp:effectExtent l="0" t="10795" r="18415" b="17780"/>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noFill/>
                      <a:ln w="22225" cap="flat" cmpd="sng" algn="ctr">
                        <a:solidFill>
                          <a:srgbClr val="005192"/>
                        </a:solidFill>
                        <a:prstDash val="solid"/>
                        <a:miter lim="800000"/>
                      </a:ln>
                      <a:effectLst/>
                    </wps:spPr>
                    <wps:bodyPr/>
                  </wps:wsp>
                </a:graphicData>
              </a:graphic>
            </wp:anchor>
          </w:drawing>
        </mc:Choice>
        <mc:Fallback>
          <w:pict>
            <v:line id="_x0000_s1026" o:spid="_x0000_s1026" o:spt="20" style="position:absolute;left:0pt;margin-left:-0.3pt;margin-top:54.35pt;height:0pt;width:442.55pt;z-index:251658240;mso-width-relative:page;mso-height-relative:page;" filled="f" stroked="t" coordsize="21600,21600" o:gfxdata="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FgAAAGRycy9QSwECFAAUAAAACACH&#10;TuJA1EdA1tUAAAAJAQAADwAAAAAAAAABACAAAAA4AAAAZHJzL2Rvd25yZXYueG1sUEsBAhQAFAAA&#10;AAgAh07iQNqbbOfcAQAAfQMAAA4AAAAAAAAAAQAgAAAAOgEAAGRycy9lMm9Eb2MueG1sUEsFBgAA&#10;AAAGAAYAWQEAAIgFAAAAAA==&#10;">
              <v:fill on="f" focussize="0,0"/>
              <v:stroke weight="1.75pt" color="#005192" miterlimit="8" joinstyle="miter"/>
              <v:imagedata o:title=""/>
              <o:lock v:ext="edit" aspectratio="f"/>
            </v:line>
          </w:pict>
        </mc:Fallback>
      </mc:AlternateContent>
    </w:r>
  </w:p>
  <w:p>
    <w:pPr>
      <w:pStyle w:val="8"/>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szCs w:val="32"/>
        <w:lang w:val="en-US" w:eastAsia="zh-CN"/>
      </w:rPr>
    </w:pPr>
    <w:r>
      <w:rPr>
        <w:rFonts w:hint="eastAsia" w:ascii="宋体" w:hAnsi="宋体" w:eastAsia="宋体" w:cs="宋体"/>
        <w:b/>
        <w:bCs/>
        <w:color w:val="005192"/>
        <w:sz w:val="32"/>
      </w:rPr>
      <w:drawing>
        <wp:inline distT="0" distB="0" distL="114300" distR="114300">
          <wp:extent cx="308610" cy="308610"/>
          <wp:effectExtent l="0" t="0" r="15240" b="15240"/>
          <wp:docPr id="1" name="图片 6" descr="国徽1024"/>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 name="图片 6" descr="国徽1024"/>
                  <pic:cNvPicPr>
                    <a:picLocks noChangeAspect="true"/>
                  </pic:cNvPicPr>
                </pic:nvPicPr>
                <pic:blipFill>
                  <a:blip r:embed="rId1"/>
                  <a:stretch>
                    <a:fillRect/>
                  </a:stretch>
                </pic:blipFill>
                <pic:spPr>
                  <a:xfrm>
                    <a:off x="0" y="0"/>
                    <a:ext cx="308610" cy="308610"/>
                  </a:xfrm>
                  <a:prstGeom prst="rect">
                    <a:avLst/>
                  </a:prstGeom>
                  <a:noFill/>
                  <a:ln>
                    <a:noFill/>
                  </a:ln>
                </pic:spPr>
              </pic:pic>
            </a:graphicData>
          </a:graphic>
        </wp:inline>
      </w:drawing>
    </w:r>
    <w:r>
      <w:rPr>
        <w:rFonts w:hint="eastAsia" w:ascii="宋体" w:hAnsi="宋体" w:eastAsia="宋体" w:cs="宋体"/>
        <w:b/>
        <w:bCs/>
        <w:color w:val="005192"/>
        <w:sz w:val="32"/>
        <w:lang w:eastAsia="zh-CN"/>
      </w:rPr>
      <w:t>长春市人民政府</w:t>
    </w:r>
    <w:r>
      <w:rPr>
        <w:rFonts w:hint="eastAsia" w:ascii="宋体" w:hAnsi="宋体" w:eastAsia="宋体" w:cs="宋体"/>
        <w:b/>
        <w:bCs/>
        <w:color w:val="005192"/>
        <w:sz w:val="32"/>
        <w:szCs w:val="32"/>
        <w:lang w:val="en-US" w:eastAsia="zh-CN"/>
      </w:rPr>
      <w:t>规章</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false"/>
  <w:bordersDoNotSurroundFooter w:val="false"/>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19E71BD"/>
    <w:rsid w:val="04B679C3"/>
    <w:rsid w:val="080F63D8"/>
    <w:rsid w:val="09341458"/>
    <w:rsid w:val="0B0912D7"/>
    <w:rsid w:val="152D2DCA"/>
    <w:rsid w:val="1DEC284C"/>
    <w:rsid w:val="1E6523AC"/>
    <w:rsid w:val="22440422"/>
    <w:rsid w:val="2EE4E1E9"/>
    <w:rsid w:val="31A15F24"/>
    <w:rsid w:val="395347B5"/>
    <w:rsid w:val="39A232A0"/>
    <w:rsid w:val="39E745AA"/>
    <w:rsid w:val="3B5A6BBB"/>
    <w:rsid w:val="3BFFD238"/>
    <w:rsid w:val="3D758C2F"/>
    <w:rsid w:val="3E3FF015"/>
    <w:rsid w:val="3EDA13A6"/>
    <w:rsid w:val="3EFA4F75"/>
    <w:rsid w:val="3FF5E71E"/>
    <w:rsid w:val="42F058B7"/>
    <w:rsid w:val="436109F6"/>
    <w:rsid w:val="441A38D4"/>
    <w:rsid w:val="4BC77339"/>
    <w:rsid w:val="4C9236C5"/>
    <w:rsid w:val="505C172E"/>
    <w:rsid w:val="52F46F0B"/>
    <w:rsid w:val="53D8014D"/>
    <w:rsid w:val="55E064E0"/>
    <w:rsid w:val="572C6D10"/>
    <w:rsid w:val="5CEF77EE"/>
    <w:rsid w:val="5DC34279"/>
    <w:rsid w:val="5EF782AD"/>
    <w:rsid w:val="5F7F6892"/>
    <w:rsid w:val="5FF22B40"/>
    <w:rsid w:val="608816D1"/>
    <w:rsid w:val="60EF4E7F"/>
    <w:rsid w:val="612F3FD0"/>
    <w:rsid w:val="665233C1"/>
    <w:rsid w:val="69F36A47"/>
    <w:rsid w:val="6AD9688B"/>
    <w:rsid w:val="6D0E3F22"/>
    <w:rsid w:val="6EB550C6"/>
    <w:rsid w:val="6F2B0D2A"/>
    <w:rsid w:val="75FFF989"/>
    <w:rsid w:val="76B6E50D"/>
    <w:rsid w:val="76FDF66E"/>
    <w:rsid w:val="7AEE4886"/>
    <w:rsid w:val="7BF7583F"/>
    <w:rsid w:val="7BFF93D3"/>
    <w:rsid w:val="7C9011D9"/>
    <w:rsid w:val="7DC651C5"/>
    <w:rsid w:val="7EFF6DD0"/>
    <w:rsid w:val="7F3735A7"/>
    <w:rsid w:val="7FB9966C"/>
    <w:rsid w:val="7FCC2834"/>
    <w:rsid w:val="7FF8209E"/>
    <w:rsid w:val="7FFF79BD"/>
    <w:rsid w:val="9F7F243B"/>
    <w:rsid w:val="A9DB00DE"/>
    <w:rsid w:val="AF7EBCC1"/>
    <w:rsid w:val="AFFFD7B0"/>
    <w:rsid w:val="B3DB04D0"/>
    <w:rsid w:val="B5B1A39E"/>
    <w:rsid w:val="BD5EDC9E"/>
    <w:rsid w:val="BE3F695C"/>
    <w:rsid w:val="BEFBB8A4"/>
    <w:rsid w:val="BF9F3AF9"/>
    <w:rsid w:val="BFEDC696"/>
    <w:rsid w:val="BFEF4DC1"/>
    <w:rsid w:val="BFFF4B25"/>
    <w:rsid w:val="CBFC2AE1"/>
    <w:rsid w:val="CBFF8F95"/>
    <w:rsid w:val="CF1F0D88"/>
    <w:rsid w:val="D6E71438"/>
    <w:rsid w:val="DA7BD9C9"/>
    <w:rsid w:val="DD7F6163"/>
    <w:rsid w:val="DDEF8DC9"/>
    <w:rsid w:val="DF5F1534"/>
    <w:rsid w:val="DF6EAB6E"/>
    <w:rsid w:val="DFBDCA1D"/>
    <w:rsid w:val="EEB92B30"/>
    <w:rsid w:val="F72A534E"/>
    <w:rsid w:val="F7BD58E4"/>
    <w:rsid w:val="F7E8D4DA"/>
    <w:rsid w:val="FB5D3A76"/>
    <w:rsid w:val="FB5F84F4"/>
    <w:rsid w:val="FDD67D79"/>
    <w:rsid w:val="FE7FB526"/>
    <w:rsid w:val="FED88D58"/>
    <w:rsid w:val="FEFBC815"/>
    <w:rsid w:val="FFBF4E5D"/>
    <w:rsid w:val="FFCE785E"/>
    <w:rsid w:val="FFD48E20"/>
    <w:rsid w:val="FFDD7CC4"/>
    <w:rsid w:val="FFEE5C0C"/>
    <w:rsid w:val="FFEECEF7"/>
    <w:rsid w:val="FFFAA38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qFormat/>
    <w:uiPriority w:val="0"/>
    <w:pPr>
      <w:keepNext/>
      <w:keepLines/>
      <w:spacing w:before="300" w:after="300" w:line="440" w:lineRule="exact"/>
      <w:jc w:val="center"/>
      <w:outlineLvl w:val="0"/>
    </w:pPr>
    <w:rPr>
      <w:rFonts w:ascii="仿宋_GB2312" w:hAnsi="华文中宋" w:eastAsia="方正小标宋简体"/>
      <w:bCs/>
      <w:spacing w:val="10"/>
      <w:kern w:val="44"/>
      <w:sz w:val="30"/>
      <w:szCs w:val="21"/>
    </w:rPr>
  </w:style>
  <w:style w:type="paragraph" w:styleId="3">
    <w:name w:val="heading 2"/>
    <w:basedOn w:val="1"/>
    <w:next w:val="1"/>
    <w:link w:val="14"/>
    <w:unhideWhenUsed/>
    <w:qFormat/>
    <w:uiPriority w:val="0"/>
    <w:pPr>
      <w:keepNext/>
      <w:keepLines/>
      <w:spacing w:before="300" w:after="300" w:line="300" w:lineRule="exact"/>
      <w:jc w:val="center"/>
      <w:outlineLvl w:val="1"/>
    </w:pPr>
    <w:rPr>
      <w:rFonts w:ascii="宋体" w:hAnsi="宋体" w:eastAsia="黑体" w:cs="Times New Roman"/>
      <w:bCs/>
      <w:sz w:val="24"/>
      <w:szCs w:val="24"/>
    </w:rPr>
  </w:style>
  <w:style w:type="paragraph" w:styleId="4">
    <w:name w:val="heading 3"/>
    <w:basedOn w:val="1"/>
    <w:next w:val="1"/>
    <w:link w:val="15"/>
    <w:unhideWhenUsed/>
    <w:qFormat/>
    <w:uiPriority w:val="0"/>
    <w:pPr>
      <w:keepNext/>
      <w:keepLines/>
      <w:spacing w:before="260" w:after="260" w:line="416" w:lineRule="auto"/>
      <w:outlineLvl w:val="2"/>
    </w:pPr>
    <w:rPr>
      <w:rFonts w:eastAsia="黑体"/>
      <w:bCs/>
      <w:sz w:val="24"/>
      <w:szCs w:val="32"/>
    </w:rPr>
  </w:style>
  <w:style w:type="character" w:default="1" w:styleId="11">
    <w:name w:val="Default Paragraph Font"/>
    <w:semiHidden/>
    <w:qFormat/>
    <w:uiPriority w:val="0"/>
  </w:style>
  <w:style w:type="table" w:default="1" w:styleId="10">
    <w:name w:val="Normal Table"/>
    <w:semiHidden/>
    <w:qFormat/>
    <w:uiPriority w:val="0"/>
    <w:tblPr>
      <w:tblStyle w:val="10"/>
      <w:tblCellMar>
        <w:top w:w="0" w:type="dxa"/>
        <w:left w:w="108" w:type="dxa"/>
        <w:bottom w:w="0" w:type="dxa"/>
        <w:right w:w="108" w:type="dxa"/>
      </w:tblCellMar>
    </w:tblPr>
  </w:style>
  <w:style w:type="paragraph" w:styleId="5">
    <w:name w:val="annotation text"/>
    <w:basedOn w:val="1"/>
    <w:qFormat/>
    <w:uiPriority w:val="0"/>
    <w:pPr>
      <w:jc w:val="left"/>
    </w:pPr>
  </w:style>
  <w:style w:type="paragraph" w:styleId="6">
    <w:name w:val="Plain Text"/>
    <w:basedOn w:val="1"/>
    <w:qFormat/>
    <w:uiPriority w:val="0"/>
    <w:rPr>
      <w:rFonts w:ascii="宋体" w:hAnsi="Courier New" w:cs="Courier New"/>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rPr>
      <w:sz w:val="24"/>
      <w:szCs w:val="24"/>
    </w:rPr>
  </w:style>
  <w:style w:type="character" w:styleId="12">
    <w:name w:val="Strong"/>
    <w:basedOn w:val="11"/>
    <w:qFormat/>
    <w:uiPriority w:val="22"/>
    <w:rPr>
      <w:b/>
    </w:rPr>
  </w:style>
  <w:style w:type="character" w:styleId="13">
    <w:name w:val="page number"/>
    <w:basedOn w:val="11"/>
    <w:uiPriority w:val="0"/>
  </w:style>
  <w:style w:type="character" w:customStyle="1" w:styleId="14">
    <w:name w:val="标题 2 Char"/>
    <w:basedOn w:val="11"/>
    <w:link w:val="3"/>
    <w:qFormat/>
    <w:uiPriority w:val="0"/>
    <w:rPr>
      <w:rFonts w:ascii="宋体" w:hAnsi="宋体" w:eastAsia="黑体" w:cs="Times New Roman"/>
      <w:bCs/>
      <w:sz w:val="24"/>
      <w:szCs w:val="24"/>
    </w:rPr>
  </w:style>
  <w:style w:type="character" w:customStyle="1" w:styleId="15">
    <w:name w:val="标题 3 Char"/>
    <w:basedOn w:val="11"/>
    <w:link w:val="4"/>
    <w:qFormat/>
    <w:uiPriority w:val="0"/>
    <w:rPr>
      <w:rFonts w:eastAsia="黑体"/>
      <w:bCs/>
      <w:sz w:val="24"/>
      <w:szCs w:val="32"/>
    </w:rPr>
  </w:style>
  <w:style w:type="paragraph" w:customStyle="1" w:styleId="16">
    <w:name w:val="contentarticle"/>
    <w:basedOn w:val="1"/>
    <w:qFormat/>
    <w:uiPriority w:val="0"/>
    <w:pPr>
      <w:widowControl/>
      <w:spacing w:before="100" w:beforeAutospacing="1" w:after="100" w:afterAutospacing="1"/>
      <w:jc w:val="left"/>
    </w:pPr>
    <w:rPr>
      <w:rFonts w:ascii="宋体" w:hAnsi="宋体" w:cs="宋体"/>
      <w:kern w:val="0"/>
      <w:sz w:val="24"/>
    </w:rPr>
  </w:style>
  <w:style w:type="paragraph" w:styleId="17">
    <w:name w:val="List Paragraph"/>
    <w:basedOn w:val="1"/>
    <w:qFormat/>
    <w:uiPriority w:val="34"/>
    <w:pPr>
      <w:ind w:firstLine="420" w:firstLineChars="200"/>
    </w:pPr>
  </w:style>
  <w:style w:type="paragraph" w:customStyle="1" w:styleId="18">
    <w:name w:val="正文1"/>
    <w:qFormat/>
    <w:uiPriority w:val="0"/>
    <w:pPr>
      <w:jc w:val="both"/>
    </w:pPr>
    <w:rPr>
      <w:rFonts w:ascii="Calibri" w:hAnsi="Calibri" w:eastAsia="宋体" w:cs="Times New Roman"/>
      <w:kern w:val="2"/>
      <w:sz w:val="21"/>
      <w:szCs w:val="21"/>
      <w:lang w:val="en-US" w:eastAsia="zh-CN" w:bidi="ar-SA"/>
    </w:rPr>
  </w:style>
  <w:style w:type="paragraph" w:customStyle="1" w:styleId="19">
    <w:name w:val="reader-word-layer reader-word-s2-0"/>
    <w:basedOn w:val="1"/>
    <w:qFormat/>
    <w:uiPriority w:val="0"/>
    <w:pPr>
      <w:widowControl/>
      <w:spacing w:before="100" w:beforeLines="0" w:beforeAutospacing="1" w:after="100" w:afterLines="0" w:afterAutospacing="1"/>
      <w:jc w:val="left"/>
    </w:pPr>
    <w:rPr>
      <w:rFonts w:ascii="宋体" w:hAnsi="宋体" w:cs="宋体"/>
      <w:kern w:val="0"/>
      <w:sz w:val="24"/>
      <w:szCs w:val="24"/>
    </w:rPr>
  </w:style>
  <w:style w:type="paragraph" w:customStyle="1" w:styleId="20">
    <w:name w:val="reader-word-layer reader-word-s2-2"/>
    <w:basedOn w:val="1"/>
    <w:qFormat/>
    <w:uiPriority w:val="0"/>
    <w:pPr>
      <w:widowControl/>
      <w:spacing w:before="100" w:beforeLines="0" w:beforeAutospacing="1" w:after="100" w:afterLines="0" w:afterAutospacing="1"/>
      <w:jc w:val="left"/>
    </w:pPr>
    <w:rPr>
      <w:rFonts w:ascii="宋体" w:hAnsi="宋体" w:cs="宋体"/>
      <w:kern w:val="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22</Pages>
  <Words>7640</Words>
  <Characters>7658</Characters>
  <Lines>1</Lines>
  <Paragraphs>1</Paragraphs>
  <TotalTime>1</TotalTime>
  <ScaleCrop>false</ScaleCrop>
  <LinksUpToDate>false</LinksUpToDate>
  <CharactersWithSpaces>7755</CharactersWithSpaces>
  <Application>WPS Office_11.8.2.10251_F1E327BC-269C-435d-A152-05C5408002CA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2021-09-10T02:41:00Z</dcterms:created>
  <dc:creator>t</dc:creator>
  <cp:lastModifiedBy>kylin</cp:lastModifiedBy>
  <cp:lastPrinted>2021-10-27T03:30:00Z</cp:lastPrinted>
  <dcterms:modified xsi:type="dcterms:W3CDTF">2021-12-30T15:54:48Z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2052-11.8.2.10251</vt:lpwstr>
  </property>
  <property fmtid="{D5CDD505-2E9C-101B-9397-08002B2CF9AE}" pid="3" name="ICV">
    <vt:lpwstr>48C61CB29D3F4D9384F5922CF0F7FFB4</vt:lpwstr>
  </property>
</Properties>
</file>