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E32601">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长春市</w:t>
      </w:r>
      <w:r>
        <w:rPr>
          <w:rFonts w:hint="default" w:ascii="Times New Roman" w:hAnsi="Times New Roman" w:eastAsia="方正小标宋简体" w:cs="Times New Roman"/>
          <w:sz w:val="44"/>
          <w:szCs w:val="44"/>
          <w:lang w:eastAsia="zh-CN"/>
        </w:rPr>
        <w:t>双阳区发展和改革局</w:t>
      </w:r>
      <w:r>
        <w:rPr>
          <w:rFonts w:hint="eastAsia" w:ascii="Times New Roman" w:hAnsi="Times New Roman" w:eastAsia="方正小标宋简体" w:cs="Times New Roman"/>
          <w:sz w:val="44"/>
          <w:szCs w:val="44"/>
          <w:lang w:val="en-US" w:eastAsia="zh-CN"/>
        </w:rPr>
        <w:t>关于</w:t>
      </w:r>
      <w:r>
        <w:rPr>
          <w:rFonts w:hint="default" w:ascii="Times New Roman" w:hAnsi="Times New Roman" w:eastAsia="方正小标宋简体" w:cs="Times New Roman"/>
          <w:sz w:val="44"/>
          <w:szCs w:val="44"/>
          <w:lang w:eastAsia="zh-CN"/>
        </w:rPr>
        <w:t>2025年度</w:t>
      </w:r>
    </w:p>
    <w:p w14:paraId="3616B03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法治政府建设情况的报告</w:t>
      </w:r>
    </w:p>
    <w:p w14:paraId="3EDF9302">
      <w:pPr>
        <w:keepNext w:val="0"/>
        <w:keepLines w:val="0"/>
        <w:pageBreakBefore w:val="0"/>
        <w:kinsoku/>
        <w:wordWrap/>
        <w:overflowPunct/>
        <w:topLinePunct w:val="0"/>
        <w:autoSpaceDN/>
        <w:bidi w:val="0"/>
        <w:adjustRightInd/>
        <w:snapToGrid/>
        <w:spacing w:line="560" w:lineRule="exact"/>
        <w:textAlignment w:val="auto"/>
        <w:rPr>
          <w:rFonts w:hint="default" w:ascii="Times New Roman" w:hAnsi="Times New Roman" w:eastAsia="仿宋_GB2312" w:cs="Times New Roman"/>
          <w:sz w:val="32"/>
          <w:szCs w:val="32"/>
        </w:rPr>
      </w:pPr>
    </w:p>
    <w:p w14:paraId="729CB6DE">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kern w:val="2"/>
          <w:sz w:val="32"/>
          <w:szCs w:val="32"/>
          <w:lang w:val="en-US" w:eastAsia="zh-CN" w:bidi="ar-SA"/>
        </w:rPr>
        <w:t>2025年，长春市</w:t>
      </w:r>
      <w:r>
        <w:rPr>
          <w:rFonts w:hint="default" w:ascii="Times New Roman" w:hAnsi="Times New Roman" w:eastAsia="仿宋_GB2312" w:cs="Times New Roman"/>
          <w:kern w:val="2"/>
          <w:sz w:val="32"/>
          <w:szCs w:val="32"/>
          <w:lang w:val="en-US" w:eastAsia="zh-CN" w:bidi="ar-SA"/>
        </w:rPr>
        <w:t>双阳区发展和改革局</w:t>
      </w:r>
      <w:r>
        <w:rPr>
          <w:rFonts w:hint="eastAsia" w:ascii="Times New Roman" w:hAnsi="Times New Roman" w:eastAsia="仿宋_GB2312" w:cs="Times New Roman"/>
          <w:kern w:val="2"/>
          <w:sz w:val="32"/>
          <w:szCs w:val="32"/>
          <w:lang w:val="en-US" w:eastAsia="zh-CN" w:bidi="ar-SA"/>
        </w:rPr>
        <w:t>坚持以习近平新时代中国特色社会主义思想为指导，全面贯彻党的二十大和二十届二中、三中、四中全会精神，深入学习贯彻习近平法治思想，认真落实上级关于法治政府建设的总体部署和工作安排，扎实推进法治政府建设各项工作，取得了积极成效。现将有关情况报告如下：</w:t>
      </w:r>
    </w:p>
    <w:p w14:paraId="0F2033E0">
      <w:pPr>
        <w:keepNext w:val="0"/>
        <w:keepLines w:val="0"/>
        <w:pageBreakBefore w:val="0"/>
        <w:widowControl w:val="0"/>
        <w:numPr>
          <w:ilvl w:val="0"/>
          <w:numId w:val="0"/>
        </w:numPr>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黑体" w:cs="Times New Roman"/>
          <w:sz w:val="32"/>
          <w:szCs w:val="32"/>
          <w:lang w:val="en-US" w:eastAsia="zh-CN"/>
        </w:rPr>
        <w:t>一、</w:t>
      </w:r>
      <w:r>
        <w:rPr>
          <w:rFonts w:hint="eastAsia" w:ascii="Times New Roman" w:hAnsi="Times New Roman" w:eastAsia="黑体" w:cs="Times New Roman"/>
          <w:sz w:val="32"/>
          <w:szCs w:val="32"/>
          <w:lang w:val="en-US" w:eastAsia="zh-CN"/>
        </w:rPr>
        <w:t>2025年度推进法治政府建设的主要举措和成效</w:t>
      </w:r>
    </w:p>
    <w:p w14:paraId="3D69370E">
      <w:pPr>
        <w:pStyle w:val="3"/>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Times New Roman" w:hAnsi="Times New Roman" w:eastAsia="楷体_GB2312" w:cs="Times New Roman"/>
          <w:b w:val="0"/>
          <w:bCs w:val="0"/>
          <w:kern w:val="2"/>
          <w:sz w:val="32"/>
          <w:szCs w:val="32"/>
          <w:highlight w:val="none"/>
          <w:lang w:val="en-US" w:eastAsia="zh-CN" w:bidi="ar-SA"/>
        </w:rPr>
      </w:pPr>
      <w:r>
        <w:rPr>
          <w:rFonts w:hint="eastAsia" w:ascii="Times New Roman" w:hAnsi="Times New Roman" w:eastAsia="楷体_GB2312" w:cs="Times New Roman"/>
          <w:b w:val="0"/>
          <w:bCs w:val="0"/>
          <w:kern w:val="2"/>
          <w:sz w:val="32"/>
          <w:szCs w:val="32"/>
          <w:highlight w:val="none"/>
          <w:lang w:val="en-US" w:eastAsia="zh-CN" w:bidi="ar-SA"/>
        </w:rPr>
        <w:t>（一）强化法治学习，提升法治素养</w:t>
      </w:r>
    </w:p>
    <w:p w14:paraId="1BF5BE59">
      <w:pPr>
        <w:pStyle w:val="3"/>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3"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1.强化领导干部学法</w:t>
      </w:r>
      <w:r>
        <w:rPr>
          <w:rFonts w:hint="eastAsia" w:ascii="Times New Roman" w:hAnsi="Times New Roman" w:eastAsia="仿宋_GB2312" w:cs="Times New Roman"/>
          <w:kern w:val="2"/>
          <w:sz w:val="32"/>
          <w:szCs w:val="32"/>
          <w:lang w:val="en-US" w:eastAsia="zh-CN" w:bidi="ar-SA"/>
        </w:rPr>
        <w:t>：建立党组理论学习中心组学法制度，将习近平法治思想、宪法、民法典及与发展和改革工作紧密相关的法律法规纳入学习计划，通过集中研学、专题研讨、交流互鉴等形式，持续提升领导干部运用法治思维和法治方式深化改革、推动发展、化解矛盾、维护稳定的能力水平。始终把学习贯彻习近平总书记关于全面依法治国的重要指示精神、习近平法治思想“十二个坚持”核心要义作为首要政治任务，党组书记带头主持召开党组理论学习中心组法治专题学习会，带头宣讲阐释习近平法治思想，带头传达学习习近平总书记关于东北全面振兴、吉林工作的重要指示批示精神，以上率下带动班子成员及全局干部自觉尊法学法守法用法。并在工作中严格落实学法用法各项制度要求，推动法治学习常态化、制度化、规范化，切实以法治思维统领发展改革各项工作，把法治要求贯穿发改履职全过程。</w:t>
      </w:r>
    </w:p>
    <w:p w14:paraId="769CC6B6">
      <w:pPr>
        <w:pStyle w:val="3"/>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3"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2.组织执法人员培训：</w:t>
      </w:r>
      <w:r>
        <w:rPr>
          <w:rFonts w:hint="eastAsia" w:ascii="Times New Roman" w:hAnsi="Times New Roman" w:eastAsia="仿宋_GB2312" w:cs="Times New Roman"/>
          <w:kern w:val="2"/>
          <w:sz w:val="32"/>
          <w:szCs w:val="32"/>
          <w:lang w:val="en-US" w:eastAsia="zh-CN" w:bidi="ar-SA"/>
        </w:rPr>
        <w:t>积极组织执法人员参加各类业务培训和法治培训。培训内容涵盖行政执法程序和各类法规，通过培训，有效提高了执法人员的业务水平和依法履职能力。</w:t>
      </w:r>
    </w:p>
    <w:p w14:paraId="75DC2E0A">
      <w:pPr>
        <w:pStyle w:val="3"/>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Times New Roman" w:hAnsi="Times New Roman" w:eastAsia="楷体_GB2312" w:cs="Times New Roman"/>
          <w:b w:val="0"/>
          <w:bCs w:val="0"/>
          <w:kern w:val="2"/>
          <w:sz w:val="32"/>
          <w:szCs w:val="32"/>
          <w:highlight w:val="none"/>
          <w:lang w:val="en-US" w:eastAsia="zh-CN" w:bidi="ar-SA"/>
        </w:rPr>
      </w:pPr>
      <w:r>
        <w:rPr>
          <w:rFonts w:hint="eastAsia" w:ascii="Times New Roman" w:hAnsi="Times New Roman" w:eastAsia="楷体_GB2312" w:cs="Times New Roman"/>
          <w:b w:val="0"/>
          <w:bCs w:val="0"/>
          <w:kern w:val="2"/>
          <w:sz w:val="32"/>
          <w:szCs w:val="32"/>
          <w:highlight w:val="none"/>
          <w:lang w:val="en-US" w:eastAsia="zh-CN" w:bidi="ar-SA"/>
        </w:rPr>
        <w:t xml:space="preserve">（二）完善制度体系，夯实行政基础​ </w:t>
      </w:r>
    </w:p>
    <w:p w14:paraId="0C75658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1.完善制度体系建设：</w:t>
      </w:r>
      <w:r>
        <w:rPr>
          <w:rFonts w:hint="eastAsia" w:ascii="Times New Roman" w:hAnsi="Times New Roman" w:eastAsia="仿宋_GB2312" w:cs="Times New Roman"/>
          <w:kern w:val="2"/>
          <w:sz w:val="32"/>
          <w:szCs w:val="32"/>
          <w:lang w:val="en-US" w:eastAsia="zh-CN" w:bidi="ar-SA"/>
        </w:rPr>
        <w:t>全面梳理发改局的权力和责任清单，通过梳理明确了相关工作职责，明确各项行政权力的实施依据、责任主体、办理流程和时限要求，进一步规范了行政权力运行，提高工作效率。</w:t>
      </w:r>
    </w:p>
    <w:p w14:paraId="1E3EE989">
      <w:pPr>
        <w:pStyle w:val="3"/>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楷体_GB2312" w:cs="Times New Roman"/>
          <w:b w:val="0"/>
          <w:bCs w:val="0"/>
          <w:kern w:val="2"/>
          <w:sz w:val="32"/>
          <w:szCs w:val="32"/>
          <w:highlight w:val="none"/>
          <w:lang w:val="en-US" w:eastAsia="zh-CN" w:bidi="ar-SA"/>
        </w:rPr>
        <w:t>（三）规范执法服务，筑牢履职根基</w:t>
      </w:r>
      <w:r>
        <w:rPr>
          <w:rFonts w:hint="eastAsia" w:ascii="Times New Roman" w:hAnsi="Times New Roman" w:eastAsia="仿宋_GB2312" w:cs="Times New Roman"/>
          <w:kern w:val="2"/>
          <w:sz w:val="32"/>
          <w:szCs w:val="32"/>
          <w:lang w:val="en-US" w:eastAsia="zh-CN" w:bidi="ar-SA"/>
        </w:rPr>
        <w:t xml:space="preserve"> </w:t>
      </w:r>
    </w:p>
    <w:p w14:paraId="1B1E35EA">
      <w:pPr>
        <w:pStyle w:val="3"/>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3"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1.规范行政执法行为：</w:t>
      </w:r>
      <w:r>
        <w:rPr>
          <w:rFonts w:hint="eastAsia" w:ascii="Times New Roman" w:hAnsi="Times New Roman" w:eastAsia="仿宋_GB2312" w:cs="Times New Roman"/>
          <w:kern w:val="2"/>
          <w:sz w:val="32"/>
          <w:szCs w:val="32"/>
          <w:lang w:val="en-US" w:eastAsia="zh-CN" w:bidi="ar-SA"/>
        </w:rPr>
        <w:t>加强行政执法人员队伍管理与监督，严格执行持证上岗和资格管理制度，实现执法人员持证上岗率100%。全面自查、常态化开展行政执法专项监督检查，重点核查执法程序合法性、证据收集充分性、法律适用准确性、处罚裁量适当性等关键环节，对检查发现的问题建立台账、限期整改、闭环管理，持续规范行政执法行为。</w:t>
      </w:r>
    </w:p>
    <w:p w14:paraId="4E3D31E4">
      <w:pPr>
        <w:pStyle w:val="3"/>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3" w:firstLineChars="200"/>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2.完善信访工作机制</w:t>
      </w:r>
      <w:r>
        <w:rPr>
          <w:rFonts w:hint="eastAsia" w:ascii="Times New Roman" w:hAnsi="Times New Roman" w:eastAsia="仿宋_GB2312" w:cs="Times New Roman"/>
          <w:b/>
          <w:bCs/>
          <w:kern w:val="2"/>
          <w:sz w:val="32"/>
          <w:szCs w:val="32"/>
          <w:highlight w:val="none"/>
          <w:lang w:val="en-US" w:eastAsia="zh-CN" w:bidi="ar-SA"/>
        </w:rPr>
        <w:t>：</w:t>
      </w:r>
      <w:r>
        <w:rPr>
          <w:rFonts w:hint="eastAsia" w:ascii="Times New Roman" w:hAnsi="Times New Roman" w:eastAsia="仿宋_GB2312" w:cs="Times New Roman"/>
          <w:kern w:val="2"/>
          <w:sz w:val="32"/>
          <w:szCs w:val="32"/>
          <w:highlight w:val="none"/>
          <w:lang w:val="en-US" w:eastAsia="zh-CN" w:bidi="ar-SA"/>
        </w:rPr>
        <w:t>严格贯彻落实《信访工作条例》，畅通群众信访诉求渠道，规范信访事项受理、交办、办理、反馈全流程管理。对群众反映的合理诉求，第一时间调查核实、依法依规处置，并及时向信访人反馈办理进展和结果，切实将矛盾纠纷化解在基层、解决在源头。2025年，共受理信访事项5件，目前正在积极协调推进中，有效维护了社会和谐稳定。</w:t>
      </w:r>
    </w:p>
    <w:p w14:paraId="642079C7">
      <w:pPr>
        <w:pStyle w:val="2"/>
        <w:keepNext w:val="0"/>
        <w:keepLines w:val="0"/>
        <w:pageBreakBefore w:val="0"/>
        <w:kinsoku/>
        <w:wordWrap/>
        <w:overflowPunct/>
        <w:topLinePunct w:val="0"/>
        <w:autoSpaceDN/>
        <w:bidi w:val="0"/>
        <w:adjustRightInd/>
        <w:snapToGrid/>
        <w:spacing w:after="0" w:line="560" w:lineRule="exact"/>
        <w:ind w:firstLine="643" w:firstLineChars="200"/>
        <w:textAlignment w:val="auto"/>
        <w:rPr>
          <w:rFonts w:hint="default"/>
          <w:lang w:val="en-US" w:eastAsia="zh-CN"/>
        </w:rPr>
      </w:pPr>
      <w:r>
        <w:rPr>
          <w:rFonts w:hint="eastAsia" w:ascii="Times New Roman" w:hAnsi="Times New Roman" w:eastAsia="仿宋_GB2312" w:cs="Times New Roman"/>
          <w:b/>
          <w:bCs/>
          <w:kern w:val="2"/>
          <w:sz w:val="32"/>
          <w:szCs w:val="32"/>
          <w:highlight w:val="none"/>
          <w:lang w:val="en-US" w:eastAsia="zh-CN" w:bidi="ar-SA"/>
        </w:rPr>
        <w:t>3.强化重点领域执法：</w:t>
      </w:r>
      <w:r>
        <w:rPr>
          <w:rFonts w:hint="eastAsia" w:ascii="Times New Roman" w:hAnsi="Times New Roman" w:eastAsia="仿宋_GB2312" w:cs="Times New Roman"/>
          <w:kern w:val="2"/>
          <w:sz w:val="32"/>
          <w:szCs w:val="32"/>
          <w:highlight w:val="none"/>
          <w:lang w:val="en-US" w:eastAsia="zh-CN" w:bidi="ar-SA"/>
        </w:rPr>
        <w:t>聚焦企业固定资产投资立项及项目建设监督管理等重点领域，加强立项核准备案后对项目单位、项目建设现场、配套设施建设等重点环节和场所的双随机检查，严格落实双随机、一公开监管要求，重点监督未按立项批复建设和擅自变更建设内容等行为，确保固定资产投资项目规范推进、合规实施，切实保障固定资产投资管理秩序。2025年开展固定资产投资领域双随机专项行政执法检查5次，组织执法人员10余人次。</w:t>
      </w:r>
    </w:p>
    <w:p w14:paraId="75A269D1">
      <w:pPr>
        <w:pStyle w:val="3"/>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Times New Roman" w:hAnsi="Times New Roman" w:eastAsia="楷体_GB2312" w:cs="Times New Roman"/>
          <w:b w:val="0"/>
          <w:bCs w:val="0"/>
          <w:kern w:val="2"/>
          <w:sz w:val="32"/>
          <w:szCs w:val="32"/>
          <w:highlight w:val="none"/>
          <w:lang w:val="en-US" w:eastAsia="zh-CN" w:bidi="ar-SA"/>
        </w:rPr>
      </w:pPr>
      <w:r>
        <w:rPr>
          <w:rFonts w:hint="eastAsia" w:ascii="Times New Roman" w:hAnsi="Times New Roman" w:eastAsia="楷体_GB2312" w:cs="Times New Roman"/>
          <w:b w:val="0"/>
          <w:bCs w:val="0"/>
          <w:kern w:val="2"/>
          <w:sz w:val="32"/>
          <w:szCs w:val="32"/>
          <w:highlight w:val="none"/>
          <w:lang w:val="en-US" w:eastAsia="zh-CN" w:bidi="ar-SA"/>
        </w:rPr>
        <w:t>（四）优化营商环境 深化“放管服”改革</w:t>
      </w:r>
    </w:p>
    <w:p w14:paraId="2468F95C">
      <w:pPr>
        <w:pStyle w:val="3"/>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3" w:firstLineChars="200"/>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b/>
          <w:bCs/>
          <w:kern w:val="2"/>
          <w:sz w:val="32"/>
          <w:szCs w:val="32"/>
          <w:highlight w:val="none"/>
          <w:lang w:val="en-US" w:eastAsia="zh-CN" w:bidi="ar-SA"/>
        </w:rPr>
        <w:t>1.持续推进简政放权、放管结合、优化服务：</w:t>
      </w:r>
      <w:r>
        <w:rPr>
          <w:rFonts w:hint="eastAsia" w:ascii="Times New Roman" w:hAnsi="Times New Roman" w:eastAsia="仿宋_GB2312" w:cs="Times New Roman"/>
          <w:kern w:val="2"/>
          <w:sz w:val="32"/>
          <w:szCs w:val="32"/>
          <w:highlight w:val="none"/>
          <w:lang w:val="en-US" w:eastAsia="zh-CN" w:bidi="ar-SA"/>
        </w:rPr>
        <w:t xml:space="preserve">全面梳理行政审批事项，严格落实政务服务事项要素统一要求，优化审批流程、精简申报材料，不断提升政务服务效能。进一步压缩行政许可办理时限，在投资项目在线审批监管平台将企业投资项目备案、核准等事项办理时限压缩至法定时限内，全力提升项目审批效率。 </w:t>
      </w:r>
    </w:p>
    <w:p w14:paraId="117AEA1C">
      <w:pPr>
        <w:pStyle w:val="3"/>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3" w:firstLineChars="200"/>
        <w:textAlignment w:val="auto"/>
        <w:rPr>
          <w:rFonts w:hint="default"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b/>
          <w:bCs/>
          <w:kern w:val="2"/>
          <w:sz w:val="32"/>
          <w:szCs w:val="32"/>
          <w:lang w:val="en-US" w:eastAsia="zh-CN" w:bidi="ar-SA"/>
        </w:rPr>
        <w:t>2.规范涉企行政执法检查：</w:t>
      </w:r>
      <w:r>
        <w:rPr>
          <w:rFonts w:hint="eastAsia" w:ascii="Times New Roman" w:hAnsi="Times New Roman" w:eastAsia="仿宋_GB2312" w:cs="Times New Roman"/>
          <w:kern w:val="2"/>
          <w:sz w:val="32"/>
          <w:szCs w:val="32"/>
          <w:lang w:val="en-US" w:eastAsia="zh-CN" w:bidi="ar-SA"/>
        </w:rPr>
        <w:t>严格制定年度涉企行政执法检查计划，明确检查事项、对象、时间和方式，坚决杜绝多头执法、重</w:t>
      </w:r>
      <w:r>
        <w:rPr>
          <w:rFonts w:hint="eastAsia" w:ascii="Times New Roman" w:hAnsi="Times New Roman" w:eastAsia="仿宋_GB2312" w:cs="Times New Roman"/>
          <w:kern w:val="2"/>
          <w:sz w:val="32"/>
          <w:szCs w:val="32"/>
          <w:highlight w:val="none"/>
          <w:lang w:val="en-US" w:eastAsia="zh-CN" w:bidi="ar-SA"/>
        </w:rPr>
        <w:t>复检查，切实落实“无事不扰、无处不在”监管原则。积极推行行政许可和行政处罚等信用信息“双公示”制度，健全信息归集、审核、发布工作机制，确保行政信息及时、准确、全面公示。同时，深化信用体系建设应用，健全守信联合激励和失信联合惩戒机制，常态化开展诚信宣传教育活动，多举措推进社会信用体系建设，持续优化法治化营商环境，全面提升区域社会信用水平。</w:t>
      </w:r>
    </w:p>
    <w:p w14:paraId="1474B03E">
      <w:pPr>
        <w:keepNext w:val="0"/>
        <w:keepLines w:val="0"/>
        <w:pageBreakBefore w:val="0"/>
        <w:widowControl w:val="0"/>
        <w:numPr>
          <w:ilvl w:val="0"/>
          <w:numId w:val="0"/>
        </w:numPr>
        <w:kinsoku/>
        <w:wordWrap/>
        <w:overflowPunct/>
        <w:topLinePunct w:val="0"/>
        <w:autoSpaceDE w:val="0"/>
        <w:autoSpaceDN/>
        <w:bidi w:val="0"/>
        <w:adjustRightInd/>
        <w:snapToGrid/>
        <w:spacing w:line="560" w:lineRule="exact"/>
        <w:ind w:firstLine="640" w:firstLineChars="200"/>
        <w:textAlignment w:val="auto"/>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二</w:t>
      </w:r>
      <w:r>
        <w:rPr>
          <w:rFonts w:hint="default" w:ascii="Times New Roman" w:hAnsi="Times New Roman" w:eastAsia="黑体" w:cs="Times New Roman"/>
          <w:sz w:val="32"/>
          <w:szCs w:val="32"/>
          <w:lang w:val="en-US" w:eastAsia="zh-CN"/>
        </w:rPr>
        <w:t>、</w:t>
      </w:r>
      <w:r>
        <w:rPr>
          <w:rFonts w:hint="eastAsia" w:ascii="Times New Roman" w:hAnsi="Times New Roman" w:eastAsia="黑体" w:cs="Times New Roman"/>
          <w:sz w:val="32"/>
          <w:szCs w:val="32"/>
          <w:lang w:val="en-US" w:eastAsia="zh-CN"/>
        </w:rPr>
        <w:t>2025年度推进法治政府建设存在的不足和原因</w:t>
      </w:r>
    </w:p>
    <w:p w14:paraId="2ABEC754">
      <w:pPr>
        <w:pStyle w:val="3"/>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Times New Roman" w:hAnsi="Times New Roman" w:eastAsia="楷体_GB2312" w:cs="Times New Roman"/>
          <w:b w:val="0"/>
          <w:bCs w:val="0"/>
          <w:kern w:val="2"/>
          <w:sz w:val="32"/>
          <w:szCs w:val="32"/>
          <w:highlight w:val="none"/>
          <w:lang w:val="en-US" w:eastAsia="zh-CN" w:bidi="ar-SA"/>
        </w:rPr>
      </w:pPr>
      <w:r>
        <w:rPr>
          <w:rFonts w:hint="eastAsia" w:ascii="Times New Roman" w:hAnsi="Times New Roman" w:eastAsia="楷体_GB2312" w:cs="Times New Roman"/>
          <w:b w:val="0"/>
          <w:bCs w:val="0"/>
          <w:kern w:val="2"/>
          <w:sz w:val="32"/>
          <w:szCs w:val="32"/>
          <w:highlight w:val="none"/>
          <w:lang w:val="en-US" w:eastAsia="zh-CN" w:bidi="ar-SA"/>
        </w:rPr>
        <w:t>（一）法治宣传教育有待加强</w:t>
      </w:r>
    </w:p>
    <w:p w14:paraId="6C7EA70F">
      <w:pPr>
        <w:pStyle w:val="3"/>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Times New Roman" w:hAnsi="Times New Roman" w:eastAsia="方正仿宋简体" w:cs="Times New Roman"/>
          <w:kern w:val="2"/>
          <w:sz w:val="32"/>
          <w:szCs w:val="40"/>
          <w:highlight w:val="none"/>
          <w:lang w:val="en-US" w:eastAsia="zh-CN" w:bidi="ar-SA"/>
        </w:rPr>
      </w:pPr>
      <w:r>
        <w:rPr>
          <w:rFonts w:hint="eastAsia" w:ascii="Times New Roman" w:hAnsi="Times New Roman" w:eastAsia="仿宋_GB2312" w:cs="Times New Roman"/>
          <w:kern w:val="2"/>
          <w:sz w:val="32"/>
          <w:szCs w:val="32"/>
          <w:lang w:val="en-US" w:eastAsia="zh-CN" w:bidi="ar-SA"/>
        </w:rPr>
        <w:t>法治宣传教育的形式和内容还不够丰富，针对性和实效性有待进一步提高。部分干部对法律法规的学习还不够深入，法治意识和法治素养有待进一步提升。</w:t>
      </w:r>
    </w:p>
    <w:p w14:paraId="3AA30B49">
      <w:pPr>
        <w:pStyle w:val="3"/>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Times New Roman" w:hAnsi="Times New Roman" w:eastAsia="方正仿宋简体" w:cs="Times New Roman"/>
          <w:kern w:val="2"/>
          <w:sz w:val="32"/>
          <w:szCs w:val="40"/>
          <w:highlight w:val="none"/>
          <w:lang w:val="en-US" w:eastAsia="zh-CN" w:bidi="ar-SA"/>
        </w:rPr>
      </w:pPr>
      <w:r>
        <w:rPr>
          <w:rFonts w:hint="eastAsia" w:ascii="Times New Roman" w:hAnsi="Times New Roman" w:eastAsia="楷体_GB2312" w:cs="Times New Roman"/>
          <w:b w:val="0"/>
          <w:bCs w:val="0"/>
          <w:kern w:val="2"/>
          <w:sz w:val="32"/>
          <w:szCs w:val="32"/>
          <w:highlight w:val="none"/>
          <w:lang w:val="en-US" w:eastAsia="zh-CN" w:bidi="ar-SA"/>
        </w:rPr>
        <w:t>（二）行政执法水平有待提升</w:t>
      </w:r>
    </w:p>
    <w:p w14:paraId="548556D4">
      <w:pPr>
        <w:pStyle w:val="3"/>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部分执法人员在执法过程中还存在登记流程不够规范等问题，执法队伍的整体素质和业务能力与新时代法治政府建设的要求还有一定差距。</w:t>
      </w:r>
    </w:p>
    <w:p w14:paraId="5B9FD8CD">
      <w:pPr>
        <w:pStyle w:val="3"/>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Times New Roman" w:hAnsi="Times New Roman" w:eastAsia="楷体_GB2312" w:cs="Times New Roman"/>
          <w:b w:val="0"/>
          <w:bCs w:val="0"/>
          <w:kern w:val="2"/>
          <w:sz w:val="32"/>
          <w:szCs w:val="32"/>
          <w:highlight w:val="none"/>
          <w:lang w:val="en-US" w:eastAsia="zh-CN" w:bidi="ar-SA"/>
        </w:rPr>
      </w:pPr>
      <w:r>
        <w:rPr>
          <w:rFonts w:hint="eastAsia" w:ascii="Times New Roman" w:hAnsi="Times New Roman" w:eastAsia="楷体_GB2312" w:cs="Times New Roman"/>
          <w:b w:val="0"/>
          <w:bCs w:val="0"/>
          <w:kern w:val="2"/>
          <w:sz w:val="32"/>
          <w:szCs w:val="32"/>
          <w:highlight w:val="none"/>
          <w:lang w:val="en-US" w:eastAsia="zh-CN" w:bidi="ar-SA"/>
        </w:rPr>
        <w:t>（三）社会信用体系建设还需完善</w:t>
      </w:r>
    </w:p>
    <w:p w14:paraId="44E7BA9F">
      <w:pPr>
        <w:pStyle w:val="3"/>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信用信息共享平台的建立还不够完善，信用信息归集的覆盖面还不够广，信用联合奖惩机制的执行力度还需进一步加强。社会公众的信用意识还有待进一步提高。</w:t>
      </w:r>
    </w:p>
    <w:p w14:paraId="107F54DA">
      <w:pPr>
        <w:keepNext w:val="0"/>
        <w:keepLines w:val="0"/>
        <w:pageBreakBefore w:val="0"/>
        <w:widowControl w:val="0"/>
        <w:numPr>
          <w:ilvl w:val="0"/>
          <w:numId w:val="0"/>
        </w:numPr>
        <w:kinsoku/>
        <w:wordWrap/>
        <w:overflowPunct/>
        <w:topLinePunct w:val="0"/>
        <w:autoSpaceDE w:val="0"/>
        <w:autoSpaceDN/>
        <w:bidi w:val="0"/>
        <w:adjustRightInd/>
        <w:snapToGrid/>
        <w:spacing w:line="560" w:lineRule="exact"/>
        <w:ind w:firstLine="640" w:firstLineChars="200"/>
        <w:textAlignment w:val="auto"/>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三、2025年度党政主要负责人履行推进法治建设第一责任人职责，加强法治政府建设的有关情况</w:t>
      </w:r>
    </w:p>
    <w:p w14:paraId="22C3E040">
      <w:pPr>
        <w:pStyle w:val="3"/>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楷体简体" w:hAnsi="方正楷体简体" w:eastAsia="方正楷体简体" w:cs="方正楷体简体"/>
          <w:kern w:val="2"/>
          <w:sz w:val="32"/>
          <w:szCs w:val="32"/>
          <w:lang w:val="en-US" w:eastAsia="zh-CN" w:bidi="ar-SA"/>
        </w:rPr>
      </w:pPr>
      <w:r>
        <w:rPr>
          <w:rFonts w:hint="eastAsia" w:ascii="Times New Roman" w:hAnsi="Times New Roman" w:eastAsia="楷体_GB2312" w:cs="Times New Roman"/>
          <w:b w:val="0"/>
          <w:bCs w:val="0"/>
          <w:kern w:val="2"/>
          <w:sz w:val="32"/>
          <w:szCs w:val="32"/>
          <w:highlight w:val="none"/>
          <w:lang w:val="en-US" w:eastAsia="zh-CN" w:bidi="ar-SA"/>
        </w:rPr>
        <w:t>（一）加强组织领导</w:t>
      </w:r>
    </w:p>
    <w:p w14:paraId="0CE85EC4">
      <w:pPr>
        <w:pStyle w:val="3"/>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单位主要负责同志高度重视法治政府建设工作，将其纳入年度工作计划和重要议事日程，定期研究部署法治政府建设工作。</w:t>
      </w:r>
    </w:p>
    <w:p w14:paraId="255E8C8F">
      <w:pPr>
        <w:pStyle w:val="3"/>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Times New Roman" w:hAnsi="Times New Roman" w:eastAsia="方正仿宋简体" w:cs="Times New Roman"/>
          <w:kern w:val="2"/>
          <w:sz w:val="32"/>
          <w:szCs w:val="40"/>
          <w:highlight w:val="none"/>
          <w:lang w:val="en-US" w:eastAsia="zh-CN" w:bidi="ar-SA"/>
        </w:rPr>
      </w:pPr>
      <w:r>
        <w:rPr>
          <w:rFonts w:hint="eastAsia" w:ascii="Times New Roman" w:hAnsi="Times New Roman" w:eastAsia="楷体_GB2312" w:cs="Times New Roman"/>
          <w:b w:val="0"/>
          <w:bCs w:val="0"/>
          <w:kern w:val="2"/>
          <w:sz w:val="32"/>
          <w:szCs w:val="32"/>
          <w:highlight w:val="none"/>
          <w:lang w:val="en-US" w:eastAsia="zh-CN" w:bidi="ar-SA"/>
        </w:rPr>
        <w:t>（二）推动工作落实</w:t>
      </w:r>
    </w:p>
    <w:p w14:paraId="20142F8C">
      <w:pPr>
        <w:pStyle w:val="3"/>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主要领导及时研究解决工作中存在的问题。对法治政府建设重点任务进行分解，加强督促检查，确保各项任务落到实处。</w:t>
      </w:r>
    </w:p>
    <w:p w14:paraId="6C596AFD">
      <w:pPr>
        <w:pStyle w:val="3"/>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Times New Roman" w:hAnsi="Times New Roman" w:eastAsia="方正仿宋简体" w:cs="Times New Roman"/>
          <w:kern w:val="2"/>
          <w:sz w:val="32"/>
          <w:szCs w:val="40"/>
          <w:highlight w:val="none"/>
          <w:lang w:val="en-US" w:eastAsia="zh-CN" w:bidi="ar-SA"/>
        </w:rPr>
      </w:pPr>
      <w:r>
        <w:rPr>
          <w:rFonts w:hint="eastAsia" w:ascii="方正楷体简体" w:hAnsi="方正楷体简体" w:eastAsia="方正楷体简体" w:cs="方正楷体简体"/>
          <w:kern w:val="2"/>
          <w:sz w:val="32"/>
          <w:szCs w:val="32"/>
          <w:lang w:val="en-US" w:eastAsia="zh-CN" w:bidi="ar-SA"/>
        </w:rPr>
        <w:t>（三）带头学法用法</w:t>
      </w:r>
      <w:r>
        <w:rPr>
          <w:rFonts w:hint="eastAsia" w:ascii="Times New Roman" w:hAnsi="Times New Roman" w:eastAsia="方正仿宋简体" w:cs="Times New Roman"/>
          <w:kern w:val="2"/>
          <w:sz w:val="32"/>
          <w:szCs w:val="40"/>
          <w:highlight w:val="none"/>
          <w:lang w:val="en-US" w:eastAsia="zh-CN" w:bidi="ar-SA"/>
        </w:rPr>
        <w:t xml:space="preserve">​ </w:t>
      </w:r>
    </w:p>
    <w:p w14:paraId="0864148A">
      <w:pPr>
        <w:pStyle w:val="3"/>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Times New Roman" w:hAnsi="Times New Roman" w:eastAsia="黑体" w:cs="Times New Roman"/>
          <w:sz w:val="32"/>
          <w:szCs w:val="32"/>
          <w:lang w:val="en-US" w:eastAsia="zh-CN"/>
        </w:rPr>
      </w:pPr>
      <w:r>
        <w:rPr>
          <w:rFonts w:hint="eastAsia" w:ascii="Times New Roman" w:hAnsi="Times New Roman" w:eastAsia="仿宋_GB2312" w:cs="Times New Roman"/>
          <w:kern w:val="2"/>
          <w:sz w:val="32"/>
          <w:szCs w:val="32"/>
          <w:lang w:val="en-US" w:eastAsia="zh-CN" w:bidi="ar-SA"/>
        </w:rPr>
        <w:t>单位主要负责同志以身作则，带头学习习近平法治思想和法律法规，积极参加各类法治培训和。在工作中，严格遵守宪法和法律，依法履行职责，自觉运用法治思维和法治方式推动工作。同时，加强对干部职工的法治教育，营造了良好的法治氛围。</w:t>
      </w:r>
    </w:p>
    <w:p w14:paraId="7937C559">
      <w:pPr>
        <w:keepNext w:val="0"/>
        <w:keepLines w:val="0"/>
        <w:pageBreakBefore w:val="0"/>
        <w:widowControl w:val="0"/>
        <w:numPr>
          <w:ilvl w:val="0"/>
          <w:numId w:val="0"/>
        </w:numPr>
        <w:kinsoku/>
        <w:wordWrap/>
        <w:overflowPunct/>
        <w:topLinePunct w:val="0"/>
        <w:autoSpaceDE w:val="0"/>
        <w:autoSpaceDN/>
        <w:bidi w:val="0"/>
        <w:adjustRightInd/>
        <w:snapToGrid/>
        <w:spacing w:line="560" w:lineRule="exact"/>
        <w:ind w:firstLine="640" w:firstLineChars="200"/>
        <w:textAlignment w:val="auto"/>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四、2026年度推进法治政府建设的主要安排</w:t>
      </w:r>
    </w:p>
    <w:p w14:paraId="2CB8707B">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Times New Roman" w:hAnsi="Times New Roman" w:eastAsia="方正仿宋简体" w:cs="Times New Roman"/>
          <w:kern w:val="2"/>
          <w:sz w:val="32"/>
          <w:szCs w:val="40"/>
          <w:highlight w:val="none"/>
          <w:lang w:val="en-US" w:eastAsia="zh-CN" w:bidi="ar-SA"/>
        </w:rPr>
      </w:pPr>
      <w:r>
        <w:rPr>
          <w:rFonts w:hint="eastAsia" w:ascii="方正楷体简体" w:hAnsi="方正楷体简体" w:eastAsia="方正楷体简体" w:cs="方正楷体简体"/>
          <w:kern w:val="2"/>
          <w:sz w:val="32"/>
          <w:szCs w:val="32"/>
          <w:lang w:val="en-US" w:eastAsia="zh-CN" w:bidi="ar-SA"/>
        </w:rPr>
        <w:t>（一）持续加强法治宣传教育​</w:t>
      </w:r>
      <w:r>
        <w:rPr>
          <w:rFonts w:hint="eastAsia" w:ascii="Times New Roman" w:hAnsi="Times New Roman" w:eastAsia="方正仿宋简体" w:cs="Times New Roman"/>
          <w:kern w:val="2"/>
          <w:sz w:val="32"/>
          <w:szCs w:val="40"/>
          <w:highlight w:val="none"/>
          <w:lang w:val="en-US" w:eastAsia="zh-CN" w:bidi="ar-SA"/>
        </w:rPr>
        <w:t xml:space="preserve"> </w:t>
      </w:r>
    </w:p>
    <w:p w14:paraId="489FE5F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1.丰富法治宣传教育形式：</w:t>
      </w:r>
      <w:r>
        <w:rPr>
          <w:rFonts w:hint="eastAsia" w:ascii="Times New Roman" w:hAnsi="Times New Roman" w:eastAsia="仿宋_GB2312" w:cs="Times New Roman"/>
          <w:kern w:val="2"/>
          <w:sz w:val="32"/>
          <w:szCs w:val="32"/>
          <w:lang w:val="en-US" w:eastAsia="zh-CN" w:bidi="ar-SA"/>
        </w:rPr>
        <w:t>创新开展多种形式的法治宣传教育活动，如举办法律知识竞赛、法治讲座等，增强法治宣传教育的吸引力和感染力。充分利用新媒体平台，广泛宣传法律法规和政策，提高法治宣传教育的覆盖面和影响力。</w:t>
      </w:r>
    </w:p>
    <w:p w14:paraId="0AC1D86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2.强化干部职工法治培训：</w:t>
      </w:r>
      <w:r>
        <w:rPr>
          <w:rFonts w:hint="eastAsia" w:ascii="Times New Roman" w:hAnsi="Times New Roman" w:eastAsia="仿宋_GB2312" w:cs="Times New Roman"/>
          <w:kern w:val="2"/>
          <w:sz w:val="32"/>
          <w:szCs w:val="32"/>
          <w:lang w:val="en-US" w:eastAsia="zh-CN" w:bidi="ar-SA"/>
        </w:rPr>
        <w:t>制定详细的法治培训计划，加大对干部职工的法治培训力度，重点加强对习近平法治思想、宪法、民法典以及与发展改革工作相关法律法规的学习培训，不断提升干部职工的法治意识和法治素养。​</w:t>
      </w:r>
    </w:p>
    <w:p w14:paraId="32F9DC4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Times New Roman"/>
          <w:kern w:val="2"/>
          <w:sz w:val="32"/>
          <w:szCs w:val="40"/>
          <w:highlight w:val="none"/>
          <w:lang w:val="en-US" w:eastAsia="zh-CN" w:bidi="ar-SA"/>
        </w:rPr>
      </w:pPr>
      <w:r>
        <w:rPr>
          <w:rFonts w:hint="eastAsia" w:ascii="方正楷体简体" w:hAnsi="方正楷体简体" w:eastAsia="方正楷体简体" w:cs="方正楷体简体"/>
          <w:kern w:val="2"/>
          <w:sz w:val="32"/>
          <w:szCs w:val="32"/>
          <w:lang w:val="en-US" w:eastAsia="zh-CN" w:bidi="ar-SA"/>
        </w:rPr>
        <w:t>（二）不断提升行政执法水平</w:t>
      </w:r>
    </w:p>
    <w:p w14:paraId="6CBD1CD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1.加强执法人员培训管理：</w:t>
      </w:r>
      <w:r>
        <w:rPr>
          <w:rFonts w:hint="eastAsia" w:ascii="Times New Roman" w:hAnsi="Times New Roman" w:eastAsia="仿宋_GB2312" w:cs="Times New Roman"/>
          <w:kern w:val="2"/>
          <w:sz w:val="32"/>
          <w:szCs w:val="32"/>
          <w:lang w:val="en-US" w:eastAsia="zh-CN" w:bidi="ar-SA"/>
        </w:rPr>
        <w:t>定期组织执法人员参加业务培训和执法技能培训，邀请业务骨干进行授课，不断提高执法人员的业务能力和执法水平。加强对执法人员的日常管理和考核，严格落实行政执法责任制，对执法不规范、不公正的行为严肃追究责任。</w:t>
      </w:r>
    </w:p>
    <w:p w14:paraId="4E03D09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简体" w:cs="Times New Roman"/>
          <w:kern w:val="2"/>
          <w:sz w:val="32"/>
          <w:szCs w:val="40"/>
          <w:highlight w:val="none"/>
          <w:lang w:val="en-US" w:eastAsia="zh-CN" w:bidi="ar-SA"/>
        </w:rPr>
      </w:pPr>
      <w:r>
        <w:rPr>
          <w:rFonts w:hint="eastAsia" w:ascii="Times New Roman" w:hAnsi="Times New Roman" w:eastAsia="仿宋_GB2312" w:cs="Times New Roman"/>
          <w:b/>
          <w:bCs/>
          <w:kern w:val="2"/>
          <w:sz w:val="32"/>
          <w:szCs w:val="32"/>
          <w:lang w:val="en-US" w:eastAsia="zh-CN" w:bidi="ar-SA"/>
        </w:rPr>
        <w:t>2.规范行政执法行为：</w:t>
      </w:r>
      <w:r>
        <w:rPr>
          <w:rFonts w:hint="eastAsia" w:ascii="Times New Roman" w:hAnsi="Times New Roman" w:eastAsia="仿宋_GB2312" w:cs="Times New Roman"/>
          <w:kern w:val="2"/>
          <w:sz w:val="32"/>
          <w:szCs w:val="32"/>
          <w:lang w:val="en-US" w:eastAsia="zh-CN" w:bidi="ar-SA"/>
        </w:rPr>
        <w:t>进一步完善行政执法程序和制度，加强对行政执法全过程的监督管理。确保行政执法公开、公平、公正。加强对行政执法案例的分析和研究，及时总结经验教训，不断规范行政执法行为。</w:t>
      </w:r>
    </w:p>
    <w:p w14:paraId="53DA9BE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楷体简体" w:hAnsi="方正楷体简体" w:eastAsia="方正楷体简体" w:cs="方正楷体简体"/>
          <w:kern w:val="2"/>
          <w:sz w:val="32"/>
          <w:szCs w:val="32"/>
          <w:highlight w:val="none"/>
          <w:lang w:val="en-US" w:eastAsia="zh-CN" w:bidi="ar-SA"/>
        </w:rPr>
      </w:pPr>
      <w:r>
        <w:rPr>
          <w:rFonts w:hint="eastAsia" w:ascii="方正楷体简体" w:hAnsi="方正楷体简体" w:eastAsia="方正楷体简体" w:cs="方正楷体简体"/>
          <w:kern w:val="2"/>
          <w:sz w:val="32"/>
          <w:szCs w:val="32"/>
          <w:highlight w:val="none"/>
          <w:lang w:val="en-US" w:eastAsia="zh-CN" w:bidi="ar-SA"/>
        </w:rPr>
        <w:t xml:space="preserve">（三）深入推进社会信用体系建设​ </w:t>
      </w:r>
    </w:p>
    <w:p w14:paraId="0789572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b/>
          <w:bCs/>
          <w:kern w:val="2"/>
          <w:sz w:val="32"/>
          <w:szCs w:val="32"/>
          <w:highlight w:val="none"/>
          <w:lang w:val="en-US" w:eastAsia="zh-CN" w:bidi="ar-SA"/>
        </w:rPr>
        <w:t>1.强化信用联合奖惩机制：</w:t>
      </w:r>
      <w:r>
        <w:rPr>
          <w:rFonts w:hint="eastAsia" w:ascii="Times New Roman" w:hAnsi="Times New Roman" w:eastAsia="仿宋_GB2312" w:cs="Times New Roman"/>
          <w:kern w:val="2"/>
          <w:sz w:val="32"/>
          <w:szCs w:val="32"/>
          <w:highlight w:val="none"/>
          <w:lang w:val="en-US" w:eastAsia="zh-CN" w:bidi="ar-SA"/>
        </w:rPr>
        <w:t>加强与相关部门的沟通协调，建立健全信用联合奖惩协同机制，加大对守信主体的激励力度和对失信主体的惩戒力度。加强对信用联合奖惩案例的宣传和推广，提高社会公众对信用联合奖惩机制的知晓度和认可度，营造诚实守信的社会氛围。</w:t>
      </w:r>
    </w:p>
    <w:p w14:paraId="0895C37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Times New Roman"/>
          <w:kern w:val="2"/>
          <w:sz w:val="32"/>
          <w:szCs w:val="40"/>
          <w:highlight w:val="none"/>
          <w:lang w:val="en-US" w:eastAsia="zh-CN" w:bidi="ar-SA"/>
        </w:rPr>
      </w:pPr>
      <w:r>
        <w:rPr>
          <w:rFonts w:hint="eastAsia" w:ascii="方正楷体简体" w:hAnsi="方正楷体简体" w:eastAsia="方正楷体简体" w:cs="方正楷体简体"/>
          <w:kern w:val="2"/>
          <w:sz w:val="32"/>
          <w:szCs w:val="32"/>
          <w:lang w:val="en-US" w:eastAsia="zh-CN" w:bidi="ar-SA"/>
        </w:rPr>
        <w:t>（四）持续优化法治化营商环境</w:t>
      </w:r>
    </w:p>
    <w:p w14:paraId="258CFE7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1.深化“放管服”改革：</w:t>
      </w:r>
      <w:r>
        <w:rPr>
          <w:rFonts w:hint="eastAsia" w:ascii="Times New Roman" w:hAnsi="Times New Roman" w:eastAsia="仿宋_GB2312" w:cs="Times New Roman"/>
          <w:kern w:val="2"/>
          <w:sz w:val="32"/>
          <w:szCs w:val="32"/>
          <w:lang w:val="en-US" w:eastAsia="zh-CN" w:bidi="ar-SA"/>
        </w:rPr>
        <w:t>进一步优化行政审批流程，精简办事环节，压缩办理时限，提高政务服</w:t>
      </w:r>
      <w:r>
        <w:rPr>
          <w:rFonts w:hint="eastAsia" w:ascii="Times New Roman" w:hAnsi="Times New Roman" w:eastAsia="仿宋_GB2312" w:cs="Times New Roman"/>
          <w:kern w:val="2"/>
          <w:sz w:val="32"/>
          <w:szCs w:val="32"/>
          <w:highlight w:val="none"/>
          <w:lang w:val="en-US" w:eastAsia="zh-CN" w:bidi="ar-SA"/>
        </w:rPr>
        <w:t>务效能。加快实现更多事项网上办理、全程网办，为企业和群众提供更加便捷高效的服务。</w:t>
      </w:r>
    </w:p>
    <w:p w14:paraId="24C08FC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2.规范涉企行政执法检查：</w:t>
      </w:r>
      <w:r>
        <w:rPr>
          <w:rFonts w:hint="eastAsia" w:ascii="Times New Roman" w:hAnsi="Times New Roman" w:eastAsia="仿宋_GB2312" w:cs="Times New Roman"/>
          <w:kern w:val="2"/>
          <w:sz w:val="32"/>
          <w:szCs w:val="32"/>
          <w:lang w:val="en-US" w:eastAsia="zh-CN" w:bidi="ar-SA"/>
        </w:rPr>
        <w:t>进一步完善涉企行政执法检查制度，严格执行检查计划和程序，减少对企业正常生产经营活动的干扰。推行包容审慎监管，对企业的轻微违法行为，依法实行从轻、减轻或免予处罚，为企业发展创造宽松的环境。</w:t>
      </w:r>
    </w:p>
    <w:p w14:paraId="5B2617B6">
      <w:pPr>
        <w:keepNext w:val="0"/>
        <w:keepLines w:val="0"/>
        <w:pageBreakBefore w:val="0"/>
        <w:widowControl w:val="0"/>
        <w:numPr>
          <w:ilvl w:val="0"/>
          <w:numId w:val="0"/>
        </w:numPr>
        <w:kinsoku/>
        <w:wordWrap/>
        <w:overflowPunct/>
        <w:topLinePunct w:val="0"/>
        <w:autoSpaceDE w:val="0"/>
        <w:autoSpaceDN/>
        <w:bidi w:val="0"/>
        <w:adjustRightInd/>
        <w:snapToGrid/>
        <w:spacing w:line="560" w:lineRule="exact"/>
        <w:ind w:firstLine="640" w:firstLineChars="200"/>
        <w:textAlignment w:val="auto"/>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五、其他需要报告的情况</w:t>
      </w:r>
    </w:p>
    <w:p w14:paraId="3C040B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w:t>
      </w:r>
    </w:p>
    <w:p w14:paraId="1F516B7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p>
    <w:p w14:paraId="3CA9D43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p>
    <w:p w14:paraId="13A33D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p>
    <w:p w14:paraId="37045DB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p>
    <w:p w14:paraId="3E5379F4">
      <w:pPr>
        <w:keepNext w:val="0"/>
        <w:keepLines w:val="0"/>
        <w:pageBreakBefore w:val="0"/>
        <w:widowControl w:val="0"/>
        <w:kinsoku/>
        <w:wordWrap/>
        <w:overflowPunct/>
        <w:topLinePunct w:val="0"/>
        <w:autoSpaceDE/>
        <w:autoSpaceDN/>
        <w:bidi w:val="0"/>
        <w:adjustRightInd/>
        <w:snapToGrid/>
        <w:spacing w:line="560" w:lineRule="exact"/>
        <w:ind w:firstLine="3520" w:firstLineChars="11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长春市双阳区发展和改革局</w:t>
      </w:r>
    </w:p>
    <w:p w14:paraId="5B1D2D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Times New Roman" w:hAnsi="Times New Roman" w:eastAsia="仿宋_GB2312" w:cs="Times New Roman"/>
          <w:sz w:val="32"/>
          <w:szCs w:val="32"/>
          <w:lang w:val="en-US" w:eastAsia="zh-CN"/>
        </w:rPr>
        <w:t xml:space="preserve">   2026年3月18</w:t>
      </w:r>
      <w:bookmarkStart w:id="0" w:name="_GoBack"/>
      <w:bookmarkEnd w:id="0"/>
      <w:r>
        <w:rPr>
          <w:rFonts w:hint="eastAsia" w:ascii="Times New Roman" w:hAnsi="Times New Roman" w:eastAsia="仿宋_GB2312" w:cs="Times New Roman"/>
          <w:sz w:val="32"/>
          <w:szCs w:val="32"/>
          <w:lang w:val="en-US" w:eastAsia="zh-CN"/>
        </w:rPr>
        <w:t>日</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楷体简体">
    <w:altName w:val="楷体_GB2312"/>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07637">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4B15E0">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54B15E0">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969AD"/>
    <w:rsid w:val="02CB1CF7"/>
    <w:rsid w:val="02E85094"/>
    <w:rsid w:val="067508F8"/>
    <w:rsid w:val="07987B4D"/>
    <w:rsid w:val="08C711B3"/>
    <w:rsid w:val="0C8C1146"/>
    <w:rsid w:val="0D0504FC"/>
    <w:rsid w:val="0DD22BD8"/>
    <w:rsid w:val="0F6820C6"/>
    <w:rsid w:val="0FC32276"/>
    <w:rsid w:val="102B0279"/>
    <w:rsid w:val="13637D2A"/>
    <w:rsid w:val="139D4A3E"/>
    <w:rsid w:val="141F1EA3"/>
    <w:rsid w:val="14587163"/>
    <w:rsid w:val="15555D51"/>
    <w:rsid w:val="164233F3"/>
    <w:rsid w:val="16F615E1"/>
    <w:rsid w:val="17A4275E"/>
    <w:rsid w:val="17FA3B6E"/>
    <w:rsid w:val="190B0C48"/>
    <w:rsid w:val="1AF20311"/>
    <w:rsid w:val="1BAE584D"/>
    <w:rsid w:val="1D976916"/>
    <w:rsid w:val="1E982F7E"/>
    <w:rsid w:val="1F6E05F4"/>
    <w:rsid w:val="22AD6A12"/>
    <w:rsid w:val="25D4002D"/>
    <w:rsid w:val="25FA62CC"/>
    <w:rsid w:val="26EC030B"/>
    <w:rsid w:val="2703348E"/>
    <w:rsid w:val="287D21B4"/>
    <w:rsid w:val="2ABE364B"/>
    <w:rsid w:val="2C932FD6"/>
    <w:rsid w:val="2CD930DF"/>
    <w:rsid w:val="2D4542D1"/>
    <w:rsid w:val="2DF126AA"/>
    <w:rsid w:val="2F542EF1"/>
    <w:rsid w:val="309612E7"/>
    <w:rsid w:val="317E6003"/>
    <w:rsid w:val="32954DEC"/>
    <w:rsid w:val="33105381"/>
    <w:rsid w:val="342161AC"/>
    <w:rsid w:val="3501342F"/>
    <w:rsid w:val="365437D6"/>
    <w:rsid w:val="36733151"/>
    <w:rsid w:val="368816D2"/>
    <w:rsid w:val="381476C1"/>
    <w:rsid w:val="39094D4C"/>
    <w:rsid w:val="394E2737"/>
    <w:rsid w:val="39AB5E03"/>
    <w:rsid w:val="3B6D11A1"/>
    <w:rsid w:val="3DF00289"/>
    <w:rsid w:val="3E90381A"/>
    <w:rsid w:val="3F261B6B"/>
    <w:rsid w:val="3FF102E8"/>
    <w:rsid w:val="419B49AF"/>
    <w:rsid w:val="437E00E5"/>
    <w:rsid w:val="46C027C2"/>
    <w:rsid w:val="471933AE"/>
    <w:rsid w:val="479B4556"/>
    <w:rsid w:val="47CB3FF1"/>
    <w:rsid w:val="484511D1"/>
    <w:rsid w:val="4897689C"/>
    <w:rsid w:val="4B410375"/>
    <w:rsid w:val="4C7B1665"/>
    <w:rsid w:val="4DB7438A"/>
    <w:rsid w:val="4F7A3E56"/>
    <w:rsid w:val="51D4393C"/>
    <w:rsid w:val="55CA58A4"/>
    <w:rsid w:val="584C035A"/>
    <w:rsid w:val="585F008D"/>
    <w:rsid w:val="58F75FE9"/>
    <w:rsid w:val="592A2449"/>
    <w:rsid w:val="59BD32BD"/>
    <w:rsid w:val="5D504448"/>
    <w:rsid w:val="5FC3459E"/>
    <w:rsid w:val="61253C5E"/>
    <w:rsid w:val="61446072"/>
    <w:rsid w:val="63994132"/>
    <w:rsid w:val="63BF16D3"/>
    <w:rsid w:val="65174882"/>
    <w:rsid w:val="6557694F"/>
    <w:rsid w:val="67B83316"/>
    <w:rsid w:val="68004FC0"/>
    <w:rsid w:val="6A627569"/>
    <w:rsid w:val="6B3E3B32"/>
    <w:rsid w:val="6B4A24D7"/>
    <w:rsid w:val="6F6D70DC"/>
    <w:rsid w:val="70A56763"/>
    <w:rsid w:val="70F24393"/>
    <w:rsid w:val="71A46515"/>
    <w:rsid w:val="7513602F"/>
    <w:rsid w:val="75874327"/>
    <w:rsid w:val="76593F16"/>
    <w:rsid w:val="76875B4E"/>
    <w:rsid w:val="7758241F"/>
    <w:rsid w:val="783E4C57"/>
    <w:rsid w:val="79F95D73"/>
    <w:rsid w:val="7B2A3852"/>
    <w:rsid w:val="7D473256"/>
    <w:rsid w:val="7EB43512"/>
    <w:rsid w:val="7EF944E8"/>
    <w:rsid w:val="7FB066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First Indent"/>
    <w:basedOn w:val="2"/>
    <w:next w:val="2"/>
    <w:qFormat/>
    <w:uiPriority w:val="0"/>
    <w:pPr>
      <w:ind w:firstLine="420" w:firstLineChars="100"/>
    </w:pPr>
    <w:rPr>
      <w:szCs w:val="2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3007</Words>
  <Characters>3054</Characters>
  <Lines>0</Lines>
  <Paragraphs>0</Paragraphs>
  <TotalTime>53</TotalTime>
  <ScaleCrop>false</ScaleCrop>
  <LinksUpToDate>false</LinksUpToDate>
  <CharactersWithSpaces>3084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2025-02-26T01:32:00Z</dcterms:created>
  <dc:creator>Administrator</dc:creator>
  <cp:lastModifiedBy>尚悦</cp:lastModifiedBy>
  <cp:lastPrinted>2026-03-17T05:33:00Z</cp:lastPrinted>
  <dcterms:modified xsi:type="dcterms:W3CDTF">2026-03-18T07:28:20Z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eyJoZGlkIjoiMTdmYWY0ODQ3MjY0M2I0M2MyZjc3Mzc5MzA0ZmE3NDQiLCJ1c2VySWQiOiIyNTA2MTQzOTIifQ==</vt:lpwstr>
  </property>
  <property fmtid="{D5CDD505-2E9C-101B-9397-08002B2CF9AE}" pid="4" name="ICV">
    <vt:lpwstr>890B38B3768A498B8041BAA6B61B2912_12</vt:lpwstr>
  </property>
</Properties>
</file>