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双阳区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财政局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年政府信息公开工作年度报告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根据《中华人民共和国政府信息公开条例》，特向社会公布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年度双阳区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财政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局信息公开年度报告。本报告中所列数据的统计期限自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年1月1日起至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年12月31日止。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总体情况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5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年度双阳区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财政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局认真贯彻国家和省、市、区关于政务公开和政府信息公开的有关要求，坚持依法行政，深化信息公开，不断增强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财政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工作透明度，保障了人民群众的知情权、参与权和监督权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全年主动在区政府网站公开信息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条，其中：工作动态信息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条、预决算信息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主动公开政府信息情况</w:t>
      </w:r>
    </w:p>
    <w:tbl>
      <w:tblPr>
        <w:tblStyle w:val="4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年，我局政务信息公开工作虽然取得了一定进展，但仍有不足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一是政务信息公开力度有待进一步加大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二是政务信息公开的内容还不够全面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三是信息公开更新还不够及时。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为此，我局将采取以下改进措施：一是加大信息公开力度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进一步完善信息公开制度，强化信息公开的责任意识、大局意识、服务意识，确保政务信息公开工作及时、准确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二是更好地接受社会公众对信息公开情况的监督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三是大力开展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财政相关法律法规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宣传教育活动，增强群众对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>财政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政务信息公开工作的认知度。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长春市双阳区财政局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2022年1月7日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9107D"/>
    <w:multiLevelType w:val="singleLevel"/>
    <w:tmpl w:val="84E910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82121"/>
    <w:rsid w:val="0874698D"/>
    <w:rsid w:val="128104EC"/>
    <w:rsid w:val="2FCD32A2"/>
    <w:rsid w:val="330864CC"/>
    <w:rsid w:val="33211D03"/>
    <w:rsid w:val="3FCA2944"/>
    <w:rsid w:val="47A81BD4"/>
    <w:rsid w:val="48C6425F"/>
    <w:rsid w:val="5E756E46"/>
    <w:rsid w:val="645D4893"/>
    <w:rsid w:val="6D30174F"/>
    <w:rsid w:val="70F96A3D"/>
    <w:rsid w:val="72EA07C2"/>
    <w:rsid w:val="78AA141F"/>
    <w:rsid w:val="7AAE6CBF"/>
    <w:rsid w:val="7C1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2022-01-07T05:14:00Z</dcterms:created>
  <dc:creator>Administrator</dc:creator>
  <cp:lastModifiedBy>柒公主爽歪歪</cp:lastModifiedBy>
  <cp:lastPrinted>2022-01-13T00:45:00Z</cp:lastPrinted>
  <dcterms:modified xsi:type="dcterms:W3CDTF">2022-01-17T05:42:34Z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0DEF1F1B948948CBB7ED45782B89A57A</vt:lpwstr>
  </property>
</Properties>
</file>