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cs="宋体"/>
          <w:b/>
          <w:bCs w:val="0"/>
          <w:sz w:val="36"/>
          <w:szCs w:val="36"/>
        </w:rPr>
      </w:pPr>
      <w:r>
        <w:rPr>
          <w:rFonts w:hint="eastAsia" w:ascii="宋体" w:hAnsi="宋体" w:eastAsia="宋体" w:cs="宋体"/>
          <w:b/>
          <w:bCs w:val="0"/>
          <w:sz w:val="36"/>
          <w:szCs w:val="36"/>
          <w:lang w:val="en-US" w:eastAsia="zh-CN"/>
        </w:rPr>
        <w:t>房屋征收经办中心</w:t>
      </w:r>
      <w:r>
        <w:rPr>
          <w:rFonts w:hint="eastAsia" w:ascii="宋体" w:hAnsi="宋体" w:eastAsia="宋体" w:cs="宋体"/>
          <w:b/>
          <w:bCs w:val="0"/>
          <w:sz w:val="36"/>
          <w:szCs w:val="36"/>
        </w:rPr>
        <w:t>2020年政府信息公开工作年度报告</w:t>
      </w:r>
    </w:p>
    <w:p>
      <w:pPr>
        <w:jc w:val="both"/>
        <w:rPr>
          <w:rFonts w:hint="eastAsia" w:ascii="宋体" w:hAnsi="宋体" w:eastAsia="宋体" w:cs="宋体"/>
          <w:b/>
          <w:bCs w:val="0"/>
          <w:sz w:val="36"/>
          <w:szCs w:val="36"/>
        </w:rPr>
      </w:pP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b/>
          <w:sz w:val="24"/>
        </w:rPr>
      </w:pPr>
      <w:r>
        <w:rPr>
          <w:rFonts w:hint="eastAsia"/>
          <w:b/>
          <w:sz w:val="24"/>
        </w:rPr>
        <w:t>一、总体情况</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sz w:val="24"/>
        </w:rPr>
      </w:pPr>
      <w:r>
        <w:rPr>
          <w:rFonts w:hint="eastAsia"/>
          <w:sz w:val="24"/>
        </w:rPr>
        <w:t>（一）主动公开政府信息的情况</w:t>
      </w:r>
    </w:p>
    <w:p>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宋体" w:hAnsi="宋体" w:eastAsia="宋体" w:cs="宋体"/>
          <w:sz w:val="24"/>
          <w:lang w:val="en-US" w:eastAsia="zh-CN"/>
        </w:rPr>
      </w:pPr>
      <w:r>
        <w:rPr>
          <w:rFonts w:hint="eastAsia" w:ascii="宋体" w:hAnsi="宋体" w:eastAsia="宋体" w:cs="宋体"/>
          <w:sz w:val="24"/>
        </w:rPr>
        <w:t>2020年</w:t>
      </w:r>
      <w:r>
        <w:rPr>
          <w:rFonts w:hint="eastAsia" w:ascii="宋体" w:hAnsi="宋体" w:eastAsia="宋体" w:cs="宋体"/>
          <w:sz w:val="24"/>
          <w:lang w:val="en-US" w:eastAsia="zh-CN"/>
        </w:rPr>
        <w:t>公开</w:t>
      </w:r>
      <w:r>
        <w:rPr>
          <w:rFonts w:hint="eastAsia" w:ascii="宋体" w:hAnsi="宋体" w:eastAsia="宋体" w:cs="宋体"/>
          <w:sz w:val="24"/>
        </w:rPr>
        <w:t>机构职能类信息</w:t>
      </w:r>
      <w:r>
        <w:rPr>
          <w:rFonts w:hint="eastAsia" w:ascii="宋体" w:hAnsi="宋体" w:eastAsia="宋体" w:cs="宋体"/>
          <w:sz w:val="24"/>
          <w:lang w:val="en-US" w:eastAsia="zh-CN"/>
        </w:rPr>
        <w:t>1</w:t>
      </w:r>
      <w:r>
        <w:rPr>
          <w:rFonts w:hint="eastAsia" w:ascii="宋体" w:hAnsi="宋体" w:eastAsia="宋体" w:cs="宋体"/>
          <w:sz w:val="24"/>
        </w:rPr>
        <w:t>条；二是政策、规范性文件类信息</w:t>
      </w:r>
      <w:r>
        <w:rPr>
          <w:rFonts w:hint="eastAsia" w:ascii="宋体" w:hAnsi="宋体" w:eastAsia="宋体" w:cs="宋体"/>
          <w:sz w:val="24"/>
          <w:lang w:val="en-US" w:eastAsia="zh-CN"/>
        </w:rPr>
        <w:t>8</w:t>
      </w:r>
      <w:r>
        <w:rPr>
          <w:rFonts w:hint="eastAsia" w:ascii="宋体" w:hAnsi="宋体" w:eastAsia="宋体" w:cs="宋体"/>
          <w:sz w:val="24"/>
        </w:rPr>
        <w:t>条</w:t>
      </w:r>
      <w:r>
        <w:rPr>
          <w:rFonts w:hint="eastAsia" w:ascii="宋体" w:hAnsi="宋体" w:eastAsia="宋体" w:cs="宋体"/>
          <w:sz w:val="24"/>
          <w:lang w:eastAsia="zh-CN"/>
        </w:rPr>
        <w:t>；</w:t>
      </w:r>
      <w:r>
        <w:rPr>
          <w:rFonts w:hint="eastAsia" w:ascii="宋体" w:hAnsi="宋体" w:eastAsia="宋体" w:cs="宋体"/>
          <w:sz w:val="24"/>
          <w:lang w:val="en-US" w:eastAsia="zh-CN"/>
        </w:rPr>
        <w:t>三是规划计划类信息20条。</w:t>
      </w:r>
    </w:p>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（二）主动公开政府信息的形式</w:t>
      </w:r>
    </w:p>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xml:space="preserve">　　 </w:t>
      </w:r>
      <w:r>
        <w:rPr>
          <w:rFonts w:hint="eastAsia"/>
          <w:sz w:val="24"/>
          <w:lang w:val="en-US" w:eastAsia="zh-CN"/>
        </w:rPr>
        <w:t>1.</w:t>
      </w:r>
      <w:r>
        <w:rPr>
          <w:rFonts w:hint="eastAsia"/>
          <w:sz w:val="24"/>
        </w:rPr>
        <w:t>政府门户网站公开情况</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sz w:val="24"/>
          <w:szCs w:val="24"/>
          <w:lang w:val="en-US" w:eastAsia="zh-CN"/>
        </w:rPr>
      </w:pPr>
      <w:r>
        <w:rPr>
          <w:rFonts w:hint="eastAsia"/>
        </w:rPr>
        <w:t>　　</w:t>
      </w:r>
      <w:r>
        <w:rPr>
          <w:rFonts w:hint="eastAsia"/>
          <w:lang w:val="en-US" w:eastAsia="zh-CN"/>
        </w:rPr>
        <w:t xml:space="preserve"> </w:t>
      </w:r>
      <w:r>
        <w:rPr>
          <w:rFonts w:hint="eastAsia"/>
          <w:sz w:val="24"/>
          <w:szCs w:val="24"/>
          <w:lang w:val="en-US" w:eastAsia="zh-CN"/>
        </w:rPr>
        <w:t xml:space="preserve"> 长春汽车经济技术开发区官网为汽开区房屋征收经办中心政府信息公开的重要平台。</w:t>
      </w:r>
      <w:r>
        <w:rPr>
          <w:rFonts w:hint="eastAsia"/>
          <w:sz w:val="24"/>
          <w:szCs w:val="24"/>
          <w:lang w:val="en-US" w:eastAsia="zh-CN"/>
        </w:rPr>
        <w:drawing>
          <wp:inline distT="0" distB="0" distL="114300" distR="114300">
            <wp:extent cx="5394960" cy="2576830"/>
            <wp:effectExtent l="0" t="0" r="0" b="13970"/>
            <wp:docPr id="1" name="图片 1" descr="c917671b5276ab55102177ca6ecd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917671b5276ab55102177ca6ecdb5b"/>
                    <pic:cNvPicPr>
                      <a:picLocks noChangeAspect="1"/>
                    </pic:cNvPicPr>
                  </pic:nvPicPr>
                  <pic:blipFill>
                    <a:blip r:embed="rId4"/>
                    <a:stretch>
                      <a:fillRect/>
                    </a:stretch>
                  </pic:blipFill>
                  <pic:spPr>
                    <a:xfrm>
                      <a:off x="0" y="0"/>
                      <a:ext cx="5394960" cy="2576830"/>
                    </a:xfrm>
                    <a:prstGeom prst="rect">
                      <a:avLst/>
                    </a:prstGeom>
                  </pic:spPr>
                </pic:pic>
              </a:graphicData>
            </a:graphic>
          </wp:inline>
        </w:drawing>
      </w:r>
    </w:p>
    <w:p>
      <w:pPr>
        <w:jc w:val="left"/>
        <w:rPr>
          <w:rFonts w:hint="eastAsia"/>
          <w:sz w:val="24"/>
          <w:szCs w:val="24"/>
          <w:lang w:val="en-US" w:eastAsia="zh-CN"/>
        </w:rPr>
      </w:pPr>
      <w:r>
        <w:rPr>
          <w:rFonts w:hint="eastAsia"/>
          <w:sz w:val="24"/>
          <w:szCs w:val="24"/>
          <w:lang w:val="en-US" w:eastAsia="zh-CN"/>
        </w:rPr>
        <w:drawing>
          <wp:inline distT="0" distB="0" distL="114300" distR="114300">
            <wp:extent cx="5394960" cy="2576830"/>
            <wp:effectExtent l="0" t="0" r="0" b="13970"/>
            <wp:docPr id="2" name="图片 2" descr="38de8ae2147c4dcedb7302ea460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8de8ae2147c4dcedb7302ea46050d4"/>
                    <pic:cNvPicPr>
                      <a:picLocks noChangeAspect="1"/>
                    </pic:cNvPicPr>
                  </pic:nvPicPr>
                  <pic:blipFill>
                    <a:blip r:embed="rId5"/>
                    <a:stretch>
                      <a:fillRect/>
                    </a:stretch>
                  </pic:blipFill>
                  <pic:spPr>
                    <a:xfrm>
                      <a:off x="0" y="0"/>
                      <a:ext cx="5394960" cy="2576830"/>
                    </a:xfrm>
                    <a:prstGeom prst="rect">
                      <a:avLst/>
                    </a:prstGeom>
                  </pic:spPr>
                </pic:pic>
              </a:graphicData>
            </a:graphic>
          </wp:inline>
        </w:drawing>
      </w:r>
    </w:p>
    <w:p>
      <w:pPr>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eastAsia" w:asciiTheme="majorEastAsia" w:hAnsiTheme="majorEastAsia" w:eastAsiaTheme="majorEastAsia"/>
          <w:sz w:val="24"/>
        </w:rPr>
      </w:pPr>
      <w:r>
        <w:rPr>
          <w:rFonts w:hint="eastAsia" w:asciiTheme="majorEastAsia" w:hAnsiTheme="majorEastAsia" w:eastAsiaTheme="majorEastAsia"/>
          <w:sz w:val="24"/>
        </w:rPr>
        <w:t>（三）收到和处理政府信息公开申请的情况</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截止目前征收中心收到申请8件，件件有记录、有结果、100%书面反馈。</w:t>
      </w:r>
    </w:p>
    <w:p>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eastAsia" w:asciiTheme="majorEastAsia" w:hAnsiTheme="majorEastAsia" w:eastAsiaTheme="majorEastAsia" w:cstheme="majorEastAsia"/>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482" w:firstLineChars="200"/>
        <w:textAlignment w:val="auto"/>
        <w:rPr>
          <w:rFonts w:hint="eastAsia"/>
          <w:b/>
          <w:sz w:val="24"/>
        </w:rPr>
      </w:pPr>
      <w:r>
        <w:rPr>
          <w:rFonts w:hint="eastAsia"/>
          <w:b/>
          <w:sz w:val="24"/>
        </w:rPr>
        <w:t>主动公开政府信息情况</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b/>
          <w:sz w:val="24"/>
        </w:rPr>
      </w:pPr>
    </w:p>
    <w:tbl>
      <w:tblPr>
        <w:tblStyle w:val="2"/>
        <w:tblW w:w="0" w:type="auto"/>
        <w:tblInd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30" w:type="dxa"/>
          <w:left w:w="30" w:type="dxa"/>
          <w:bottom w:w="30" w:type="dxa"/>
          <w:right w:w="30" w:type="dxa"/>
        </w:tblCellMar>
      </w:tblPr>
      <w:tblGrid>
        <w:gridCol w:w="3038"/>
        <w:gridCol w:w="1835"/>
        <w:gridCol w:w="1513"/>
        <w:gridCol w:w="1904"/>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8290" w:type="dxa"/>
            <w:gridSpan w:val="4"/>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第二十条第（一）项</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3038"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信息内容</w:t>
            </w:r>
          </w:p>
        </w:tc>
        <w:tc>
          <w:tcPr>
            <w:tcW w:w="1835"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本年新</w:t>
            </w:r>
          </w:p>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制作数量</w:t>
            </w:r>
          </w:p>
        </w:tc>
        <w:tc>
          <w:tcPr>
            <w:tcW w:w="1513"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本年新</w:t>
            </w:r>
          </w:p>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公开数量</w:t>
            </w:r>
          </w:p>
        </w:tc>
        <w:tc>
          <w:tcPr>
            <w:tcW w:w="1904"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对外公开总数量</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3038"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规章</w:t>
            </w:r>
          </w:p>
        </w:tc>
        <w:tc>
          <w:tcPr>
            <w:tcW w:w="1835"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sz w:val="24"/>
              </w:rPr>
              <w:t>  </w:t>
            </w:r>
            <w:r>
              <w:rPr>
                <w:rFonts w:hint="eastAsia"/>
                <w:sz w:val="24"/>
                <w:lang w:val="en-US" w:eastAsia="zh-CN"/>
              </w:rPr>
              <w:t>0</w:t>
            </w:r>
          </w:p>
        </w:tc>
        <w:tc>
          <w:tcPr>
            <w:tcW w:w="1513"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bookmarkStart w:id="0" w:name="_GoBack"/>
            <w:bookmarkEnd w:id="0"/>
            <w:r>
              <w:rPr>
                <w:sz w:val="24"/>
              </w:rPr>
              <w:t> </w:t>
            </w:r>
            <w:r>
              <w:rPr>
                <w:rFonts w:hint="eastAsia"/>
                <w:sz w:val="24"/>
                <w:lang w:val="en-US" w:eastAsia="zh-CN"/>
              </w:rPr>
              <w:t>0</w:t>
            </w:r>
          </w:p>
        </w:tc>
        <w:tc>
          <w:tcPr>
            <w:tcW w:w="1904"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3038"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规范性文件</w:t>
            </w:r>
          </w:p>
        </w:tc>
        <w:tc>
          <w:tcPr>
            <w:tcW w:w="1835"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sz w:val="24"/>
              </w:rPr>
              <w:t>  </w:t>
            </w:r>
            <w:r>
              <w:rPr>
                <w:rFonts w:hint="eastAsia"/>
                <w:sz w:val="24"/>
                <w:lang w:val="en-US" w:eastAsia="zh-CN"/>
              </w:rPr>
              <w:t>0</w:t>
            </w:r>
          </w:p>
        </w:tc>
        <w:tc>
          <w:tcPr>
            <w:tcW w:w="1513"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tabs>
                <w:tab w:val="center" w:pos="726"/>
              </w:tabs>
              <w:kinsoku/>
              <w:wordWrap/>
              <w:overflowPunct/>
              <w:topLinePunct w:val="0"/>
              <w:autoSpaceDE/>
              <w:autoSpaceDN/>
              <w:bidi w:val="0"/>
              <w:adjustRightInd/>
              <w:snapToGrid/>
              <w:spacing w:line="500" w:lineRule="exact"/>
              <w:jc w:val="center"/>
              <w:textAlignment w:val="auto"/>
              <w:rPr>
                <w:rFonts w:hint="default" w:eastAsiaTheme="minorEastAsia"/>
                <w:sz w:val="24"/>
                <w:lang w:val="en-US" w:eastAsia="zh-CN"/>
              </w:rPr>
            </w:pPr>
            <w:r>
              <w:rPr>
                <w:rFonts w:hint="eastAsia"/>
                <w:sz w:val="24"/>
                <w:lang w:val="en-US" w:eastAsia="zh-CN"/>
              </w:rPr>
              <w:t>0</w:t>
            </w:r>
          </w:p>
        </w:tc>
        <w:tc>
          <w:tcPr>
            <w:tcW w:w="1904"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tabs>
                <w:tab w:val="left" w:pos="1172"/>
                <w:tab w:val="center" w:pos="1341"/>
              </w:tabs>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8290" w:type="dxa"/>
            <w:gridSpan w:val="4"/>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第二十条第（五）项</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3038"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信息内容</w:t>
            </w:r>
          </w:p>
        </w:tc>
        <w:tc>
          <w:tcPr>
            <w:tcW w:w="1835"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上一年项目数量</w:t>
            </w:r>
          </w:p>
        </w:tc>
        <w:tc>
          <w:tcPr>
            <w:tcW w:w="1513"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本年增/减</w:t>
            </w:r>
          </w:p>
        </w:tc>
        <w:tc>
          <w:tcPr>
            <w:tcW w:w="1904"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处理决定数量</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3038"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行政许可</w:t>
            </w:r>
          </w:p>
        </w:tc>
        <w:tc>
          <w:tcPr>
            <w:tcW w:w="1835"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c>
          <w:tcPr>
            <w:tcW w:w="1513"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c>
          <w:tcPr>
            <w:tcW w:w="1904"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3038"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其他对外管理服务事项</w:t>
            </w:r>
          </w:p>
        </w:tc>
        <w:tc>
          <w:tcPr>
            <w:tcW w:w="1835"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c>
          <w:tcPr>
            <w:tcW w:w="1513"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c>
          <w:tcPr>
            <w:tcW w:w="1904"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8290" w:type="dxa"/>
            <w:gridSpan w:val="4"/>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第二十条第（六）项</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3038"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信息内容</w:t>
            </w:r>
          </w:p>
        </w:tc>
        <w:tc>
          <w:tcPr>
            <w:tcW w:w="1835"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上一年项目数量</w:t>
            </w:r>
          </w:p>
        </w:tc>
        <w:tc>
          <w:tcPr>
            <w:tcW w:w="1513"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本年增/减</w:t>
            </w:r>
          </w:p>
        </w:tc>
        <w:tc>
          <w:tcPr>
            <w:tcW w:w="1904"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处理决定数量</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3038"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行政处罚</w:t>
            </w:r>
          </w:p>
        </w:tc>
        <w:tc>
          <w:tcPr>
            <w:tcW w:w="1835"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c>
          <w:tcPr>
            <w:tcW w:w="1513"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c>
          <w:tcPr>
            <w:tcW w:w="1904"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3038"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行政强制</w:t>
            </w:r>
          </w:p>
        </w:tc>
        <w:tc>
          <w:tcPr>
            <w:tcW w:w="1835"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c>
          <w:tcPr>
            <w:tcW w:w="1513"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c>
          <w:tcPr>
            <w:tcW w:w="1904"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8290" w:type="dxa"/>
            <w:gridSpan w:val="4"/>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第二十条第（八）项</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3038"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信息内容</w:t>
            </w:r>
          </w:p>
        </w:tc>
        <w:tc>
          <w:tcPr>
            <w:tcW w:w="1835"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上一年项目数量</w:t>
            </w:r>
          </w:p>
        </w:tc>
        <w:tc>
          <w:tcPr>
            <w:tcW w:w="3417" w:type="dxa"/>
            <w:gridSpan w:val="2"/>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本年增/减</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3038"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行政事业性收费</w:t>
            </w:r>
          </w:p>
        </w:tc>
        <w:tc>
          <w:tcPr>
            <w:tcW w:w="1835"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c>
          <w:tcPr>
            <w:tcW w:w="3417" w:type="dxa"/>
            <w:gridSpan w:val="2"/>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8290" w:type="dxa"/>
            <w:gridSpan w:val="4"/>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第二十条第（九）项</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3038"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信息内容</w:t>
            </w:r>
          </w:p>
        </w:tc>
        <w:tc>
          <w:tcPr>
            <w:tcW w:w="1835"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采购项目数量</w:t>
            </w:r>
          </w:p>
        </w:tc>
        <w:tc>
          <w:tcPr>
            <w:tcW w:w="3417" w:type="dxa"/>
            <w:gridSpan w:val="2"/>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采购总金额</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3038"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sz w:val="24"/>
              </w:rPr>
              <w:t>政府集中采购</w:t>
            </w:r>
          </w:p>
        </w:tc>
        <w:tc>
          <w:tcPr>
            <w:tcW w:w="1835"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c>
          <w:tcPr>
            <w:tcW w:w="3417" w:type="dxa"/>
            <w:gridSpan w:val="2"/>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30" w:type="dxa"/>
            <w:left w:w="30" w:type="dxa"/>
            <w:bottom w:w="30" w:type="dxa"/>
            <w:right w:w="30" w:type="dxa"/>
          </w:tblCellMar>
        </w:tblPrEx>
        <w:tc>
          <w:tcPr>
            <w:tcW w:w="8290" w:type="dxa"/>
            <w:gridSpan w:val="4"/>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eastAsiaTheme="minorEastAsia"/>
                <w:sz w:val="24"/>
                <w:lang w:val="en-US" w:eastAsia="zh-CN"/>
              </w:rPr>
            </w:pPr>
            <w:r>
              <w:rPr>
                <w:rFonts w:hint="eastAsia"/>
                <w:sz w:val="24"/>
              </w:rPr>
              <w:t>2020年</w:t>
            </w:r>
            <w:r>
              <w:rPr>
                <w:sz w:val="24"/>
              </w:rPr>
              <w:t>本行政部门政府信息公开发布总数量（</w:t>
            </w:r>
            <w:r>
              <w:rPr>
                <w:rFonts w:hint="eastAsia"/>
                <w:sz w:val="24"/>
              </w:rPr>
              <w:t>非</w:t>
            </w:r>
            <w:r>
              <w:rPr>
                <w:sz w:val="24"/>
              </w:rPr>
              <w:t>新闻类、信息类）</w:t>
            </w:r>
            <w:r>
              <w:rPr>
                <w:rFonts w:hint="eastAsia"/>
                <w:sz w:val="24"/>
              </w:rPr>
              <w:t>：</w:t>
            </w:r>
            <w:r>
              <w:rPr>
                <w:rFonts w:hint="eastAsia"/>
                <w:sz w:val="24"/>
                <w:lang w:val="en-US" w:eastAsia="zh-CN"/>
              </w:rPr>
              <w:t>0</w:t>
            </w:r>
          </w:p>
        </w:tc>
      </w:tr>
    </w:tbl>
    <w:p>
      <w:pPr>
        <w:keepNext w:val="0"/>
        <w:keepLines w:val="0"/>
        <w:pageBreakBefore w:val="0"/>
        <w:widowControl w:val="0"/>
        <w:kinsoku/>
        <w:wordWrap/>
        <w:overflowPunct/>
        <w:topLinePunct w:val="0"/>
        <w:autoSpaceDE/>
        <w:autoSpaceDN/>
        <w:bidi w:val="0"/>
        <w:adjustRightInd/>
        <w:snapToGrid/>
        <w:spacing w:line="500" w:lineRule="exact"/>
        <w:textAlignment w:val="auto"/>
      </w:pP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ascii="宋体" w:hAnsi="宋体" w:eastAsia="宋体"/>
          <w:b/>
          <w:sz w:val="24"/>
        </w:rPr>
      </w:pPr>
      <w:r>
        <w:rPr>
          <w:rFonts w:hint="eastAsia" w:ascii="宋体" w:hAnsi="宋体" w:eastAsia="宋体"/>
          <w:b/>
          <w:sz w:val="24"/>
        </w:rPr>
        <w:t>三、收到和处理政府信息公开申请情况</w:t>
      </w:r>
    </w:p>
    <w:p>
      <w:pPr>
        <w:keepNext w:val="0"/>
        <w:keepLines w:val="0"/>
        <w:pageBreakBefore w:val="0"/>
        <w:widowControl w:val="0"/>
        <w:kinsoku/>
        <w:wordWrap/>
        <w:overflowPunct/>
        <w:topLinePunct w:val="0"/>
        <w:autoSpaceDE/>
        <w:autoSpaceDN/>
        <w:bidi w:val="0"/>
        <w:adjustRightInd/>
        <w:snapToGrid/>
        <w:spacing w:line="500" w:lineRule="exact"/>
        <w:textAlignment w:val="auto"/>
      </w:pPr>
    </w:p>
    <w:tbl>
      <w:tblPr>
        <w:tblStyle w:val="2"/>
        <w:tblW w:w="5000" w:type="pct"/>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606"/>
        <w:gridCol w:w="833"/>
        <w:gridCol w:w="1796"/>
        <w:gridCol w:w="773"/>
        <w:gridCol w:w="717"/>
        <w:gridCol w:w="717"/>
        <w:gridCol w:w="773"/>
        <w:gridCol w:w="913"/>
        <w:gridCol w:w="703"/>
        <w:gridCol w:w="689"/>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3345" w:type="dxa"/>
            <w:gridSpan w:val="3"/>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（本列数据的勾稽关系为：第一项加第二项之和，等于第三项加第四项之和）</w:t>
            </w:r>
          </w:p>
        </w:tc>
        <w:tc>
          <w:tcPr>
            <w:tcW w:w="5505" w:type="dxa"/>
            <w:gridSpan w:val="7"/>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申请人情况</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gridSpan w:val="3"/>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810"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自然人</w:t>
            </w:r>
          </w:p>
        </w:tc>
        <w:tc>
          <w:tcPr>
            <w:tcW w:w="4005" w:type="dxa"/>
            <w:gridSpan w:val="5"/>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法人或其他组织</w:t>
            </w:r>
          </w:p>
        </w:tc>
        <w:tc>
          <w:tcPr>
            <w:tcW w:w="690"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总计</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gridSpan w:val="3"/>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商业企业</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科研机构</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社会公益组织</w:t>
            </w:r>
          </w:p>
        </w:tc>
        <w:tc>
          <w:tcPr>
            <w:tcW w:w="9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法律服务机构</w:t>
            </w:r>
          </w:p>
        </w:tc>
        <w:tc>
          <w:tcPr>
            <w:tcW w:w="7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其他</w:t>
            </w:r>
          </w:p>
        </w:tc>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3345" w:type="dxa"/>
            <w:gridSpan w:val="3"/>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一、本年新收政府信息公开申请数量</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7</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1</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c>
          <w:tcPr>
            <w:tcW w:w="9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9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8</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3345" w:type="dxa"/>
            <w:gridSpan w:val="3"/>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二、上年结转政府信息公开申请数量</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9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9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615"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三、本年度办理结果</w:t>
            </w:r>
          </w:p>
        </w:tc>
        <w:tc>
          <w:tcPr>
            <w:tcW w:w="2715" w:type="dxa"/>
            <w:gridSpan w:val="2"/>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（一）予以公开</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7</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1</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c>
          <w:tcPr>
            <w:tcW w:w="9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c>
          <w:tcPr>
            <w:tcW w:w="7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9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8</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2715" w:type="dxa"/>
            <w:gridSpan w:val="2"/>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（二）部分公开（区分处理的，只计这一情形，不计其他情形）</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9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9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840"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（三）不予公开</w:t>
            </w:r>
          </w:p>
        </w:tc>
        <w:tc>
          <w:tcPr>
            <w:tcW w:w="18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1．属于国家秘密</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9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9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18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2．其他法律行政法规禁止公开</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9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9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pPr>
          </w:p>
        </w:tc>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pPr>
          </w:p>
        </w:tc>
        <w:tc>
          <w:tcPr>
            <w:tcW w:w="18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3．危及“三安全一稳定”</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9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9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pPr>
          </w:p>
        </w:tc>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pPr>
          </w:p>
        </w:tc>
        <w:tc>
          <w:tcPr>
            <w:tcW w:w="18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4．保护第三方合法权益</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9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9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pPr>
          </w:p>
        </w:tc>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pPr>
          </w:p>
        </w:tc>
        <w:tc>
          <w:tcPr>
            <w:tcW w:w="18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5．属于三类内部事务信息</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9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9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pPr>
          </w:p>
        </w:tc>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pPr>
          </w:p>
        </w:tc>
        <w:tc>
          <w:tcPr>
            <w:tcW w:w="18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6．属于四类过程性信息</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9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9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pPr>
          </w:p>
        </w:tc>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pPr>
          </w:p>
        </w:tc>
        <w:tc>
          <w:tcPr>
            <w:tcW w:w="18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7．属于行政执法案卷</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9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9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18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8．属于行政查询事项</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9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9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840"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（四）无法提供</w:t>
            </w:r>
          </w:p>
        </w:tc>
        <w:tc>
          <w:tcPr>
            <w:tcW w:w="18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1．本机关不掌握相关政府信息</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9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9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18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2．没有现成信息需要另行制作</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9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9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18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3．补正后申请内容仍不明确</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9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9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840"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（五）不予处理</w:t>
            </w:r>
          </w:p>
        </w:tc>
        <w:tc>
          <w:tcPr>
            <w:tcW w:w="18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1．信访举报投诉类申请</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9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9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18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2．重复申请</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9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9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18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3．要求提供公开出版物</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9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9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18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4．无正当理由大量反复申请</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9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9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18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5．要求行政机关确认或重新出具已获取信息</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9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9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2715" w:type="dxa"/>
            <w:gridSpan w:val="2"/>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（六）其他处理</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9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9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p>
        </w:tc>
        <w:tc>
          <w:tcPr>
            <w:tcW w:w="2715" w:type="dxa"/>
            <w:gridSpan w:val="2"/>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（七）总计</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7</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1</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9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9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Theme="minorEastAsia"/>
                <w:sz w:val="24"/>
                <w:lang w:val="en-US" w:eastAsia="zh-CN"/>
              </w:rPr>
            </w:pPr>
            <w:r>
              <w:rPr>
                <w:rFonts w:hint="eastAsia"/>
                <w:sz w:val="24"/>
                <w:lang w:val="en-US" w:eastAsia="zh-CN"/>
              </w:rPr>
              <w:t>8</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jc w:val="center"/>
        </w:trPr>
        <w:tc>
          <w:tcPr>
            <w:tcW w:w="3345" w:type="dxa"/>
            <w:gridSpan w:val="3"/>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四、结转下年度继续办理</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5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81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9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7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90"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r>
    </w:tbl>
    <w:p>
      <w:pPr>
        <w:keepNext w:val="0"/>
        <w:keepLines w:val="0"/>
        <w:pageBreakBefore w:val="0"/>
        <w:widowControl w:val="0"/>
        <w:kinsoku/>
        <w:wordWrap/>
        <w:overflowPunct/>
        <w:topLinePunct w:val="0"/>
        <w:autoSpaceDE/>
        <w:autoSpaceDN/>
        <w:bidi w:val="0"/>
        <w:adjustRightInd/>
        <w:snapToGrid/>
        <w:spacing w:line="500" w:lineRule="exact"/>
        <w:textAlignment w:val="auto"/>
        <w:rPr>
          <w:sz w:val="24"/>
        </w:rPr>
      </w:pPr>
      <w:r>
        <w:rPr>
          <w:rFonts w:hint="eastAsia"/>
          <w:sz w:val="24"/>
        </w:rPr>
        <w:t>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textAlignment w:val="auto"/>
        <w:rPr>
          <w:rFonts w:hint="eastAsia"/>
          <w:b/>
          <w:sz w:val="24"/>
        </w:rPr>
      </w:pPr>
      <w:r>
        <w:rPr>
          <w:rFonts w:hint="eastAsia"/>
          <w:b/>
          <w:sz w:val="24"/>
          <w:lang w:eastAsia="zh-CN"/>
        </w:rPr>
        <w:t>四、</w:t>
      </w:r>
      <w:r>
        <w:rPr>
          <w:rFonts w:hint="eastAsia"/>
          <w:b/>
          <w:sz w:val="24"/>
        </w:rPr>
        <w:t>政府信息公开行政复议、行政诉讼情况</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textAlignment w:val="auto"/>
        <w:rPr>
          <w:rFonts w:hint="eastAsia"/>
          <w:b/>
          <w:sz w:val="24"/>
        </w:rPr>
      </w:pPr>
    </w:p>
    <w:tbl>
      <w:tblPr>
        <w:tblStyle w:val="2"/>
        <w:tblW w:w="0" w:type="auto"/>
        <w:tblInd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30" w:type="dxa"/>
          <w:left w:w="30" w:type="dxa"/>
          <w:bottom w:w="30" w:type="dxa"/>
          <w:right w:w="30" w:type="dxa"/>
        </w:tblCellMar>
      </w:tblPr>
      <w:tblGrid>
        <w:gridCol w:w="568"/>
        <w:gridCol w:w="568"/>
        <w:gridCol w:w="568"/>
        <w:gridCol w:w="568"/>
        <w:gridCol w:w="622"/>
        <w:gridCol w:w="515"/>
        <w:gridCol w:w="568"/>
        <w:gridCol w:w="568"/>
        <w:gridCol w:w="568"/>
        <w:gridCol w:w="595"/>
        <w:gridCol w:w="568"/>
        <w:gridCol w:w="568"/>
        <w:gridCol w:w="568"/>
        <w:gridCol w:w="569"/>
        <w:gridCol w:w="583"/>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PrEx>
        <w:tc>
          <w:tcPr>
            <w:tcW w:w="3060" w:type="dxa"/>
            <w:gridSpan w:val="5"/>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行政复议</w:t>
            </w:r>
          </w:p>
        </w:tc>
        <w:tc>
          <w:tcPr>
            <w:tcW w:w="5985" w:type="dxa"/>
            <w:gridSpan w:val="10"/>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行政诉讼</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PrEx>
        <w:tc>
          <w:tcPr>
            <w:tcW w:w="600" w:type="dxa"/>
            <w:vMerge w:val="restart"/>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结</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果</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维</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持</w:t>
            </w:r>
          </w:p>
        </w:tc>
        <w:tc>
          <w:tcPr>
            <w:tcW w:w="600" w:type="dxa"/>
            <w:vMerge w:val="restart"/>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结</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果</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正</w:t>
            </w:r>
          </w:p>
        </w:tc>
        <w:tc>
          <w:tcPr>
            <w:tcW w:w="600" w:type="dxa"/>
            <w:vMerge w:val="restart"/>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其</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他</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结</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果</w:t>
            </w:r>
          </w:p>
        </w:tc>
        <w:tc>
          <w:tcPr>
            <w:tcW w:w="600" w:type="dxa"/>
            <w:vMerge w:val="restart"/>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尚</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未</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审</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结</w:t>
            </w:r>
          </w:p>
        </w:tc>
        <w:tc>
          <w:tcPr>
            <w:tcW w:w="645" w:type="dxa"/>
            <w:vMerge w:val="restart"/>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总</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计</w:t>
            </w:r>
          </w:p>
        </w:tc>
        <w:tc>
          <w:tcPr>
            <w:tcW w:w="2970" w:type="dxa"/>
            <w:gridSpan w:val="5"/>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未经复议直接起诉</w:t>
            </w:r>
          </w:p>
        </w:tc>
        <w:tc>
          <w:tcPr>
            <w:tcW w:w="3015" w:type="dxa"/>
            <w:gridSpan w:val="5"/>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复议后起诉</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PrEx>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p>
        </w:tc>
        <w:tc>
          <w:tcPr>
            <w:tcW w:w="0" w:type="auto"/>
            <w:vMerge w:val="continue"/>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p>
        </w:tc>
        <w:tc>
          <w:tcPr>
            <w:tcW w:w="540"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结果维持</w:t>
            </w:r>
          </w:p>
        </w:tc>
        <w:tc>
          <w:tcPr>
            <w:tcW w:w="600"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结</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果</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正</w:t>
            </w:r>
          </w:p>
        </w:tc>
        <w:tc>
          <w:tcPr>
            <w:tcW w:w="600"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其</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他</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结</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果</w:t>
            </w:r>
          </w:p>
        </w:tc>
        <w:tc>
          <w:tcPr>
            <w:tcW w:w="600"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尚</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未</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审</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结</w:t>
            </w:r>
          </w:p>
        </w:tc>
        <w:tc>
          <w:tcPr>
            <w:tcW w:w="600"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总</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计</w:t>
            </w:r>
          </w:p>
        </w:tc>
        <w:tc>
          <w:tcPr>
            <w:tcW w:w="600"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结</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果</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维</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持</w:t>
            </w:r>
          </w:p>
        </w:tc>
        <w:tc>
          <w:tcPr>
            <w:tcW w:w="600"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结</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果</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正</w:t>
            </w:r>
          </w:p>
        </w:tc>
        <w:tc>
          <w:tcPr>
            <w:tcW w:w="600"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其</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他</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结</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果</w:t>
            </w:r>
          </w:p>
        </w:tc>
        <w:tc>
          <w:tcPr>
            <w:tcW w:w="600"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尚</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未</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审</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结</w:t>
            </w:r>
          </w:p>
        </w:tc>
        <w:tc>
          <w:tcPr>
            <w:tcW w:w="600"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总</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sz w:val="24"/>
              </w:rPr>
              <w:t>计</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PrEx>
        <w:tc>
          <w:tcPr>
            <w:tcW w:w="600"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00"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00"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00"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45"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540"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00"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00"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00"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00"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00"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00"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00"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00"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c>
          <w:tcPr>
            <w:tcW w:w="600" w:type="dxa"/>
            <w:tcBorders>
              <w:top w:val="outset" w:color="000000" w:sz="6" w:space="0"/>
              <w:left w:val="outset" w:color="000000" w:sz="6" w:space="0"/>
              <w:bottom w:val="outset" w:color="000000" w:sz="6" w:space="0"/>
              <w:right w:val="outset"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sz w:val="24"/>
              </w:rPr>
            </w:pPr>
            <w:r>
              <w:rPr>
                <w:rFonts w:hint="eastAsia"/>
                <w:sz w:val="24"/>
                <w:lang w:val="en-US" w:eastAsia="zh-CN"/>
              </w:rPr>
              <w:t>0</w:t>
            </w:r>
          </w:p>
        </w:tc>
      </w:tr>
    </w:tbl>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b/>
          <w:sz w:val="24"/>
        </w:rPr>
      </w:pPr>
      <w:r>
        <w:rPr>
          <w:rFonts w:hint="eastAsia"/>
          <w:b/>
          <w:sz w:val="24"/>
        </w:rPr>
        <w:t>五、存在的主要问题及改进情况</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我中心公开政府信息的意识还需要进一步提高，政府信息公开工作的配套制度和工作机制还需要进一步完善，方便公众获取政府信息的形式还需要进一步改进。202</w:t>
      </w:r>
      <w:r>
        <w:rPr>
          <w:rFonts w:hint="eastAsia" w:asciiTheme="minorEastAsia" w:hAnsiTheme="minorEastAsia"/>
          <w:sz w:val="24"/>
          <w:szCs w:val="24"/>
          <w:lang w:val="en-US" w:eastAsia="zh-CN"/>
        </w:rPr>
        <w:t>1</w:t>
      </w:r>
      <w:r>
        <w:rPr>
          <w:rFonts w:hint="eastAsia" w:asciiTheme="minorEastAsia" w:hAnsiTheme="minorEastAsia"/>
          <w:sz w:val="24"/>
          <w:szCs w:val="24"/>
        </w:rPr>
        <w:t>年，我办将采取以下措施加以改进：</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一是进一步增强本中心工作人员的信息公开意识，规范公开程序，提高信息公开工作水平。</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二是强化管理。将政府信息公开工作和业务工作紧密结合，进一步充实信息公开内容，突出重点、难点问题。以征收群众需求为导向，选择征收群众关注度高的信息作为突破口，不断丰富信息公开的内容，继续强化信息内容更新。</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sz w:val="24"/>
          <w:szCs w:val="24"/>
        </w:rPr>
      </w:pPr>
      <w:r>
        <w:rPr>
          <w:rFonts w:hint="eastAsia" w:asciiTheme="minorEastAsia" w:hAnsiTheme="minorEastAsia"/>
          <w:sz w:val="24"/>
          <w:szCs w:val="24"/>
        </w:rPr>
        <w:t>三是进一步完善信息公开制度建设，建立健全信息公开工作长效机制，把政务信息公开工作作为长期的动态工作落到实处，确保公开信息的及时性、准确性和有效性，为深化政务信息公开提供强有力的组织保证。</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六、其他需要报告的事项</w:t>
      </w:r>
    </w:p>
    <w:p>
      <w:pPr>
        <w:keepNext w:val="0"/>
        <w:keepLines w:val="0"/>
        <w:pageBreakBefore w:val="0"/>
        <w:widowControl w:val="0"/>
        <w:kinsoku/>
        <w:wordWrap/>
        <w:overflowPunct/>
        <w:topLinePunct w:val="0"/>
        <w:autoSpaceDE/>
        <w:autoSpaceDN/>
        <w:bidi w:val="0"/>
        <w:adjustRightInd/>
        <w:snapToGrid/>
        <w:spacing w:line="500" w:lineRule="exact"/>
        <w:ind w:firstLine="960" w:firstLineChars="400"/>
        <w:textAlignment w:val="auto"/>
        <w:rPr>
          <w:rFonts w:hint="eastAsia" w:ascii="宋体" w:hAnsi="宋体" w:eastAsia="宋体" w:cs="宋体"/>
          <w:sz w:val="24"/>
          <w:szCs w:val="24"/>
        </w:rPr>
      </w:pPr>
      <w:r>
        <w:rPr>
          <w:rFonts w:hint="eastAsia" w:ascii="宋体" w:hAnsi="宋体" w:eastAsia="宋体" w:cs="宋体"/>
          <w:sz w:val="24"/>
          <w:szCs w:val="24"/>
        </w:rPr>
        <w:t>无</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b/>
          <w:sz w:val="24"/>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宋体" w:hAnsi="宋体" w:eastAsia="宋体" w:cs="宋体"/>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eastAsia" w:asciiTheme="majorEastAsia" w:hAnsiTheme="majorEastAsia" w:eastAsiaTheme="majorEastAsia"/>
          <w:sz w:val="24"/>
        </w:rPr>
      </w:pPr>
    </w:p>
    <w:p>
      <w:pPr>
        <w:keepNext w:val="0"/>
        <w:keepLines w:val="0"/>
        <w:pageBreakBefore w:val="0"/>
        <w:widowControl w:val="0"/>
        <w:kinsoku/>
        <w:wordWrap/>
        <w:overflowPunct/>
        <w:topLinePunct w:val="0"/>
        <w:autoSpaceDE/>
        <w:autoSpaceDN/>
        <w:bidi w:val="0"/>
        <w:adjustRightInd/>
        <w:snapToGrid/>
        <w:spacing w:line="500" w:lineRule="exact"/>
        <w:textAlignment w:val="auto"/>
      </w:pPr>
    </w:p>
    <w:sectPr>
      <w:pgSz w:w="11906" w:h="16838"/>
      <w:pgMar w:top="1417" w:right="1701" w:bottom="1417" w:left="170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E6765F"/>
    <w:multiLevelType w:val="singleLevel"/>
    <w:tmpl w:val="B8E6765F"/>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B80E19"/>
    <w:rsid w:val="09F46A02"/>
    <w:rsid w:val="0C91331F"/>
    <w:rsid w:val="1B4E39D2"/>
    <w:rsid w:val="23005051"/>
    <w:rsid w:val="264201AE"/>
    <w:rsid w:val="264A523C"/>
    <w:rsid w:val="34ED5BFE"/>
    <w:rsid w:val="40F50696"/>
    <w:rsid w:val="4C4E2A14"/>
    <w:rsid w:val="4F19540A"/>
    <w:rsid w:val="50FA6149"/>
    <w:rsid w:val="58CA3E7B"/>
    <w:rsid w:val="5B842331"/>
    <w:rsid w:val="661C2703"/>
    <w:rsid w:val="78295819"/>
    <w:rsid w:val="7B675E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2021-01-08T01:34:00Z</dcterms:created>
  <dc:creator>86135</dc:creator>
  <cp:lastModifiedBy>Yu。</cp:lastModifiedBy>
  <dcterms:modified xsi:type="dcterms:W3CDTF">2022-02-17T03:12:56Z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88B86476609E457FB0EB3AE0DA649F5F</vt:lpwstr>
  </property>
</Properties>
</file>