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东风街道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办事处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2020年政府信息公开工作年度报告</w:t>
      </w:r>
    </w:p>
    <w:p>
      <w:pPr>
        <w:ind w:firstLine="420" w:firstLineChars="200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东风街道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主动公开政府信息的情况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一是机构职能类信息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条；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是行政许可类信息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条；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是重大建设项目、为民办实事类信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息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条；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是民政扶贫救灾社会保障就业类信息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条；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是科教文体卫生类信息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1．围绕重要部署执行公开。一是围绕2020年政府工作报告重点工作任务的贯彻落实，提升政务公开工作的能力和自觉性，加强重点信息公开，积极主动做好政策解读，尤其是涉及面广、社会关注度高的法规政策和重大措施的解读工作，以公开促落实、以公开强规范、以公开优服务。二是加强人大代表建议、政协委员提案的办理工作。全年我区办理人大代表建议、政协委员提案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2．围绕行政执法信息公开。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综合行政执法办公室制定以下相关制度：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《东风街道重大执法决定法制审核制度》、《东风街道行政执法公示制度》、《东风街道行政执法全过程记录实施办法》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3．围绕两大攻坚战信息公开。一是加强生态环境信息公开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，共计信息公开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10条。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是重点加强扶贫信息公开。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．围绕重点民生领域信息公开。一是做好就业、人才、社保等领域的信息公开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主动公开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条，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分别为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《长春市职业技能提升专账资金使用管理的通知（长人社联〔2020〕12号）》、《杜绝违规领取社会保险补贴有关问题的通知（长就[2020]10号）》、《2020年关于进一步规范灵活就业社保补贴发放工作的通知（长就【2020】20号）》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依申请公开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条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，分别为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《关于加强城镇新增就业统计工作的通知（吉人社联字〔2020〕43号）》、《关于进一步做好失业登记和失业人员就业服务的通知（吉人社发【2020】21号）》。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二是做好救助领域信息公开。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是做好应急管理信息公开（应急、疫情）。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．围绕财政信息公开。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进行了以下信息公开《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2019年度长春汽车经济技术开发区东风街道办事处决算公开）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》、《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政府信息公开情况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主动公开政府信息情况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</w:p>
    <w:tbl>
      <w:tblPr>
        <w:tblStyle w:val="3"/>
        <w:tblW w:w="8290" w:type="dxa"/>
        <w:tblInd w:w="7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制作数量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公开数量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规章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规范性文件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本年增/</w:t>
            </w:r>
            <w:r>
              <w:rPr>
                <w:rFonts w:ascii="宋体" w:hAnsi="宋体"/>
                <w:sz w:val="24"/>
                <w:szCs w:val="24"/>
              </w:rPr>
              <w:t>减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增4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其他对外管理服务事项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本年增/</w:t>
            </w:r>
            <w:r>
              <w:rPr>
                <w:rFonts w:ascii="宋体" w:hAnsi="宋体"/>
                <w:sz w:val="24"/>
                <w:szCs w:val="24"/>
              </w:rPr>
              <w:t>减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行政处罚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行政强制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本年增/</w:t>
            </w:r>
            <w:r>
              <w:rPr>
                <w:rFonts w:ascii="宋体" w:hAnsi="宋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行政事业性收费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政府集中采购</w:t>
            </w:r>
          </w:p>
        </w:tc>
        <w:tc>
          <w:tcPr>
            <w:tcW w:w="18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17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7614393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本行政部门政府信息公开发布总数量（</w:t>
            </w:r>
            <w:r>
              <w:rPr>
                <w:rFonts w:hint="eastAsia"/>
                <w:sz w:val="24"/>
                <w:szCs w:val="24"/>
              </w:rPr>
              <w:t>非</w:t>
            </w:r>
            <w:r>
              <w:rPr>
                <w:sz w:val="24"/>
                <w:szCs w:val="24"/>
              </w:rPr>
              <w:t>新闻类、信息类）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  <w:r>
        <w:t xml:space="preserve"> </w:t>
      </w:r>
    </w:p>
    <w:tbl>
      <w:tblPr>
        <w:tblStyle w:val="3"/>
        <w:tblW w:w="8322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829"/>
        <w:gridCol w:w="1745"/>
        <w:gridCol w:w="752"/>
        <w:gridCol w:w="699"/>
        <w:gridCol w:w="699"/>
        <w:gridCol w:w="752"/>
        <w:gridCol w:w="887"/>
        <w:gridCol w:w="685"/>
        <w:gridCol w:w="6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6" w:type="dxa"/>
            <w:gridSpan w:val="3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（本列数据的勾稽关系为：第一项加第二项之和，等于第三项加第四项之和）</w:t>
            </w:r>
          </w:p>
        </w:tc>
        <w:tc>
          <w:tcPr>
            <w:tcW w:w="5146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6" w:type="dxa"/>
            <w:gridSpan w:val="3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自然人</w:t>
            </w:r>
          </w:p>
        </w:tc>
        <w:tc>
          <w:tcPr>
            <w:tcW w:w="3722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法人或其他组织</w:t>
            </w:r>
          </w:p>
        </w:tc>
        <w:tc>
          <w:tcPr>
            <w:tcW w:w="672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6" w:type="dxa"/>
            <w:gridSpan w:val="3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商业企业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科研机构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社会公益组织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法律服务机构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其他</w:t>
            </w:r>
          </w:p>
        </w:tc>
        <w:tc>
          <w:tcPr>
            <w:tcW w:w="672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一、本年新收政府信息公开申请数量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二、上年结转政府信息公开申请数量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restart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三、本年度办理结果</w:t>
            </w:r>
          </w:p>
        </w:tc>
        <w:tc>
          <w:tcPr>
            <w:tcW w:w="257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（一）予以公开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（二）部分公开（区分处理的，只计这一情形，不计其他情形）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（三）不予公开</w:t>
            </w: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．属于国家秘密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．其他法律行政法规禁止公开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．危及“三安全一稳定”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．保护第三方合法权益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．属于三类内部事务信息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．属于四类过程性信息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．属于行政执法案卷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．属于行政查询事项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（四）无法提供</w:t>
            </w: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．本机关不掌握相关政府信息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．没有现成信息需要另行制作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．补正后申请内容仍不明确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（五）不予处理</w:t>
            </w: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  <w:r>
              <w:rPr>
                <w:rFonts w:hint="eastAsia" w:ascii="宋体" w:hAnsi="宋体"/>
                <w:sz w:val="24"/>
                <w:szCs w:val="24"/>
              </w:rPr>
              <w:t>．信访举报投诉类申请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2</w:t>
            </w:r>
            <w:r>
              <w:rPr>
                <w:rFonts w:hint="eastAsia" w:ascii="宋体" w:hAnsi="宋体"/>
                <w:sz w:val="24"/>
                <w:szCs w:val="24"/>
              </w:rPr>
              <w:t>．重复申请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3</w:t>
            </w:r>
            <w:r>
              <w:rPr>
                <w:rFonts w:hint="eastAsia" w:ascii="宋体" w:hAnsi="宋体"/>
                <w:sz w:val="24"/>
                <w:szCs w:val="24"/>
              </w:rPr>
              <w:t>．要求提供公开出版物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4</w:t>
            </w:r>
            <w:r>
              <w:rPr>
                <w:rFonts w:hint="eastAsia" w:ascii="宋体" w:hAnsi="宋体"/>
                <w:sz w:val="24"/>
                <w:szCs w:val="24"/>
              </w:rPr>
              <w:t>．无正当理由大量反复申请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5</w:t>
            </w:r>
            <w:r>
              <w:rPr>
                <w:rFonts w:hint="eastAsia" w:ascii="宋体" w:hAnsi="宋体"/>
                <w:sz w:val="24"/>
                <w:szCs w:val="24"/>
              </w:rPr>
              <w:t>．要求行政机关确认或重新出具已获取信息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（六）其他处理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（七）总计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四、结转下年度继续办理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政府信息公开行政复议、行政诉讼情况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宋体" w:hAnsi="宋体"/>
          <w:b/>
          <w:bCs/>
          <w:sz w:val="24"/>
          <w:szCs w:val="24"/>
        </w:rPr>
      </w:pPr>
    </w:p>
    <w:tbl>
      <w:tblPr>
        <w:tblStyle w:val="3"/>
        <w:tblW w:w="8366" w:type="dxa"/>
        <w:tblInd w:w="7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06"/>
        <w:gridCol w:w="504"/>
        <w:gridCol w:w="555"/>
        <w:gridCol w:w="555"/>
        <w:gridCol w:w="555"/>
        <w:gridCol w:w="581"/>
        <w:gridCol w:w="555"/>
        <w:gridCol w:w="555"/>
        <w:gridCol w:w="555"/>
        <w:gridCol w:w="556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26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行政复议</w:t>
            </w:r>
          </w:p>
        </w:tc>
        <w:tc>
          <w:tcPr>
            <w:tcW w:w="5540" w:type="dxa"/>
            <w:gridSpan w:val="10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vMerge w:val="restart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</w:t>
            </w:r>
          </w:p>
        </w:tc>
        <w:tc>
          <w:tcPr>
            <w:tcW w:w="555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</w:tc>
        <w:tc>
          <w:tcPr>
            <w:tcW w:w="555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</w:tc>
        <w:tc>
          <w:tcPr>
            <w:tcW w:w="606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</w:t>
            </w:r>
          </w:p>
        </w:tc>
        <w:tc>
          <w:tcPr>
            <w:tcW w:w="275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未经复议直接起诉</w:t>
            </w:r>
          </w:p>
        </w:tc>
        <w:tc>
          <w:tcPr>
            <w:tcW w:w="279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</w:tc>
        <w:tc>
          <w:tcPr>
            <w:tcW w:w="58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持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</w:tc>
        <w:tc>
          <w:tcPr>
            <w:tcW w:w="55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</w:t>
            </w:r>
          </w:p>
        </w:tc>
        <w:tc>
          <w:tcPr>
            <w:tcW w:w="56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0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五、</w:t>
      </w:r>
      <w:r>
        <w:rPr>
          <w:rFonts w:hint="eastAsia" w:ascii="宋体" w:hAnsi="宋体"/>
          <w:b/>
          <w:bCs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  <w:r>
        <w:rPr>
          <w:rFonts w:hint="eastAsia" w:ascii="宋体" w:hAnsi="宋体" w:cs="宋体"/>
          <w:color w:val="auto"/>
          <w:sz w:val="24"/>
          <w:szCs w:val="24"/>
          <w:shd w:val="clear" w:fill="FFFFFF"/>
          <w:lang w:eastAsia="zh-CN"/>
        </w:rPr>
        <w:t>东风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街道严格落实上级有关政府信息公开的决策部署和文件精神，取得一定成效，但也存在一些不足：一是公开平台建设还要进一步完善。二是主动公开信息覆盖面还要进一步拓广。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shd w:val="clear" w:fill="FFFFFF"/>
          <w:lang w:eastAsia="zh-CN"/>
        </w:rPr>
        <w:t>为此，今年于街道内的共计八个社区及一个公共服务中心，都设立了政府信息公开申请专区，以便于群众申请政府信息公开。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7876"/>
    <w:multiLevelType w:val="singleLevel"/>
    <w:tmpl w:val="49DF78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10B2"/>
    <w:rsid w:val="00255A8C"/>
    <w:rsid w:val="00492FFD"/>
    <w:rsid w:val="004A5303"/>
    <w:rsid w:val="00565D82"/>
    <w:rsid w:val="008210B2"/>
    <w:rsid w:val="00937F32"/>
    <w:rsid w:val="00A428AD"/>
    <w:rsid w:val="00B148FA"/>
    <w:rsid w:val="00EC6F6B"/>
    <w:rsid w:val="01FD3A17"/>
    <w:rsid w:val="02AD6079"/>
    <w:rsid w:val="06F41808"/>
    <w:rsid w:val="071A31F0"/>
    <w:rsid w:val="0D7C1D0A"/>
    <w:rsid w:val="0E765474"/>
    <w:rsid w:val="14760640"/>
    <w:rsid w:val="166E38C6"/>
    <w:rsid w:val="16914D28"/>
    <w:rsid w:val="16986320"/>
    <w:rsid w:val="17633014"/>
    <w:rsid w:val="176F05A5"/>
    <w:rsid w:val="1C8A0CA0"/>
    <w:rsid w:val="1D744D13"/>
    <w:rsid w:val="1DA04F97"/>
    <w:rsid w:val="20350545"/>
    <w:rsid w:val="2CD247B1"/>
    <w:rsid w:val="2DC065E7"/>
    <w:rsid w:val="2FC70817"/>
    <w:rsid w:val="313A6E65"/>
    <w:rsid w:val="32B46CBE"/>
    <w:rsid w:val="32DC475E"/>
    <w:rsid w:val="33996EB8"/>
    <w:rsid w:val="35D44AA0"/>
    <w:rsid w:val="3D5354DD"/>
    <w:rsid w:val="3EEE2F98"/>
    <w:rsid w:val="45693D83"/>
    <w:rsid w:val="4849575A"/>
    <w:rsid w:val="4A381FFC"/>
    <w:rsid w:val="61CA39A0"/>
    <w:rsid w:val="64831F9E"/>
    <w:rsid w:val="672557B6"/>
    <w:rsid w:val="689B3B38"/>
    <w:rsid w:val="69E43C4E"/>
    <w:rsid w:val="6CC422D9"/>
    <w:rsid w:val="79F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semiHidden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555555"/>
      <w:u w:val="none"/>
    </w:rPr>
  </w:style>
  <w:style w:type="character" w:customStyle="1" w:styleId="7">
    <w:name w:val="line"/>
    <w:basedOn w:val="4"/>
    <w:qFormat/>
    <w:uiPriority w:val="0"/>
  </w:style>
  <w:style w:type="character" w:customStyle="1" w:styleId="8">
    <w:name w:val="line1"/>
    <w:basedOn w:val="4"/>
    <w:qFormat/>
    <w:uiPriority w:val="0"/>
  </w:style>
  <w:style w:type="character" w:customStyle="1" w:styleId="9">
    <w:name w:val="icon2"/>
    <w:basedOn w:val="4"/>
    <w:uiPriority w:val="0"/>
  </w:style>
  <w:style w:type="character" w:customStyle="1" w:styleId="10">
    <w:name w:val="icon1"/>
    <w:basedOn w:val="4"/>
    <w:qFormat/>
    <w:uiPriority w:val="0"/>
  </w:style>
  <w:style w:type="character" w:customStyle="1" w:styleId="11">
    <w:name w:val="icon4"/>
    <w:basedOn w:val="4"/>
    <w:qFormat/>
    <w:uiPriority w:val="0"/>
  </w:style>
  <w:style w:type="character" w:customStyle="1" w:styleId="12">
    <w:name w:val="icon6"/>
    <w:basedOn w:val="4"/>
    <w:qFormat/>
    <w:uiPriority w:val="0"/>
  </w:style>
  <w:style w:type="character" w:customStyle="1" w:styleId="13">
    <w:name w:val="icon3"/>
    <w:basedOn w:val="4"/>
    <w:qFormat/>
    <w:uiPriority w:val="0"/>
  </w:style>
  <w:style w:type="character" w:customStyle="1" w:styleId="14">
    <w:name w:val="icon5"/>
    <w:basedOn w:val="4"/>
    <w:qFormat/>
    <w:uiPriority w:val="0"/>
  </w:style>
  <w:style w:type="character" w:customStyle="1" w:styleId="15">
    <w:name w:val="icon8"/>
    <w:basedOn w:val="4"/>
    <w:qFormat/>
    <w:uiPriority w:val="0"/>
  </w:style>
  <w:style w:type="character" w:customStyle="1" w:styleId="16">
    <w:name w:val="icon7"/>
    <w:basedOn w:val="4"/>
    <w:qFormat/>
    <w:uiPriority w:val="0"/>
  </w:style>
  <w:style w:type="character" w:customStyle="1" w:styleId="17">
    <w:name w:val="sl"/>
    <w:basedOn w:val="4"/>
    <w:qFormat/>
    <w:uiPriority w:val="0"/>
    <w:rPr>
      <w:sz w:val="21"/>
      <w:szCs w:val="21"/>
    </w:rPr>
  </w:style>
  <w:style w:type="character" w:customStyle="1" w:styleId="18">
    <w:name w:val="on2"/>
    <w:basedOn w:val="4"/>
    <w:qFormat/>
    <w:uiPriority w:val="0"/>
    <w:rPr>
      <w:b/>
      <w:color w:val="D10200"/>
      <w:shd w:val="clear" w:fill="F2F2F2"/>
    </w:rPr>
  </w:style>
  <w:style w:type="character" w:customStyle="1" w:styleId="19">
    <w:name w:val="fy_go"/>
    <w:basedOn w:val="4"/>
    <w:qFormat/>
    <w:uiPriority w:val="0"/>
    <w:rPr>
      <w:color w:val="FFFFFF"/>
      <w:sz w:val="21"/>
      <w:szCs w:val="21"/>
      <w:shd w:val="clear" w:fill="D102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367</Words>
  <Characters>2094</Characters>
  <Lines>17</Lines>
  <Paragraphs>4</Paragraphs>
  <TotalTime>0</TotalTime>
  <ScaleCrop>false</ScaleCrop>
  <LinksUpToDate>false</LinksUpToDate>
  <CharactersWithSpaces>2457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2021-01-11T02:31:00Z</dcterms:created>
  <dc:creator>Administrator</dc:creator>
  <cp:lastModifiedBy>Yu。</cp:lastModifiedBy>
  <dcterms:modified xsi:type="dcterms:W3CDTF">2021-01-23T07:11:48Z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