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F8" w:rsidRDefault="00C40582">
      <w:pPr>
        <w:jc w:val="center"/>
        <w:rPr>
          <w:rFonts w:asciiTheme="majorEastAsia" w:eastAsiaTheme="majorEastAsia" w:hAnsiTheme="majorEastAsia" w:cs="方正小标宋简体"/>
          <w:b/>
          <w:sz w:val="36"/>
          <w:szCs w:val="36"/>
        </w:rPr>
      </w:pPr>
      <w:r w:rsidRPr="00DC10BE">
        <w:rPr>
          <w:rFonts w:asciiTheme="majorEastAsia" w:eastAsiaTheme="majorEastAsia" w:hAnsiTheme="majorEastAsia" w:cs="方正小标宋简体" w:hint="eastAsia"/>
          <w:b/>
          <w:sz w:val="36"/>
          <w:szCs w:val="36"/>
        </w:rPr>
        <w:t>国家税务总局长春汽车经技术开发区税务局</w:t>
      </w:r>
    </w:p>
    <w:p w:rsidR="00C36F58" w:rsidRPr="00DC10BE" w:rsidRDefault="002057FA">
      <w:pPr>
        <w:jc w:val="center"/>
        <w:rPr>
          <w:rFonts w:asciiTheme="majorEastAsia" w:eastAsiaTheme="majorEastAsia" w:hAnsiTheme="majorEastAsia"/>
          <w:b/>
          <w:sz w:val="36"/>
          <w:szCs w:val="36"/>
        </w:rPr>
      </w:pPr>
      <w:r w:rsidRPr="00DC10BE">
        <w:rPr>
          <w:rFonts w:asciiTheme="majorEastAsia" w:eastAsiaTheme="majorEastAsia" w:hAnsiTheme="majorEastAsia" w:cs="方正小标宋简体" w:hint="eastAsia"/>
          <w:b/>
          <w:sz w:val="36"/>
          <w:szCs w:val="36"/>
        </w:rPr>
        <w:t>2019年政府信息公开工作年度报告</w:t>
      </w:r>
    </w:p>
    <w:p w:rsidR="00C36F58" w:rsidRDefault="00682575">
      <w:pPr>
        <w:rPr>
          <w:rFonts w:ascii="黑体" w:eastAsia="黑体" w:hAnsi="黑体" w:cs="黑体"/>
          <w:sz w:val="32"/>
          <w:szCs w:val="32"/>
        </w:rPr>
      </w:pPr>
      <w:r>
        <w:rPr>
          <w:rFonts w:ascii="黑体" w:eastAsia="黑体" w:hAnsi="黑体" w:cs="黑体" w:hint="eastAsia"/>
          <w:sz w:val="32"/>
          <w:szCs w:val="32"/>
        </w:rPr>
        <w:tab/>
      </w:r>
      <w:r>
        <w:rPr>
          <w:rFonts w:ascii="黑体" w:eastAsia="黑体" w:hAnsi="黑体" w:cs="黑体" w:hint="eastAsia"/>
          <w:sz w:val="32"/>
          <w:szCs w:val="32"/>
        </w:rPr>
        <w:tab/>
      </w:r>
      <w:r>
        <w:rPr>
          <w:rFonts w:ascii="黑体" w:eastAsia="黑体" w:hAnsi="黑体" w:cs="黑体" w:hint="eastAsia"/>
          <w:sz w:val="32"/>
          <w:szCs w:val="32"/>
        </w:rPr>
        <w:tab/>
      </w:r>
    </w:p>
    <w:p w:rsidR="00424BD9" w:rsidRPr="000B03F8" w:rsidRDefault="00424BD9" w:rsidP="000B03F8">
      <w:pPr>
        <w:ind w:firstLineChars="200" w:firstLine="480"/>
        <w:jc w:val="left"/>
        <w:rPr>
          <w:rFonts w:asciiTheme="minorEastAsia" w:hAnsiTheme="minorEastAsia" w:cs="宋体"/>
          <w:kern w:val="0"/>
          <w:sz w:val="24"/>
          <w:szCs w:val="32"/>
        </w:rPr>
      </w:pPr>
      <w:r w:rsidRPr="000B03F8">
        <w:rPr>
          <w:rFonts w:asciiTheme="minorEastAsia" w:hAnsiTheme="minorEastAsia" w:cs="宋体" w:hint="eastAsia"/>
          <w:kern w:val="0"/>
          <w:sz w:val="24"/>
          <w:szCs w:val="32"/>
        </w:rPr>
        <w:t>根据《中华人民共和国政府信息公开条例》（以下简称“条例”）、国家税务总局、吉林省税务局和长春市税务局及长春汽车经济技术开发区管委会的相关工作要求，特向社会公布国家税务总局长春汽车经济技术开发区税务局2019年政府信息公开工作年度报告。本报告包括总体情况，主动公开政府信息情况，收到和处理政府信息公开申请情况，政府信息公开行政复议、行政诉讼情况和存在的主要问题及改进情况，共</w:t>
      </w:r>
      <w:r w:rsidR="00367AEF" w:rsidRPr="000B03F8">
        <w:rPr>
          <w:rFonts w:asciiTheme="minorEastAsia" w:hAnsiTheme="minorEastAsia" w:cs="宋体" w:hint="eastAsia"/>
          <w:kern w:val="0"/>
          <w:sz w:val="24"/>
          <w:szCs w:val="32"/>
        </w:rPr>
        <w:t>五</w:t>
      </w:r>
      <w:r w:rsidRPr="000B03F8">
        <w:rPr>
          <w:rFonts w:asciiTheme="minorEastAsia" w:hAnsiTheme="minorEastAsia" w:cs="宋体" w:hint="eastAsia"/>
          <w:kern w:val="0"/>
          <w:sz w:val="24"/>
          <w:szCs w:val="32"/>
        </w:rPr>
        <w:t>个部分。</w:t>
      </w:r>
    </w:p>
    <w:p w:rsidR="00424BD9" w:rsidRPr="000B03F8" w:rsidRDefault="00424BD9" w:rsidP="000B03F8">
      <w:pPr>
        <w:ind w:firstLineChars="200" w:firstLine="480"/>
        <w:jc w:val="left"/>
        <w:rPr>
          <w:rFonts w:asciiTheme="minorEastAsia" w:hAnsiTheme="minorEastAsia" w:cs="宋体"/>
          <w:kern w:val="0"/>
          <w:sz w:val="24"/>
          <w:szCs w:val="32"/>
        </w:rPr>
      </w:pPr>
      <w:r w:rsidRPr="000B03F8">
        <w:rPr>
          <w:rFonts w:asciiTheme="minorEastAsia" w:hAnsiTheme="minorEastAsia" w:cs="宋体" w:hint="eastAsia"/>
          <w:kern w:val="0"/>
          <w:sz w:val="24"/>
          <w:szCs w:val="32"/>
        </w:rPr>
        <w:t>本报告中所列数据的统计期限自2019年1月1日起至2019年12月31日止。本报告电子版可以在国家税务总局吉林省税务局门户网站信息公开栏目中下载。(http://jilin.chinatax.gov.cn/col/col296/index.html)</w:t>
      </w:r>
    </w:p>
    <w:p w:rsidR="00424BD9" w:rsidRPr="000B03F8" w:rsidRDefault="00424BD9" w:rsidP="000B03F8">
      <w:pPr>
        <w:ind w:firstLineChars="200" w:firstLine="480"/>
        <w:jc w:val="left"/>
        <w:rPr>
          <w:rFonts w:asciiTheme="majorEastAsia" w:eastAsiaTheme="majorEastAsia" w:hAnsiTheme="majorEastAsia" w:cs="黑体"/>
          <w:b/>
          <w:sz w:val="24"/>
          <w:szCs w:val="32"/>
        </w:rPr>
      </w:pPr>
      <w:r w:rsidRPr="000B03F8">
        <w:rPr>
          <w:rFonts w:asciiTheme="minorEastAsia" w:hAnsiTheme="minorEastAsia" w:cs="宋体" w:hint="eastAsia"/>
          <w:kern w:val="0"/>
          <w:sz w:val="24"/>
          <w:szCs w:val="32"/>
        </w:rPr>
        <w:t>如对本报告有任何疑问，请与国家税务总局长春汽车经济技术开发区税务局政府信息公开办公室联系（地址：吉林省长春市创业大街628号，邮编：130011，电话：0431-80507500，传真：0431-80507509）。</w:t>
      </w:r>
    </w:p>
    <w:p w:rsidR="00C36F58" w:rsidRPr="000B03F8" w:rsidRDefault="00682575" w:rsidP="000B03F8">
      <w:pPr>
        <w:ind w:firstLineChars="200" w:firstLine="482"/>
        <w:jc w:val="left"/>
        <w:rPr>
          <w:rFonts w:asciiTheme="majorEastAsia" w:eastAsiaTheme="majorEastAsia" w:hAnsiTheme="majorEastAsia" w:cs="黑体"/>
          <w:b/>
          <w:sz w:val="24"/>
          <w:szCs w:val="32"/>
        </w:rPr>
      </w:pPr>
      <w:r w:rsidRPr="000B03F8">
        <w:rPr>
          <w:rFonts w:asciiTheme="majorEastAsia" w:eastAsiaTheme="majorEastAsia" w:hAnsiTheme="majorEastAsia" w:cs="黑体" w:hint="eastAsia"/>
          <w:b/>
          <w:sz w:val="24"/>
          <w:szCs w:val="32"/>
        </w:rPr>
        <w:t>一、总体情况</w:t>
      </w:r>
      <w:r w:rsidRPr="000B03F8">
        <w:rPr>
          <w:rFonts w:asciiTheme="majorEastAsia" w:eastAsiaTheme="majorEastAsia" w:hAnsiTheme="majorEastAsia" w:cs="黑体" w:hint="eastAsia"/>
          <w:b/>
          <w:sz w:val="24"/>
          <w:szCs w:val="32"/>
        </w:rPr>
        <w:tab/>
      </w:r>
      <w:r w:rsidRPr="000B03F8">
        <w:rPr>
          <w:rFonts w:asciiTheme="majorEastAsia" w:eastAsiaTheme="majorEastAsia" w:hAnsiTheme="majorEastAsia" w:cs="黑体" w:hint="eastAsia"/>
          <w:b/>
          <w:sz w:val="24"/>
          <w:szCs w:val="32"/>
        </w:rPr>
        <w:tab/>
      </w:r>
      <w:r w:rsidRPr="000B03F8">
        <w:rPr>
          <w:rFonts w:asciiTheme="majorEastAsia" w:eastAsiaTheme="majorEastAsia" w:hAnsiTheme="majorEastAsia" w:cs="黑体" w:hint="eastAsia"/>
          <w:b/>
          <w:sz w:val="24"/>
          <w:szCs w:val="32"/>
        </w:rPr>
        <w:tab/>
      </w:r>
    </w:p>
    <w:p w:rsidR="00ED6600" w:rsidRPr="000B03F8" w:rsidRDefault="00ED6600" w:rsidP="000B03F8">
      <w:pPr>
        <w:ind w:firstLineChars="200" w:firstLine="480"/>
        <w:jc w:val="left"/>
        <w:rPr>
          <w:rFonts w:asciiTheme="minorEastAsia" w:hAnsiTheme="minorEastAsia" w:cs="宋体"/>
          <w:kern w:val="0"/>
          <w:sz w:val="24"/>
          <w:szCs w:val="32"/>
        </w:rPr>
      </w:pPr>
      <w:r w:rsidRPr="000B03F8">
        <w:rPr>
          <w:rFonts w:asciiTheme="minorEastAsia" w:hAnsiTheme="minorEastAsia" w:cs="宋体" w:hint="eastAsia"/>
          <w:kern w:val="0"/>
          <w:sz w:val="24"/>
          <w:szCs w:val="32"/>
        </w:rPr>
        <w:t>2019年, 国家税务总局长春汽车经济技术开发区税务局在长春市税务局和汽开区党工委、管委会的正确领导下,严格落实《条例》,按照市局和区党工委、管委会信息公开工作要求,结合汽开税务工作实际,拓展政府信息公开内容,创新政府信息公开形式,强化政府信息公开监督,全面推进决策、执行、管理、服务、结果公开,加强税收政策发布、解读和回应,有效发挥了政府信息对经济社会活动的服务作用,助力深化改革、经济发展和民生改善。</w:t>
      </w:r>
    </w:p>
    <w:p w:rsidR="00ED6600" w:rsidRPr="000B03F8" w:rsidRDefault="00ED6600" w:rsidP="000B03F8">
      <w:pPr>
        <w:ind w:firstLineChars="200" w:firstLine="480"/>
        <w:jc w:val="left"/>
        <w:rPr>
          <w:rFonts w:asciiTheme="minorEastAsia" w:hAnsiTheme="minorEastAsia" w:cs="宋体"/>
          <w:kern w:val="0"/>
          <w:sz w:val="24"/>
          <w:szCs w:val="32"/>
        </w:rPr>
      </w:pPr>
      <w:r w:rsidRPr="000B03F8">
        <w:rPr>
          <w:rFonts w:asciiTheme="minorEastAsia" w:hAnsiTheme="minorEastAsia" w:cs="宋体" w:hint="eastAsia"/>
          <w:kern w:val="0"/>
          <w:sz w:val="24"/>
          <w:szCs w:val="32"/>
        </w:rPr>
        <w:t>(一)推进税收政策信息公开。2019年,我局开展减税降费进校园、进社区、进商圈等活动，举办减税降费纳税人学堂17场，对总局发布的重要税收政策进行了宣传培训辅导解读。特别是在个人所得税改革推进过程中,我局利用公益广告屏、办税服务厅宣传栏等集中发布和主动推送个人所得税改革新政</w:t>
      </w:r>
      <w:r w:rsidR="00460C87" w:rsidRPr="000B03F8">
        <w:rPr>
          <w:rFonts w:asciiTheme="minorEastAsia" w:hAnsiTheme="minorEastAsia" w:cs="宋体" w:hint="eastAsia"/>
          <w:kern w:val="0"/>
          <w:sz w:val="24"/>
          <w:szCs w:val="32"/>
        </w:rPr>
        <w:t>；</w:t>
      </w:r>
      <w:r w:rsidRPr="000B03F8">
        <w:rPr>
          <w:rFonts w:asciiTheme="minorEastAsia" w:hAnsiTheme="minorEastAsia" w:cs="宋体" w:hint="eastAsia"/>
          <w:kern w:val="0"/>
          <w:sz w:val="24"/>
          <w:szCs w:val="32"/>
        </w:rPr>
        <w:t>举办个税改革纳税人学堂培训,有力推进个人所得税改革政策的高质量落实。</w:t>
      </w:r>
    </w:p>
    <w:p w:rsidR="00ED6600" w:rsidRPr="000B03F8" w:rsidRDefault="00ED6600" w:rsidP="000B03F8">
      <w:pPr>
        <w:ind w:firstLineChars="200" w:firstLine="480"/>
        <w:jc w:val="left"/>
        <w:rPr>
          <w:rFonts w:asciiTheme="minorEastAsia" w:hAnsiTheme="minorEastAsia" w:cs="宋体"/>
          <w:kern w:val="0"/>
          <w:sz w:val="24"/>
          <w:szCs w:val="32"/>
        </w:rPr>
      </w:pPr>
      <w:r w:rsidRPr="000B03F8">
        <w:rPr>
          <w:rFonts w:asciiTheme="minorEastAsia" w:hAnsiTheme="minorEastAsia" w:cs="宋体" w:hint="eastAsia"/>
          <w:kern w:val="0"/>
          <w:sz w:val="24"/>
          <w:szCs w:val="32"/>
        </w:rPr>
        <w:t>(二)推进办税服务开展情况公开。在办税服务厅设置导税台,引导纳税人办理各项纳税事宜。加快推进电子税务局建设,大力推进网上办税,推动纳税服务向多元化延伸</w:t>
      </w:r>
      <w:r w:rsidR="00286923" w:rsidRPr="000B03F8">
        <w:rPr>
          <w:rFonts w:asciiTheme="minorEastAsia" w:hAnsiTheme="minorEastAsia" w:cs="宋体" w:hint="eastAsia"/>
          <w:kern w:val="0"/>
          <w:sz w:val="24"/>
          <w:szCs w:val="32"/>
        </w:rPr>
        <w:t>；</w:t>
      </w:r>
      <w:r w:rsidRPr="000B03F8">
        <w:rPr>
          <w:rFonts w:asciiTheme="minorEastAsia" w:hAnsiTheme="minorEastAsia" w:cs="宋体" w:hint="eastAsia"/>
          <w:kern w:val="0"/>
          <w:sz w:val="24"/>
          <w:szCs w:val="32"/>
        </w:rPr>
        <w:t>公开纳税服务事项统一办理标准,推进办税便利化改革,最大限度便利纳税人,不断提高纳税服务水平。</w:t>
      </w:r>
    </w:p>
    <w:p w:rsidR="00ED6600" w:rsidRPr="000B03F8" w:rsidRDefault="00ED6600" w:rsidP="000B03F8">
      <w:pPr>
        <w:ind w:firstLineChars="200" w:firstLine="480"/>
        <w:jc w:val="left"/>
        <w:rPr>
          <w:rFonts w:asciiTheme="minorEastAsia" w:hAnsiTheme="minorEastAsia" w:cs="宋体"/>
          <w:kern w:val="0"/>
          <w:sz w:val="24"/>
          <w:szCs w:val="32"/>
        </w:rPr>
      </w:pPr>
      <w:r w:rsidRPr="000B03F8">
        <w:rPr>
          <w:rFonts w:asciiTheme="minorEastAsia" w:hAnsiTheme="minorEastAsia" w:cs="宋体" w:hint="eastAsia"/>
          <w:kern w:val="0"/>
          <w:sz w:val="24"/>
          <w:szCs w:val="32"/>
        </w:rPr>
        <w:t>(三)推进机构改革信息公开。在推进征管体制改革信息公开任务中,我局运用实体办税厅宣传、新媒体推送、纳税人学堂培训等方式,多渠道大力宣讲机构改革新政策,提高纳税人政策知晓度</w:t>
      </w:r>
      <w:r w:rsidR="00A608E2">
        <w:rPr>
          <w:rFonts w:asciiTheme="minorEastAsia" w:hAnsiTheme="minorEastAsia" w:cs="宋体" w:hint="eastAsia"/>
          <w:kern w:val="0"/>
          <w:sz w:val="24"/>
          <w:szCs w:val="32"/>
        </w:rPr>
        <w:t>；</w:t>
      </w:r>
      <w:r w:rsidRPr="000B03F8">
        <w:rPr>
          <w:rFonts w:asciiTheme="minorEastAsia" w:hAnsiTheme="minorEastAsia" w:cs="宋体" w:hint="eastAsia"/>
          <w:kern w:val="0"/>
          <w:sz w:val="24"/>
          <w:szCs w:val="32"/>
        </w:rPr>
        <w:t>通过问卷调查、深入走访等形式密切跟踪广大纳税人对征管体制改革的舆情反应,及时回应社会各界关心的问题。根据机构改革进展情况,及时在网站公布新的机构设置、法定职责等基本信息,提高税收工作的透明度,促进依法行政。</w:t>
      </w:r>
    </w:p>
    <w:p w:rsidR="00C36F58" w:rsidRPr="000B03F8" w:rsidRDefault="00682575" w:rsidP="000B03F8">
      <w:pPr>
        <w:ind w:firstLineChars="200" w:firstLine="482"/>
        <w:rPr>
          <w:rFonts w:asciiTheme="minorEastAsia" w:hAnsiTheme="minorEastAsia"/>
          <w:b/>
          <w:sz w:val="18"/>
        </w:rPr>
      </w:pPr>
      <w:r w:rsidRPr="000B03F8">
        <w:rPr>
          <w:rFonts w:asciiTheme="minorEastAsia" w:hAnsiTheme="minorEastAsia" w:cs="黑体" w:hint="eastAsia"/>
          <w:b/>
          <w:sz w:val="24"/>
          <w:szCs w:val="32"/>
        </w:rPr>
        <w:lastRenderedPageBreak/>
        <w:t>二、主动公开政府信息情况</w:t>
      </w:r>
    </w:p>
    <w:tbl>
      <w:tblPr>
        <w:tblW w:w="8460" w:type="dxa"/>
        <w:jc w:val="center"/>
        <w:tblCellMar>
          <w:left w:w="0" w:type="dxa"/>
          <w:right w:w="0" w:type="dxa"/>
        </w:tblCellMar>
        <w:tblLook w:val="04A0"/>
      </w:tblPr>
      <w:tblGrid>
        <w:gridCol w:w="2627"/>
        <w:gridCol w:w="2009"/>
        <w:gridCol w:w="1815"/>
        <w:gridCol w:w="2009"/>
      </w:tblGrid>
      <w:tr w:rsidR="00C36F58">
        <w:trPr>
          <w:trHeight w:val="400"/>
          <w:jc w:val="center"/>
        </w:trPr>
        <w:tc>
          <w:tcPr>
            <w:tcW w:w="8460" w:type="dxa"/>
            <w:gridSpan w:val="4"/>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第二十条第（一）项</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本年新制作数量</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本年新公开数量</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对外公开总数量</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规章</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规范性文件</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r>
      <w:tr w:rsidR="00C36F58">
        <w:trPr>
          <w:trHeight w:val="40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第二十条第（五）项</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上一年项目数量</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本年增</w:t>
            </w:r>
            <w:r>
              <w:rPr>
                <w:rFonts w:ascii="MingLiU" w:eastAsia="MingLiU" w:hAnsi="MingLiU" w:cs="MingLiU"/>
                <w:color w:val="000000"/>
                <w:kern w:val="0"/>
                <w:sz w:val="20"/>
                <w:szCs w:val="20"/>
              </w:rPr>
              <w:t>/</w:t>
            </w:r>
            <w:r>
              <w:rPr>
                <w:rFonts w:ascii="宋体" w:eastAsia="宋体" w:hAnsi="宋体" w:cs="宋体" w:hint="eastAsia"/>
                <w:color w:val="000000"/>
                <w:kern w:val="0"/>
                <w:sz w:val="20"/>
                <w:szCs w:val="20"/>
              </w:rPr>
              <w:t>减</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处理决定数量</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行政许可</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C80C61"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166</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其他对外管理服务事项</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424BD9" w:rsidP="00915774">
            <w:pPr>
              <w:jc w:val="center"/>
              <w:rPr>
                <w:rFonts w:ascii="Arial" w:eastAsia="宋体" w:hAnsi="Arial" w:cs="Arial"/>
                <w:color w:val="000000"/>
                <w:sz w:val="20"/>
                <w:szCs w:val="20"/>
              </w:rPr>
            </w:pPr>
            <w:r>
              <w:rPr>
                <w:rFonts w:ascii="Arial" w:eastAsia="宋体" w:hAnsi="Arial" w:cs="Arial" w:hint="eastAsia"/>
                <w:color w:val="000000"/>
                <w:sz w:val="20"/>
                <w:szCs w:val="20"/>
              </w:rPr>
              <w:t>31</w:t>
            </w:r>
          </w:p>
        </w:tc>
      </w:tr>
      <w:tr w:rsidR="00C36F58">
        <w:trPr>
          <w:trHeight w:val="40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第二十条第（六）项</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上一年项目数量</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本年增</w:t>
            </w:r>
            <w:r>
              <w:rPr>
                <w:rFonts w:ascii="MingLiU" w:eastAsia="MingLiU" w:hAnsi="MingLiU" w:cs="MingLiU"/>
                <w:color w:val="000000"/>
                <w:kern w:val="0"/>
                <w:sz w:val="20"/>
                <w:szCs w:val="20"/>
              </w:rPr>
              <w:t>/</w:t>
            </w:r>
            <w:r>
              <w:rPr>
                <w:rFonts w:ascii="宋体" w:eastAsia="宋体" w:hAnsi="宋体" w:cs="宋体" w:hint="eastAsia"/>
                <w:color w:val="000000"/>
                <w:kern w:val="0"/>
                <w:sz w:val="20"/>
                <w:szCs w:val="20"/>
              </w:rPr>
              <w:t>减</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处理决定数量</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行政处罚</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38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C80C61"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44</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行政强制</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2</w:t>
            </w:r>
          </w:p>
        </w:tc>
      </w:tr>
      <w:tr w:rsidR="00C36F58">
        <w:trPr>
          <w:trHeight w:val="40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第二十条第（八）项</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上一年项目数量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本年增</w:t>
            </w:r>
            <w:r>
              <w:rPr>
                <w:rFonts w:ascii="MingLiU" w:eastAsia="MingLiU" w:hAnsi="MingLiU" w:cs="MingLiU"/>
                <w:color w:val="000000"/>
                <w:kern w:val="0"/>
                <w:sz w:val="20"/>
                <w:szCs w:val="20"/>
              </w:rPr>
              <w:t>/</w:t>
            </w:r>
            <w:r>
              <w:rPr>
                <w:rFonts w:ascii="宋体" w:eastAsia="宋体" w:hAnsi="宋体" w:cs="宋体" w:hint="eastAsia"/>
                <w:color w:val="000000"/>
                <w:kern w:val="0"/>
                <w:sz w:val="20"/>
                <w:szCs w:val="20"/>
              </w:rPr>
              <w:t>减</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行政事业性收费</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r>
      <w:tr w:rsidR="00C36F58">
        <w:trPr>
          <w:trHeight w:val="40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第二十条第（九）项</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信息内容</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釆购项目数量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釆购总金额</w:t>
            </w:r>
          </w:p>
        </w:tc>
      </w:tr>
      <w:tr w:rsidR="00C36F58">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68257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政府集中釆购</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r>
    </w:tbl>
    <w:p w:rsidR="00C36F58" w:rsidRPr="000B03F8" w:rsidRDefault="00682575" w:rsidP="000B03F8">
      <w:pPr>
        <w:ind w:firstLineChars="200" w:firstLine="482"/>
        <w:rPr>
          <w:rFonts w:asciiTheme="minorEastAsia" w:hAnsiTheme="minorEastAsia" w:cs="黑体"/>
          <w:b/>
          <w:sz w:val="24"/>
          <w:szCs w:val="32"/>
        </w:rPr>
      </w:pPr>
      <w:r w:rsidRPr="000B03F8">
        <w:rPr>
          <w:rFonts w:asciiTheme="minorEastAsia" w:hAnsiTheme="minorEastAsia" w:cs="黑体" w:hint="eastAsia"/>
          <w:b/>
          <w:sz w:val="24"/>
          <w:szCs w:val="32"/>
        </w:rPr>
        <w:t>三、收到和处理政府信息公开申请情况</w:t>
      </w:r>
    </w:p>
    <w:tbl>
      <w:tblPr>
        <w:tblW w:w="8610" w:type="dxa"/>
        <w:jc w:val="center"/>
        <w:tblCellMar>
          <w:left w:w="0" w:type="dxa"/>
          <w:right w:w="0" w:type="dxa"/>
        </w:tblCellMar>
        <w:tblLook w:val="04A0"/>
      </w:tblPr>
      <w:tblGrid>
        <w:gridCol w:w="1080"/>
        <w:gridCol w:w="1080"/>
        <w:gridCol w:w="1080"/>
        <w:gridCol w:w="660"/>
        <w:gridCol w:w="855"/>
        <w:gridCol w:w="855"/>
        <w:gridCol w:w="660"/>
        <w:gridCol w:w="660"/>
        <w:gridCol w:w="855"/>
        <w:gridCol w:w="825"/>
      </w:tblGrid>
      <w:tr w:rsidR="00C36F58">
        <w:trPr>
          <w:trHeight w:val="270"/>
          <w:jc w:val="center"/>
        </w:trPr>
        <w:tc>
          <w:tcPr>
            <w:tcW w:w="324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（本列数据的勾稽关系为：第一项加第二项之和，等于第三项加第四项之和）</w:t>
            </w:r>
          </w:p>
        </w:tc>
        <w:tc>
          <w:tcPr>
            <w:tcW w:w="537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申请人情况</w:t>
            </w:r>
          </w:p>
        </w:tc>
      </w:tr>
      <w:tr w:rsidR="00C36F58">
        <w:trPr>
          <w:trHeight w:val="270"/>
          <w:jc w:val="center"/>
        </w:trPr>
        <w:tc>
          <w:tcPr>
            <w:tcW w:w="324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6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自然人</w:t>
            </w:r>
          </w:p>
        </w:tc>
        <w:tc>
          <w:tcPr>
            <w:tcW w:w="388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法人或其他组织</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总计</w:t>
            </w:r>
          </w:p>
        </w:tc>
      </w:tr>
      <w:tr w:rsidR="00C36F58">
        <w:trPr>
          <w:trHeight w:val="495"/>
          <w:jc w:val="center"/>
        </w:trPr>
        <w:tc>
          <w:tcPr>
            <w:tcW w:w="324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66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商业企业</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科研机构</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社会公</w:t>
            </w:r>
            <w:r>
              <w:rPr>
                <w:rFonts w:ascii="黑体" w:eastAsia="黑体" w:hAnsi="宋体" w:cs="黑体" w:hint="eastAsia"/>
                <w:color w:val="000000"/>
                <w:kern w:val="0"/>
                <w:sz w:val="20"/>
                <w:szCs w:val="20"/>
              </w:rPr>
              <w:br/>
              <w:t>益组织</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法律服</w:t>
            </w:r>
            <w:r>
              <w:rPr>
                <w:rFonts w:ascii="黑体" w:eastAsia="黑体" w:hAnsi="宋体" w:cs="黑体" w:hint="eastAsia"/>
                <w:color w:val="000000"/>
                <w:kern w:val="0"/>
                <w:sz w:val="20"/>
                <w:szCs w:val="20"/>
              </w:rPr>
              <w:br/>
              <w:t>务机构</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其他</w:t>
            </w:r>
          </w:p>
        </w:tc>
        <w:tc>
          <w:tcPr>
            <w:tcW w:w="82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r>
      <w:tr w:rsidR="00C36F58">
        <w:trPr>
          <w:trHeight w:val="270"/>
          <w:jc w:val="center"/>
        </w:trPr>
        <w:tc>
          <w:tcPr>
            <w:tcW w:w="32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一、本年新收政府信息公开申请数量</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270"/>
          <w:jc w:val="center"/>
        </w:trPr>
        <w:tc>
          <w:tcPr>
            <w:tcW w:w="32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二、上年结转政府信息公开申请数量</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285"/>
          <w:jc w:val="center"/>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三、</w:t>
            </w:r>
            <w:r>
              <w:rPr>
                <w:rFonts w:ascii="黑体" w:eastAsia="黑体" w:hAnsi="宋体" w:cs="黑体" w:hint="eastAsia"/>
                <w:color w:val="000000"/>
                <w:kern w:val="0"/>
                <w:sz w:val="20"/>
                <w:szCs w:val="20"/>
              </w:rPr>
              <w:br/>
              <w:t>本年度</w:t>
            </w:r>
            <w:r>
              <w:rPr>
                <w:rFonts w:ascii="黑体" w:eastAsia="黑体" w:hAnsi="宋体" w:cs="黑体" w:hint="eastAsia"/>
                <w:color w:val="000000"/>
                <w:kern w:val="0"/>
                <w:sz w:val="20"/>
                <w:szCs w:val="20"/>
              </w:rPr>
              <w:br/>
              <w:t>办理结果</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（一）予以公开</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8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（二）部分公开（区分处理的，只计这一情形，不计其他情形）</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49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（三）</w:t>
            </w:r>
            <w:r>
              <w:rPr>
                <w:rFonts w:ascii="黑体" w:eastAsia="黑体" w:hAnsi="宋体" w:cs="黑体" w:hint="eastAsia"/>
                <w:color w:val="000000"/>
                <w:kern w:val="0"/>
                <w:sz w:val="20"/>
                <w:szCs w:val="20"/>
              </w:rPr>
              <w:br/>
              <w:t>不予公开</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1.属于国家秘密</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3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2.其他法律行政法规禁止公开</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bookmarkStart w:id="0" w:name="_GoBack"/>
            <w:bookmarkEnd w:id="0"/>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3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3.危及“三安全一稳定”</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49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4.保护第三方合法权益</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3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5.属于三类内部事务信息</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49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6.属于四类过程性信息</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49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7.属于行政执法案卷</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49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8.属于行政查询事项</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3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（四）</w:t>
            </w:r>
            <w:r>
              <w:rPr>
                <w:rFonts w:ascii="黑体" w:eastAsia="黑体" w:hAnsi="宋体" w:cs="黑体" w:hint="eastAsia"/>
                <w:color w:val="000000"/>
                <w:kern w:val="0"/>
                <w:sz w:val="20"/>
                <w:szCs w:val="20"/>
              </w:rPr>
              <w:br/>
              <w:t>无法提供</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1.本机关不掌握相关政府信息</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3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2.没有现成信息需要另行制作</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3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3.补正后申请内容仍不明确</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49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（五）</w:t>
            </w:r>
            <w:r>
              <w:rPr>
                <w:rFonts w:ascii="黑体" w:eastAsia="黑体" w:hAnsi="宋体" w:cs="黑体" w:hint="eastAsia"/>
                <w:color w:val="000000"/>
                <w:kern w:val="0"/>
                <w:sz w:val="20"/>
                <w:szCs w:val="20"/>
              </w:rPr>
              <w:br/>
              <w:t>不予处理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1.信访举报投诉类申请</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27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2.重复申请</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49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3.要求提供公开出版物</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73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4.无正当理由大量反复申请</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97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5.要求行政机关确认或重新出具已获取信息</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27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（六）其他处理</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27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黑体" w:eastAsia="黑体" w:hAnsi="宋体" w:cs="黑体"/>
                <w:color w:val="000000"/>
                <w:sz w:val="20"/>
                <w:szCs w:val="2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（七）总计</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r w:rsidR="00C36F58">
        <w:trPr>
          <w:trHeight w:val="270"/>
          <w:jc w:val="center"/>
        </w:trPr>
        <w:tc>
          <w:tcPr>
            <w:tcW w:w="32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left"/>
              <w:textAlignment w:val="top"/>
              <w:rPr>
                <w:rFonts w:ascii="黑体" w:eastAsia="黑体" w:hAnsi="宋体" w:cs="黑体"/>
                <w:color w:val="000000"/>
                <w:sz w:val="20"/>
                <w:szCs w:val="20"/>
              </w:rPr>
            </w:pPr>
            <w:r>
              <w:rPr>
                <w:rFonts w:ascii="黑体" w:eastAsia="黑体" w:hAnsi="宋体" w:cs="黑体" w:hint="eastAsia"/>
                <w:color w:val="000000"/>
                <w:kern w:val="0"/>
                <w:sz w:val="20"/>
                <w:szCs w:val="20"/>
              </w:rPr>
              <w:t>四、结转下年度继续办理</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915774" w:rsidP="00915774">
            <w:pPr>
              <w:jc w:val="center"/>
              <w:rPr>
                <w:rFonts w:ascii="黑体" w:eastAsia="黑体" w:hAnsi="宋体" w:cs="黑体"/>
                <w:color w:val="000000"/>
                <w:sz w:val="20"/>
                <w:szCs w:val="20"/>
              </w:rPr>
            </w:pPr>
            <w:r>
              <w:rPr>
                <w:rFonts w:ascii="黑体" w:eastAsia="黑体" w:hAnsi="宋体" w:cs="黑体" w:hint="eastAsia"/>
                <w:color w:val="000000"/>
                <w:sz w:val="20"/>
                <w:szCs w:val="20"/>
              </w:rPr>
              <w:t>0</w:t>
            </w:r>
          </w:p>
        </w:tc>
      </w:tr>
    </w:tbl>
    <w:p w:rsidR="00C36F58" w:rsidRPr="000B03F8" w:rsidRDefault="00682575" w:rsidP="000B03F8">
      <w:pPr>
        <w:ind w:firstLineChars="200" w:firstLine="482"/>
        <w:rPr>
          <w:rFonts w:asciiTheme="minorEastAsia" w:hAnsiTheme="minorEastAsia" w:cs="黑体"/>
          <w:b/>
          <w:sz w:val="24"/>
          <w:szCs w:val="32"/>
        </w:rPr>
      </w:pPr>
      <w:r w:rsidRPr="000B03F8">
        <w:rPr>
          <w:rFonts w:asciiTheme="minorEastAsia" w:hAnsiTheme="minorEastAsia" w:cs="黑体" w:hint="eastAsia"/>
          <w:b/>
          <w:sz w:val="24"/>
          <w:szCs w:val="32"/>
        </w:rPr>
        <w:t>四、政府信息公开行政复议、行政诉讼情况</w:t>
      </w:r>
    </w:p>
    <w:tbl>
      <w:tblPr>
        <w:tblW w:w="8715" w:type="dxa"/>
        <w:jc w:val="center"/>
        <w:tblCellMar>
          <w:left w:w="0" w:type="dxa"/>
          <w:right w:w="0" w:type="dxa"/>
        </w:tblCellMar>
        <w:tblLook w:val="04A0"/>
      </w:tblPr>
      <w:tblGrid>
        <w:gridCol w:w="405"/>
        <w:gridCol w:w="405"/>
        <w:gridCol w:w="405"/>
        <w:gridCol w:w="405"/>
        <w:gridCol w:w="405"/>
        <w:gridCol w:w="735"/>
        <w:gridCol w:w="735"/>
        <w:gridCol w:w="735"/>
        <w:gridCol w:w="735"/>
        <w:gridCol w:w="405"/>
        <w:gridCol w:w="735"/>
        <w:gridCol w:w="735"/>
        <w:gridCol w:w="735"/>
        <w:gridCol w:w="735"/>
        <w:gridCol w:w="405"/>
      </w:tblGrid>
      <w:tr w:rsidR="00C36F58">
        <w:trPr>
          <w:trHeight w:val="270"/>
          <w:jc w:val="center"/>
        </w:trPr>
        <w:tc>
          <w:tcPr>
            <w:tcW w:w="2025"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682575">
            <w:pPr>
              <w:widowControl/>
              <w:jc w:val="center"/>
              <w:textAlignment w:val="top"/>
              <w:rPr>
                <w:rFonts w:ascii="MingLiU" w:eastAsia="MingLiU" w:hAnsi="MingLiU" w:cs="MingLiU"/>
                <w:color w:val="000000"/>
                <w:sz w:val="16"/>
                <w:szCs w:val="16"/>
              </w:rPr>
            </w:pPr>
            <w:r>
              <w:rPr>
                <w:rFonts w:ascii="MingLiU" w:eastAsia="MingLiU" w:hAnsi="MingLiU" w:cs="MingLiU"/>
                <w:color w:val="000000"/>
                <w:kern w:val="0"/>
                <w:sz w:val="16"/>
                <w:szCs w:val="16"/>
              </w:rPr>
              <w:t>行政复议</w:t>
            </w:r>
          </w:p>
        </w:tc>
        <w:tc>
          <w:tcPr>
            <w:tcW w:w="6690" w:type="dxa"/>
            <w:gridSpan w:val="10"/>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682575">
            <w:pPr>
              <w:widowControl/>
              <w:jc w:val="center"/>
              <w:textAlignment w:val="top"/>
              <w:rPr>
                <w:rFonts w:ascii="MingLiU" w:eastAsia="MingLiU" w:hAnsi="MingLiU" w:cs="MingLiU"/>
                <w:color w:val="000000"/>
                <w:sz w:val="16"/>
                <w:szCs w:val="16"/>
              </w:rPr>
            </w:pPr>
            <w:r>
              <w:rPr>
                <w:rFonts w:ascii="MingLiU" w:eastAsia="MingLiU" w:hAnsi="MingLiU" w:cs="MingLiU"/>
                <w:color w:val="000000"/>
                <w:kern w:val="0"/>
                <w:sz w:val="16"/>
                <w:szCs w:val="16"/>
              </w:rPr>
              <w:t>行政诉讼</w:t>
            </w:r>
          </w:p>
        </w:tc>
      </w:tr>
      <w:tr w:rsidR="00C36F58">
        <w:trPr>
          <w:trHeight w:val="285"/>
          <w:jc w:val="center"/>
        </w:trPr>
        <w:tc>
          <w:tcPr>
            <w:tcW w:w="4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结果</w:t>
            </w:r>
            <w:r>
              <w:rPr>
                <w:rFonts w:ascii="宋体" w:eastAsia="宋体" w:hAnsi="宋体" w:cs="宋体" w:hint="eastAsia"/>
                <w:color w:val="000000"/>
                <w:kern w:val="0"/>
                <w:sz w:val="16"/>
                <w:szCs w:val="16"/>
              </w:rPr>
              <w:br/>
              <w:t>维持</w:t>
            </w:r>
          </w:p>
        </w:tc>
        <w:tc>
          <w:tcPr>
            <w:tcW w:w="4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结果</w:t>
            </w:r>
            <w:r>
              <w:rPr>
                <w:rFonts w:ascii="宋体" w:eastAsia="宋体" w:hAnsi="宋体" w:cs="宋体" w:hint="eastAsia"/>
                <w:color w:val="000000"/>
                <w:kern w:val="0"/>
                <w:sz w:val="16"/>
                <w:szCs w:val="16"/>
              </w:rPr>
              <w:br/>
              <w:t>纠正</w:t>
            </w:r>
          </w:p>
        </w:tc>
        <w:tc>
          <w:tcPr>
            <w:tcW w:w="4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r>
              <w:rPr>
                <w:rFonts w:ascii="宋体" w:eastAsia="宋体" w:hAnsi="宋体" w:cs="宋体" w:hint="eastAsia"/>
                <w:color w:val="000000"/>
                <w:kern w:val="0"/>
                <w:sz w:val="16"/>
                <w:szCs w:val="16"/>
              </w:rPr>
              <w:br/>
              <w:t>结果</w:t>
            </w:r>
          </w:p>
        </w:tc>
        <w:tc>
          <w:tcPr>
            <w:tcW w:w="4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尚未</w:t>
            </w:r>
            <w:r>
              <w:rPr>
                <w:rFonts w:ascii="宋体" w:eastAsia="宋体" w:hAnsi="宋体" w:cs="宋体" w:hint="eastAsia"/>
                <w:color w:val="000000"/>
                <w:kern w:val="0"/>
                <w:sz w:val="16"/>
                <w:szCs w:val="16"/>
              </w:rPr>
              <w:br/>
              <w:t>审结</w:t>
            </w:r>
          </w:p>
        </w:tc>
        <w:tc>
          <w:tcPr>
            <w:tcW w:w="4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总计</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682575">
            <w:pPr>
              <w:widowControl/>
              <w:jc w:val="center"/>
              <w:textAlignment w:val="top"/>
              <w:rPr>
                <w:rFonts w:ascii="MingLiU" w:eastAsia="MingLiU" w:hAnsi="MingLiU" w:cs="MingLiU"/>
                <w:color w:val="000000"/>
                <w:sz w:val="16"/>
                <w:szCs w:val="16"/>
              </w:rPr>
            </w:pPr>
            <w:r>
              <w:rPr>
                <w:rFonts w:ascii="MingLiU" w:eastAsia="MingLiU" w:hAnsi="MingLiU" w:cs="MingLiU"/>
                <w:color w:val="000000"/>
                <w:kern w:val="0"/>
                <w:sz w:val="16"/>
                <w:szCs w:val="16"/>
              </w:rPr>
              <w:t>未经复议直接起诉</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682575">
            <w:pPr>
              <w:widowControl/>
              <w:jc w:val="center"/>
              <w:textAlignment w:val="top"/>
              <w:rPr>
                <w:rFonts w:ascii="MingLiU" w:eastAsia="MingLiU" w:hAnsi="MingLiU" w:cs="MingLiU"/>
                <w:color w:val="000000"/>
                <w:sz w:val="16"/>
                <w:szCs w:val="16"/>
              </w:rPr>
            </w:pPr>
            <w:r>
              <w:rPr>
                <w:rFonts w:ascii="MingLiU" w:eastAsia="MingLiU" w:hAnsi="MingLiU" w:cs="MingLiU"/>
                <w:color w:val="000000"/>
                <w:kern w:val="0"/>
                <w:sz w:val="16"/>
                <w:szCs w:val="16"/>
              </w:rPr>
              <w:t>复议后起诉</w:t>
            </w:r>
          </w:p>
        </w:tc>
      </w:tr>
      <w:tr w:rsidR="00C36F58">
        <w:trPr>
          <w:trHeight w:val="270"/>
          <w:jc w:val="center"/>
        </w:trPr>
        <w:tc>
          <w:tcPr>
            <w:tcW w:w="40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宋体" w:eastAsia="宋体" w:hAnsi="宋体" w:cs="宋体"/>
                <w:color w:val="000000"/>
                <w:sz w:val="16"/>
                <w:szCs w:val="16"/>
              </w:rPr>
            </w:pPr>
          </w:p>
        </w:tc>
        <w:tc>
          <w:tcPr>
            <w:tcW w:w="40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宋体" w:eastAsia="宋体" w:hAnsi="宋体" w:cs="宋体"/>
                <w:color w:val="000000"/>
                <w:sz w:val="16"/>
                <w:szCs w:val="16"/>
              </w:rPr>
            </w:pPr>
          </w:p>
        </w:tc>
        <w:tc>
          <w:tcPr>
            <w:tcW w:w="40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宋体" w:eastAsia="宋体" w:hAnsi="宋体" w:cs="宋体"/>
                <w:color w:val="000000"/>
                <w:sz w:val="16"/>
                <w:szCs w:val="16"/>
              </w:rPr>
            </w:pPr>
          </w:p>
        </w:tc>
        <w:tc>
          <w:tcPr>
            <w:tcW w:w="40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宋体" w:eastAsia="宋体" w:hAnsi="宋体" w:cs="宋体"/>
                <w:color w:val="000000"/>
                <w:sz w:val="16"/>
                <w:szCs w:val="16"/>
              </w:rPr>
            </w:pPr>
          </w:p>
        </w:tc>
        <w:tc>
          <w:tcPr>
            <w:tcW w:w="40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C36F58">
            <w:pPr>
              <w:jc w:val="center"/>
              <w:rPr>
                <w:rFonts w:ascii="宋体" w:eastAsia="宋体" w:hAnsi="宋体" w:cs="宋体"/>
                <w:color w:val="000000"/>
                <w:sz w:val="16"/>
                <w:szCs w:val="16"/>
              </w:rPr>
            </w:pP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结果维持</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结果纠正</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其他结果</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尚未审结</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总计</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结果维持</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结果纠正</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其他结果</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C36F58" w:rsidRDefault="00682575">
            <w:pPr>
              <w:widowControl/>
              <w:jc w:val="center"/>
              <w:textAlignment w:val="top"/>
              <w:rPr>
                <w:rFonts w:ascii="宋体" w:eastAsia="宋体" w:hAnsi="宋体" w:cs="宋体"/>
                <w:color w:val="000000"/>
                <w:sz w:val="16"/>
                <w:szCs w:val="16"/>
              </w:rPr>
            </w:pPr>
            <w:r>
              <w:rPr>
                <w:rFonts w:ascii="宋体" w:eastAsia="宋体" w:hAnsi="宋体" w:cs="宋体" w:hint="eastAsia"/>
                <w:color w:val="000000"/>
                <w:kern w:val="0"/>
                <w:sz w:val="16"/>
                <w:szCs w:val="16"/>
              </w:rPr>
              <w:t>尚未审结</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36F58" w:rsidRDefault="00682575">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总计</w:t>
            </w:r>
          </w:p>
        </w:tc>
      </w:tr>
      <w:tr w:rsidR="00C36F58">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061CFD">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cPr>
          <w:p w:rsidR="00C36F58" w:rsidRDefault="00915774" w:rsidP="00915774">
            <w:pPr>
              <w:jc w:val="center"/>
              <w:rPr>
                <w:rFonts w:ascii="Arial" w:eastAsia="宋体" w:hAnsi="Arial" w:cs="Arial"/>
                <w:color w:val="000000"/>
                <w:sz w:val="20"/>
                <w:szCs w:val="20"/>
              </w:rPr>
            </w:pPr>
            <w:r>
              <w:rPr>
                <w:rFonts w:ascii="Arial" w:eastAsia="宋体" w:hAnsi="Arial" w:cs="Arial" w:hint="eastAsia"/>
                <w:color w:val="000000"/>
                <w:sz w:val="20"/>
                <w:szCs w:val="20"/>
              </w:rPr>
              <w:t>0</w:t>
            </w:r>
          </w:p>
        </w:tc>
      </w:tr>
    </w:tbl>
    <w:p w:rsidR="00C36F58" w:rsidRDefault="00682575" w:rsidP="000B03F8">
      <w:pPr>
        <w:ind w:firstLineChars="200" w:firstLine="482"/>
        <w:rPr>
          <w:rFonts w:ascii="黑体" w:eastAsia="黑体" w:hAnsi="黑体" w:cs="黑体"/>
          <w:sz w:val="32"/>
          <w:szCs w:val="32"/>
        </w:rPr>
      </w:pPr>
      <w:r w:rsidRPr="000B03F8">
        <w:rPr>
          <w:rFonts w:asciiTheme="minorEastAsia" w:hAnsiTheme="minorEastAsia" w:cs="黑体" w:hint="eastAsia"/>
          <w:b/>
          <w:sz w:val="24"/>
          <w:szCs w:val="32"/>
        </w:rPr>
        <w:t>五、存在的主要问题及改进情况</w:t>
      </w:r>
      <w:r w:rsidRPr="000B03F8">
        <w:rPr>
          <w:rFonts w:asciiTheme="minorEastAsia" w:hAnsiTheme="minorEastAsia" w:cs="黑体" w:hint="eastAsia"/>
          <w:b/>
          <w:sz w:val="24"/>
          <w:szCs w:val="32"/>
        </w:rPr>
        <w:tab/>
      </w:r>
      <w:r>
        <w:rPr>
          <w:rFonts w:ascii="黑体" w:eastAsia="黑体" w:hAnsi="黑体" w:cs="黑体" w:hint="eastAsia"/>
          <w:sz w:val="32"/>
          <w:szCs w:val="32"/>
        </w:rPr>
        <w:tab/>
      </w:r>
      <w:r>
        <w:rPr>
          <w:rFonts w:ascii="黑体" w:eastAsia="黑体" w:hAnsi="黑体" w:cs="黑体" w:hint="eastAsia"/>
          <w:sz w:val="32"/>
          <w:szCs w:val="32"/>
        </w:rPr>
        <w:tab/>
      </w:r>
      <w:r>
        <w:rPr>
          <w:rFonts w:ascii="黑体" w:eastAsia="黑体" w:hAnsi="黑体" w:cs="黑体" w:hint="eastAsia"/>
          <w:sz w:val="32"/>
          <w:szCs w:val="32"/>
        </w:rPr>
        <w:tab/>
      </w:r>
      <w:r>
        <w:rPr>
          <w:rFonts w:ascii="黑体" w:eastAsia="黑体" w:hAnsi="黑体" w:cs="黑体" w:hint="eastAsia"/>
          <w:sz w:val="32"/>
          <w:szCs w:val="32"/>
        </w:rPr>
        <w:tab/>
      </w:r>
      <w:r>
        <w:rPr>
          <w:rFonts w:ascii="黑体" w:eastAsia="黑体" w:hAnsi="黑体" w:cs="黑体" w:hint="eastAsia"/>
          <w:sz w:val="32"/>
          <w:szCs w:val="32"/>
        </w:rPr>
        <w:tab/>
      </w:r>
    </w:p>
    <w:p w:rsidR="007A01BC" w:rsidRPr="000B03F8" w:rsidRDefault="00ED6600" w:rsidP="000B03F8">
      <w:pPr>
        <w:ind w:firstLineChars="200" w:firstLine="480"/>
        <w:rPr>
          <w:rFonts w:ascii="黑体" w:eastAsia="黑体" w:hAnsi="黑体" w:cs="黑体"/>
          <w:sz w:val="24"/>
          <w:szCs w:val="32"/>
        </w:rPr>
      </w:pPr>
      <w:r w:rsidRPr="000B03F8">
        <w:rPr>
          <w:rFonts w:asciiTheme="minorEastAsia" w:hAnsiTheme="minorEastAsia" w:cs="宋体" w:hint="eastAsia"/>
          <w:kern w:val="0"/>
          <w:sz w:val="24"/>
          <w:szCs w:val="32"/>
        </w:rPr>
        <w:t>2019年,我局政府信息公开工作得了一定成效,但也存在一些问题需要在今后的工作中改进,如</w:t>
      </w:r>
      <w:r w:rsidR="006C6B58" w:rsidRPr="000B03F8">
        <w:rPr>
          <w:rFonts w:asciiTheme="minorEastAsia" w:hAnsiTheme="minorEastAsia" w:cs="宋体" w:hint="eastAsia"/>
          <w:kern w:val="0"/>
          <w:sz w:val="24"/>
          <w:szCs w:val="32"/>
        </w:rPr>
        <w:t>：</w:t>
      </w:r>
      <w:r w:rsidRPr="000B03F8">
        <w:rPr>
          <w:rFonts w:asciiTheme="minorEastAsia" w:hAnsiTheme="minorEastAsia" w:cs="宋体" w:hint="eastAsia"/>
          <w:kern w:val="0"/>
          <w:sz w:val="24"/>
          <w:szCs w:val="32"/>
        </w:rPr>
        <w:t>政府信息公开人才队伍建设还需要进一步加强,政府信息公开工作意识和能力还需进一步提升</w:t>
      </w:r>
      <w:r w:rsidR="006C6B58" w:rsidRPr="000B03F8">
        <w:rPr>
          <w:rFonts w:asciiTheme="minorEastAsia" w:hAnsiTheme="minorEastAsia" w:cs="宋体" w:hint="eastAsia"/>
          <w:kern w:val="0"/>
          <w:sz w:val="24"/>
          <w:szCs w:val="32"/>
        </w:rPr>
        <w:t>；</w:t>
      </w:r>
      <w:r w:rsidRPr="000B03F8">
        <w:rPr>
          <w:rFonts w:asciiTheme="minorEastAsia" w:hAnsiTheme="minorEastAsia" w:cs="宋体" w:hint="eastAsia"/>
          <w:kern w:val="0"/>
          <w:sz w:val="24"/>
          <w:szCs w:val="32"/>
        </w:rPr>
        <w:t>政府信息公开内容还要进一步规范等。下一步,我局将持续深化政府信息公开工作,提高公众对税务信息的知晓情况</w:t>
      </w:r>
      <w:r w:rsidR="006C6B58" w:rsidRPr="000B03F8">
        <w:rPr>
          <w:rFonts w:asciiTheme="minorEastAsia" w:hAnsiTheme="minorEastAsia" w:cs="宋体" w:hint="eastAsia"/>
          <w:kern w:val="0"/>
          <w:sz w:val="24"/>
          <w:szCs w:val="32"/>
        </w:rPr>
        <w:t>；</w:t>
      </w:r>
      <w:r w:rsidRPr="000B03F8">
        <w:rPr>
          <w:rFonts w:asciiTheme="minorEastAsia" w:hAnsiTheme="minorEastAsia" w:cs="宋体" w:hint="eastAsia"/>
          <w:kern w:val="0"/>
          <w:sz w:val="24"/>
          <w:szCs w:val="32"/>
        </w:rPr>
        <w:t>进一步建立健全政府信息公开相关规章制度,促进依规开展政务公开工作</w:t>
      </w:r>
      <w:r w:rsidR="006C6B58" w:rsidRPr="000B03F8">
        <w:rPr>
          <w:rFonts w:asciiTheme="minorEastAsia" w:hAnsiTheme="minorEastAsia" w:cs="宋体" w:hint="eastAsia"/>
          <w:kern w:val="0"/>
          <w:sz w:val="24"/>
          <w:szCs w:val="32"/>
        </w:rPr>
        <w:t>；</w:t>
      </w:r>
      <w:r w:rsidRPr="000B03F8">
        <w:rPr>
          <w:rFonts w:asciiTheme="minorEastAsia" w:hAnsiTheme="minorEastAsia" w:cs="宋体" w:hint="eastAsia"/>
          <w:kern w:val="0"/>
          <w:sz w:val="24"/>
          <w:szCs w:val="32"/>
        </w:rPr>
        <w:t>进一步规范和优化政府信息公开处理流程,不断提升税务工作透明度和税务部门公信力。</w:t>
      </w:r>
      <w:r w:rsidR="00682575" w:rsidRPr="000B03F8">
        <w:rPr>
          <w:rFonts w:asciiTheme="minorEastAsia" w:hAnsiTheme="minorEastAsia" w:cs="黑体" w:hint="eastAsia"/>
          <w:sz w:val="24"/>
          <w:szCs w:val="32"/>
        </w:rPr>
        <w:tab/>
      </w:r>
    </w:p>
    <w:sectPr w:rsidR="007A01BC" w:rsidRPr="000B03F8" w:rsidSect="00C36F58">
      <w:footerReference w:type="default" r:id="rId7"/>
      <w:pgSz w:w="11906" w:h="16838"/>
      <w:pgMar w:top="2098" w:right="1587"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EA" w:rsidRDefault="002B6BEA" w:rsidP="00C36F58">
      <w:r>
        <w:separator/>
      </w:r>
    </w:p>
  </w:endnote>
  <w:endnote w:type="continuationSeparator" w:id="0">
    <w:p w:rsidR="002B6BEA" w:rsidRDefault="002B6BEA" w:rsidP="00C36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方正小标宋简体">
    <w:altName w:val="Arial Unicode MS"/>
    <w:panose1 w:val="03000509000000000000"/>
    <w:charset w:val="86"/>
    <w:family w:val="auto"/>
    <w:pitch w:val="default"/>
    <w:sig w:usb0="00000000" w:usb1="080E0000" w:usb2="0000000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58" w:rsidRDefault="0019059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C36F58" w:rsidRDefault="0019059A">
                <w:pPr>
                  <w:pStyle w:val="a3"/>
                </w:pPr>
                <w:r>
                  <w:rPr>
                    <w:rFonts w:hint="eastAsia"/>
                  </w:rPr>
                  <w:fldChar w:fldCharType="begin"/>
                </w:r>
                <w:r w:rsidR="00682575">
                  <w:rPr>
                    <w:rFonts w:hint="eastAsia"/>
                  </w:rPr>
                  <w:instrText xml:space="preserve"> PAGE  \* MERGEFORMAT </w:instrText>
                </w:r>
                <w:r>
                  <w:rPr>
                    <w:rFonts w:hint="eastAsia"/>
                  </w:rPr>
                  <w:fldChar w:fldCharType="separate"/>
                </w:r>
                <w:r w:rsidR="00A608E2">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EA" w:rsidRDefault="002B6BEA" w:rsidP="00C36F58">
      <w:r>
        <w:separator/>
      </w:r>
    </w:p>
  </w:footnote>
  <w:footnote w:type="continuationSeparator" w:id="0">
    <w:p w:rsidR="002B6BEA" w:rsidRDefault="002B6BEA" w:rsidP="00C36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7727207"/>
    <w:rsid w:val="00061CFD"/>
    <w:rsid w:val="000B03F8"/>
    <w:rsid w:val="000E2B20"/>
    <w:rsid w:val="000F5644"/>
    <w:rsid w:val="0019059A"/>
    <w:rsid w:val="002057FA"/>
    <w:rsid w:val="00260F94"/>
    <w:rsid w:val="00263C9B"/>
    <w:rsid w:val="00286923"/>
    <w:rsid w:val="002B6BEA"/>
    <w:rsid w:val="00303AEB"/>
    <w:rsid w:val="00367241"/>
    <w:rsid w:val="00367AEF"/>
    <w:rsid w:val="00424BD9"/>
    <w:rsid w:val="00460C87"/>
    <w:rsid w:val="00464996"/>
    <w:rsid w:val="00472F68"/>
    <w:rsid w:val="00492757"/>
    <w:rsid w:val="004C7EC4"/>
    <w:rsid w:val="005A49E8"/>
    <w:rsid w:val="00602FCD"/>
    <w:rsid w:val="00664342"/>
    <w:rsid w:val="00682575"/>
    <w:rsid w:val="006C6B58"/>
    <w:rsid w:val="00703EBE"/>
    <w:rsid w:val="007468D3"/>
    <w:rsid w:val="007A01BC"/>
    <w:rsid w:val="00821103"/>
    <w:rsid w:val="00874080"/>
    <w:rsid w:val="00915774"/>
    <w:rsid w:val="00A608E2"/>
    <w:rsid w:val="00A71048"/>
    <w:rsid w:val="00C36F58"/>
    <w:rsid w:val="00C40582"/>
    <w:rsid w:val="00C64EC4"/>
    <w:rsid w:val="00C80C61"/>
    <w:rsid w:val="00C816FA"/>
    <w:rsid w:val="00CE2C79"/>
    <w:rsid w:val="00D06B51"/>
    <w:rsid w:val="00D61909"/>
    <w:rsid w:val="00D81C51"/>
    <w:rsid w:val="00DC10BE"/>
    <w:rsid w:val="00DD19B0"/>
    <w:rsid w:val="00E37A4B"/>
    <w:rsid w:val="00EA407D"/>
    <w:rsid w:val="00EB5492"/>
    <w:rsid w:val="00ED6600"/>
    <w:rsid w:val="00ED66A0"/>
    <w:rsid w:val="00F218BB"/>
    <w:rsid w:val="00F948C3"/>
    <w:rsid w:val="00FB0520"/>
    <w:rsid w:val="00FC1BFF"/>
    <w:rsid w:val="37727207"/>
    <w:rsid w:val="38E002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F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6F58"/>
    <w:pPr>
      <w:tabs>
        <w:tab w:val="center" w:pos="4153"/>
        <w:tab w:val="right" w:pos="8306"/>
      </w:tabs>
      <w:snapToGrid w:val="0"/>
      <w:jc w:val="left"/>
    </w:pPr>
    <w:rPr>
      <w:sz w:val="18"/>
    </w:rPr>
  </w:style>
  <w:style w:type="paragraph" w:styleId="a4">
    <w:name w:val="header"/>
    <w:basedOn w:val="a"/>
    <w:rsid w:val="00C36F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11">
    <w:name w:val="font11"/>
    <w:basedOn w:val="a0"/>
    <w:rsid w:val="00C36F58"/>
    <w:rPr>
      <w:rFonts w:ascii="MingLiU" w:eastAsia="MingLiU" w:hAnsi="MingLiU" w:cs="MingLiU" w:hint="default"/>
      <w:color w:val="000000"/>
      <w:sz w:val="14"/>
      <w:szCs w:val="14"/>
      <w:u w:val="none"/>
    </w:rPr>
  </w:style>
  <w:style w:type="character" w:customStyle="1" w:styleId="font01">
    <w:name w:val="font01"/>
    <w:basedOn w:val="a0"/>
    <w:rsid w:val="00C36F58"/>
    <w:rPr>
      <w:rFonts w:ascii="MingLiU" w:eastAsia="MingLiU" w:hAnsi="MingLiU" w:cs="MingLiU" w:hint="default"/>
      <w:color w:val="000000"/>
      <w:sz w:val="16"/>
      <w:szCs w:val="16"/>
      <w:u w:val="none"/>
    </w:rPr>
  </w:style>
  <w:style w:type="character" w:customStyle="1" w:styleId="font31">
    <w:name w:val="font31"/>
    <w:basedOn w:val="a0"/>
    <w:rsid w:val="00C36F58"/>
    <w:rPr>
      <w:rFonts w:ascii="宋体" w:eastAsia="宋体" w:hAnsi="宋体" w:cs="宋体" w:hint="eastAsia"/>
      <w:color w:val="000000"/>
      <w:sz w:val="20"/>
      <w:szCs w:val="20"/>
      <w:u w:val="none"/>
    </w:rPr>
  </w:style>
  <w:style w:type="paragraph" w:styleId="a5">
    <w:name w:val="Normal (Web)"/>
    <w:basedOn w:val="a"/>
    <w:uiPriority w:val="99"/>
    <w:unhideWhenUsed/>
    <w:rsid w:val="00424BD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79920697">
      <w:bodyDiv w:val="1"/>
      <w:marLeft w:val="0"/>
      <w:marRight w:val="0"/>
      <w:marTop w:val="0"/>
      <w:marBottom w:val="0"/>
      <w:divBdr>
        <w:top w:val="none" w:sz="0" w:space="0" w:color="auto"/>
        <w:left w:val="none" w:sz="0" w:space="0" w:color="auto"/>
        <w:bottom w:val="none" w:sz="0" w:space="0" w:color="auto"/>
        <w:right w:val="none" w:sz="0" w:space="0" w:color="auto"/>
      </w:divBdr>
    </w:div>
    <w:div w:id="91031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4</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Mr.Lu</dc:creator>
  <cp:lastModifiedBy>杨丹</cp:lastModifiedBy>
  <cp:revision>40</cp:revision>
  <dcterms:created xsi:type="dcterms:W3CDTF">2020-01-06T06:15:00Z</dcterms:created>
  <dcterms:modified xsi:type="dcterms:W3CDTF">2021-02-23T05:25:00Z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