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olor w:val="000000"/>
          <w:w w:val="90"/>
          <w:szCs w:val="21"/>
        </w:rPr>
      </w:pPr>
      <w:bookmarkStart w:id="0" w:name="_GoBack"/>
      <w:bookmarkEnd w:id="0"/>
      <w:r>
        <w:rPr>
          <w:rFonts w:hint="eastAsia" w:ascii="仿宋_GB2312" w:hAnsi="宋体" w:eastAsia="仿宋_GB2312"/>
          <w:color w:val="000000"/>
          <w:w w:val="90"/>
          <w:szCs w:val="21"/>
        </w:rPr>
        <w:t>附件1</w:t>
      </w:r>
    </w:p>
    <w:p>
      <w:pPr>
        <w:spacing w:line="520" w:lineRule="exact"/>
        <w:jc w:val="center"/>
        <w:rPr>
          <w:rFonts w:hint="eastAsia" w:ascii="黑体" w:hAnsi="黑体" w:eastAsia="黑体"/>
          <w:sz w:val="32"/>
          <w:szCs w:val="32"/>
        </w:rPr>
      </w:pPr>
      <w:r>
        <w:rPr>
          <w:rFonts w:hint="eastAsia" w:ascii="黑体" w:hAnsi="黑体" w:eastAsia="黑体"/>
          <w:sz w:val="32"/>
          <w:szCs w:val="32"/>
        </w:rPr>
        <w:t>汽开区党工委以孙弘颜等案件为鉴以案促改专题</w:t>
      </w:r>
    </w:p>
    <w:p>
      <w:pPr>
        <w:spacing w:line="520" w:lineRule="exact"/>
        <w:jc w:val="center"/>
        <w:rPr>
          <w:rFonts w:ascii="黑体" w:hAnsi="黑体" w:eastAsia="黑体"/>
          <w:color w:val="000000"/>
          <w:w w:val="90"/>
          <w:sz w:val="32"/>
          <w:szCs w:val="32"/>
        </w:rPr>
      </w:pPr>
      <w:r>
        <w:rPr>
          <w:rFonts w:hint="eastAsia" w:ascii="黑体" w:hAnsi="黑体" w:eastAsia="黑体"/>
          <w:sz w:val="32"/>
          <w:szCs w:val="32"/>
        </w:rPr>
        <w:t>民主生活会和组织生活会必读图书目录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7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序号</w:t>
            </w:r>
          </w:p>
        </w:tc>
        <w:tc>
          <w:tcPr>
            <w:tcW w:w="7619"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1</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《论中国共产党历史》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2</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《中国共产党的九十年》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3</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《中国共产党历史二十八讲》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4</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《中国共产党简史》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5</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《新中国四十年历史的基本结论》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6</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《毛泽东、邓小平、江泽民、胡锦涛关于中国共产党历史论述摘编》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7</w:t>
            </w:r>
          </w:p>
        </w:tc>
        <w:tc>
          <w:tcPr>
            <w:tcW w:w="7619" w:type="dxa"/>
          </w:tcPr>
          <w:p>
            <w:pPr>
              <w:spacing w:line="52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《习近平总书记在党史学习教育动员大会上的重要讲话》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8</w:t>
            </w:r>
          </w:p>
        </w:tc>
        <w:tc>
          <w:tcPr>
            <w:tcW w:w="7619" w:type="dxa"/>
          </w:tcPr>
          <w:p>
            <w:pPr>
              <w:spacing w:line="52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《习近平总书记在庆祝中国共产党成立100周年大会上的重要讲话》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9</w:t>
            </w:r>
          </w:p>
        </w:tc>
        <w:tc>
          <w:tcPr>
            <w:tcW w:w="7619" w:type="dxa"/>
          </w:tcPr>
          <w:p>
            <w:pPr>
              <w:spacing w:line="52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《习近平总书记在党史学习教育总结大会上的重要讲话》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10</w:t>
            </w:r>
          </w:p>
        </w:tc>
        <w:tc>
          <w:tcPr>
            <w:tcW w:w="7619" w:type="dxa"/>
          </w:tcPr>
          <w:p>
            <w:pPr>
              <w:spacing w:line="52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《中国共产党的一百年》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11</w:t>
            </w:r>
          </w:p>
        </w:tc>
        <w:tc>
          <w:tcPr>
            <w:tcW w:w="7619" w:type="dxa"/>
          </w:tcPr>
          <w:p>
            <w:pPr>
              <w:spacing w:line="52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《中华人民共和国简史》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12</w:t>
            </w:r>
          </w:p>
        </w:tc>
        <w:tc>
          <w:tcPr>
            <w:tcW w:w="7619" w:type="dxa"/>
          </w:tcPr>
          <w:p>
            <w:pPr>
              <w:spacing w:line="52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《改革开放简史》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13</w:t>
            </w:r>
          </w:p>
        </w:tc>
        <w:tc>
          <w:tcPr>
            <w:tcW w:w="7619" w:type="dxa"/>
          </w:tcPr>
          <w:p>
            <w:pPr>
              <w:spacing w:line="52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《社会主义发展简史》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14</w:t>
            </w:r>
          </w:p>
        </w:tc>
        <w:tc>
          <w:tcPr>
            <w:tcW w:w="7619" w:type="dxa"/>
          </w:tcPr>
          <w:p>
            <w:pPr>
              <w:spacing w:line="52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《中国共产党吉林历史》一二卷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15</w:t>
            </w:r>
          </w:p>
        </w:tc>
        <w:tc>
          <w:tcPr>
            <w:tcW w:w="7619" w:type="dxa"/>
          </w:tcPr>
          <w:p>
            <w:pPr>
              <w:spacing w:line="52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《中国共产党在吉林的100年》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16</w:t>
            </w:r>
          </w:p>
        </w:tc>
        <w:tc>
          <w:tcPr>
            <w:tcW w:w="7619" w:type="dxa"/>
          </w:tcPr>
          <w:p>
            <w:pPr>
              <w:spacing w:line="52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《红色吉林-100个引人入胜的党史故事》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17</w:t>
            </w:r>
          </w:p>
        </w:tc>
        <w:tc>
          <w:tcPr>
            <w:tcW w:w="7619" w:type="dxa"/>
          </w:tcPr>
          <w:p>
            <w:pPr>
              <w:spacing w:line="52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《巡礼吉林-以英模命名的那些地方》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18</w:t>
            </w:r>
          </w:p>
        </w:tc>
        <w:tc>
          <w:tcPr>
            <w:tcW w:w="7619" w:type="dxa"/>
          </w:tcPr>
          <w:p>
            <w:pPr>
              <w:spacing w:line="52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《红色传人讲红色故事》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19</w:t>
            </w:r>
          </w:p>
        </w:tc>
        <w:tc>
          <w:tcPr>
            <w:tcW w:w="7619" w:type="dxa"/>
          </w:tcPr>
          <w:p>
            <w:pPr>
              <w:spacing w:line="52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《中国共产党长春历史》第一卷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20</w:t>
            </w:r>
          </w:p>
        </w:tc>
        <w:tc>
          <w:tcPr>
            <w:tcW w:w="7619" w:type="dxa"/>
          </w:tcPr>
          <w:p>
            <w:pPr>
              <w:spacing w:line="52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《中国共产党在长春的百年大事记》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21</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《习近平谈治国理政》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22</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《习近平关于培养“四有”新一代革命军人重要论述摘编》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23</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《习近平新时代中国特色社会主义思想三十讲》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24</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《习近平关于全面依法治国论述摘编》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25</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《习近平总书记系列重要讲话读本》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26</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《习近平新时代中国特色社会主义思想学习问答》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27</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《习近平关于党风廉政建设和反腐败斗争论述摘编》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28</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《党委（党组）落实全面从严治党主体责任规定》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29</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《中共中央关于加强对“一把手”和领导班子监督的意见》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30</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《中国共产党组织处理规定（试行）》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31</w:t>
            </w:r>
          </w:p>
        </w:tc>
        <w:tc>
          <w:tcPr>
            <w:tcW w:w="7619" w:type="dxa"/>
          </w:tcPr>
          <w:p>
            <w:pPr>
              <w:spacing w:line="520" w:lineRule="exact"/>
              <w:jc w:val="left"/>
              <w:rPr>
                <w:rFonts w:ascii="仿宋_GB2312" w:hAnsi="宋体" w:eastAsia="仿宋_GB2312"/>
                <w:sz w:val="32"/>
                <w:szCs w:val="32"/>
              </w:rPr>
            </w:pPr>
            <w:r>
              <w:rPr>
                <w:rFonts w:hint="eastAsia" w:ascii="仿宋_GB2312" w:hAnsi="宋体" w:eastAsia="仿宋_GB2312"/>
                <w:sz w:val="32"/>
                <w:szCs w:val="32"/>
              </w:rPr>
              <w:t>《中国共产党党和国家机关基层组织工作条例》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32</w:t>
            </w:r>
          </w:p>
        </w:tc>
        <w:tc>
          <w:tcPr>
            <w:tcW w:w="7619" w:type="dxa"/>
          </w:tcPr>
          <w:p>
            <w:pPr>
              <w:spacing w:line="520" w:lineRule="exact"/>
              <w:rPr>
                <w:rFonts w:ascii="仿宋_GB2312" w:hAnsi="宋体" w:eastAsia="仿宋_GB2312"/>
                <w:sz w:val="32"/>
                <w:szCs w:val="32"/>
              </w:rPr>
            </w:pPr>
            <w:r>
              <w:rPr>
                <w:rFonts w:hint="eastAsia" w:ascii="仿宋_GB2312" w:hAnsi="宋体" w:eastAsia="仿宋_GB2312"/>
                <w:sz w:val="32"/>
                <w:szCs w:val="32"/>
              </w:rPr>
              <w:t>《中国共产党发展党员工作细则》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33</w:t>
            </w:r>
          </w:p>
        </w:tc>
        <w:tc>
          <w:tcPr>
            <w:tcW w:w="7619" w:type="dxa"/>
          </w:tcPr>
          <w:p>
            <w:pPr>
              <w:spacing w:line="520" w:lineRule="exact"/>
              <w:rPr>
                <w:rFonts w:ascii="仿宋_GB2312" w:hAnsi="宋体" w:eastAsia="仿宋_GB2312"/>
                <w:sz w:val="32"/>
                <w:szCs w:val="32"/>
              </w:rPr>
            </w:pPr>
            <w:r>
              <w:rPr>
                <w:rFonts w:hint="eastAsia" w:ascii="仿宋_GB2312" w:hAnsi="宋体" w:eastAsia="仿宋_GB2312"/>
                <w:sz w:val="32"/>
                <w:szCs w:val="32"/>
              </w:rPr>
              <w:t>《中国共产党党组工作条例》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34</w:t>
            </w:r>
          </w:p>
        </w:tc>
        <w:tc>
          <w:tcPr>
            <w:tcW w:w="7619" w:type="dxa"/>
          </w:tcPr>
          <w:p>
            <w:pPr>
              <w:spacing w:line="520" w:lineRule="exact"/>
              <w:rPr>
                <w:rFonts w:ascii="仿宋_GB2312" w:hAnsi="宋体" w:eastAsia="仿宋_GB2312"/>
                <w:sz w:val="32"/>
                <w:szCs w:val="32"/>
              </w:rPr>
            </w:pPr>
            <w:r>
              <w:rPr>
                <w:rFonts w:hint="eastAsia" w:ascii="仿宋_GB2312" w:hAnsi="宋体" w:eastAsia="仿宋_GB2312"/>
                <w:sz w:val="32"/>
                <w:szCs w:val="32"/>
              </w:rPr>
              <w:t>《中国共产党党内监督条例》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35</w:t>
            </w:r>
          </w:p>
        </w:tc>
        <w:tc>
          <w:tcPr>
            <w:tcW w:w="7619" w:type="dxa"/>
          </w:tcPr>
          <w:p>
            <w:pPr>
              <w:spacing w:line="520" w:lineRule="exact"/>
              <w:rPr>
                <w:rFonts w:ascii="仿宋_GB2312" w:hAnsi="宋体" w:eastAsia="仿宋_GB2312"/>
                <w:sz w:val="32"/>
                <w:szCs w:val="32"/>
              </w:rPr>
            </w:pPr>
            <w:r>
              <w:rPr>
                <w:rFonts w:hint="eastAsia" w:ascii="仿宋_GB2312" w:hAnsi="宋体" w:eastAsia="仿宋_GB2312"/>
                <w:sz w:val="32"/>
                <w:szCs w:val="32"/>
              </w:rPr>
              <w:t>《中国共产党支部工作条例（试行）》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36</w:t>
            </w:r>
          </w:p>
        </w:tc>
        <w:tc>
          <w:tcPr>
            <w:tcW w:w="7619" w:type="dxa"/>
          </w:tcPr>
          <w:p>
            <w:pPr>
              <w:spacing w:line="520" w:lineRule="exact"/>
              <w:rPr>
                <w:rFonts w:ascii="仿宋_GB2312" w:hAnsi="宋体" w:eastAsia="仿宋_GB2312"/>
                <w:sz w:val="32"/>
                <w:szCs w:val="32"/>
              </w:rPr>
            </w:pPr>
            <w:r>
              <w:rPr>
                <w:rFonts w:hint="eastAsia" w:ascii="仿宋_GB2312" w:hAnsi="宋体" w:eastAsia="仿宋_GB2312"/>
                <w:sz w:val="32"/>
                <w:szCs w:val="32"/>
              </w:rPr>
              <w:t>《中国共产党问责条例》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520" w:lineRule="exact"/>
              <w:jc w:val="center"/>
              <w:rPr>
                <w:rFonts w:ascii="仿宋_GB2312" w:hAnsi="宋体" w:eastAsia="仿宋_GB2312"/>
                <w:sz w:val="32"/>
                <w:szCs w:val="32"/>
              </w:rPr>
            </w:pPr>
            <w:r>
              <w:rPr>
                <w:rFonts w:hint="eastAsia" w:ascii="仿宋_GB2312" w:hAnsi="宋体" w:eastAsia="仿宋_GB2312"/>
                <w:sz w:val="32"/>
                <w:szCs w:val="32"/>
              </w:rPr>
              <w:t>37</w:t>
            </w:r>
          </w:p>
        </w:tc>
        <w:tc>
          <w:tcPr>
            <w:tcW w:w="7619" w:type="dxa"/>
          </w:tcPr>
          <w:p>
            <w:pPr>
              <w:spacing w:line="520" w:lineRule="exact"/>
              <w:rPr>
                <w:rFonts w:ascii="仿宋_GB2312" w:hAnsi="宋体" w:eastAsia="仿宋_GB2312"/>
                <w:sz w:val="32"/>
                <w:szCs w:val="32"/>
              </w:rPr>
            </w:pPr>
            <w:r>
              <w:rPr>
                <w:rFonts w:hint="eastAsia" w:ascii="仿宋_GB2312" w:hAnsi="宋体" w:eastAsia="仿宋_GB2312"/>
                <w:sz w:val="32"/>
                <w:szCs w:val="32"/>
              </w:rPr>
              <w:t>《中国共产党组织工作条例》</w:t>
            </w:r>
          </w:p>
        </w:tc>
      </w:tr>
    </w:tbl>
    <w:p>
      <w:pPr>
        <w:spacing w:line="540" w:lineRule="exact"/>
      </w:pPr>
    </w:p>
    <w:p>
      <w:pPr>
        <w:spacing w:line="540" w:lineRule="exact"/>
      </w:pPr>
    </w:p>
    <w:p>
      <w:pPr>
        <w:jc w:val="left"/>
        <w:rPr>
          <w:rFonts w:hint="eastAsia" w:ascii="仿宋_GB2312" w:hAnsi="华文中宋" w:eastAsia="仿宋_GB2312"/>
          <w:color w:val="000000"/>
          <w:szCs w:val="21"/>
        </w:rPr>
      </w:pPr>
      <w:r>
        <w:rPr>
          <w:rFonts w:hint="eastAsia" w:ascii="仿宋_GB2312" w:hAnsi="华文中宋" w:eastAsia="仿宋_GB2312"/>
          <w:color w:val="000000"/>
          <w:szCs w:val="21"/>
        </w:rPr>
        <w:t>附件2</w:t>
      </w:r>
    </w:p>
    <w:p>
      <w:pPr>
        <w:spacing w:line="500" w:lineRule="exact"/>
        <w:jc w:val="center"/>
        <w:rPr>
          <w:rFonts w:hint="eastAsia" w:ascii="黑体" w:hAnsi="黑体" w:eastAsia="黑体"/>
          <w:color w:val="000000"/>
          <w:sz w:val="32"/>
          <w:szCs w:val="32"/>
        </w:rPr>
      </w:pPr>
      <w:r>
        <w:rPr>
          <w:rFonts w:hint="eastAsia" w:ascii="黑体" w:hAnsi="黑体" w:eastAsia="黑体"/>
          <w:color w:val="000000"/>
          <w:sz w:val="32"/>
          <w:szCs w:val="32"/>
        </w:rPr>
        <w:t>汽开区党工委班子以孙弘颜等案件为鉴以案促改</w:t>
      </w:r>
    </w:p>
    <w:p>
      <w:pPr>
        <w:spacing w:line="500" w:lineRule="exact"/>
        <w:jc w:val="center"/>
        <w:rPr>
          <w:rFonts w:hint="eastAsia" w:ascii="黑体" w:hAnsi="黑体" w:eastAsia="黑体"/>
          <w:color w:val="000000"/>
          <w:sz w:val="32"/>
          <w:szCs w:val="32"/>
        </w:rPr>
      </w:pPr>
      <w:r>
        <w:rPr>
          <w:rFonts w:hint="eastAsia" w:ascii="黑体" w:hAnsi="黑体" w:eastAsia="黑体"/>
          <w:color w:val="000000"/>
          <w:sz w:val="32"/>
          <w:szCs w:val="32"/>
        </w:rPr>
        <w:t>专题民主生活会和组织生活会征求意见表</w:t>
      </w:r>
    </w:p>
    <w:p>
      <w:pPr>
        <w:spacing w:line="500" w:lineRule="exact"/>
        <w:rPr>
          <w:rFonts w:hint="eastAsia" w:ascii="仿宋_GB2312" w:hAnsi="宋体" w:eastAsia="仿宋_GB2312"/>
          <w:color w:val="000000"/>
          <w:sz w:val="32"/>
          <w:szCs w:val="32"/>
        </w:rPr>
      </w:pPr>
      <w:r>
        <w:rPr>
          <w:rFonts w:hint="eastAsia" w:ascii="仿宋_GB2312" w:hAnsi="华文中宋" w:eastAsia="仿宋_GB2312"/>
          <w:color w:val="000000"/>
          <w:sz w:val="28"/>
          <w:szCs w:val="28"/>
        </w:rPr>
        <w:t>征求意见单位：（盖章）</w:t>
      </w:r>
    </w:p>
    <w:tbl>
      <w:tblPr>
        <w:tblStyle w:val="2"/>
        <w:tblW w:w="10632" w:type="dxa"/>
        <w:tblInd w:w="-88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813"/>
        <w:gridCol w:w="481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8" w:hRule="atLeast"/>
        </w:trPr>
        <w:tc>
          <w:tcPr>
            <w:tcW w:w="5813" w:type="dxa"/>
            <w:vAlign w:val="center"/>
          </w:tcPr>
          <w:p>
            <w:pPr>
              <w:jc w:val="center"/>
              <w:rPr>
                <w:rFonts w:hint="eastAsia" w:ascii="黑体" w:eastAsia="黑体"/>
                <w:color w:val="000000"/>
                <w:sz w:val="32"/>
                <w:szCs w:val="32"/>
              </w:rPr>
            </w:pPr>
            <w:r>
              <w:rPr>
                <w:rFonts w:hint="eastAsia" w:ascii="黑体" w:eastAsia="黑体"/>
                <w:color w:val="000000"/>
                <w:sz w:val="32"/>
                <w:szCs w:val="32"/>
              </w:rPr>
              <w:t>征求意见的主要方面</w:t>
            </w:r>
          </w:p>
        </w:tc>
        <w:tc>
          <w:tcPr>
            <w:tcW w:w="4819" w:type="dxa"/>
            <w:vAlign w:val="center"/>
          </w:tcPr>
          <w:p>
            <w:pPr>
              <w:spacing w:line="480" w:lineRule="exact"/>
              <w:jc w:val="center"/>
              <w:rPr>
                <w:rFonts w:hint="eastAsia" w:ascii="黑体" w:eastAsia="黑体"/>
                <w:color w:val="000000"/>
                <w:sz w:val="32"/>
                <w:szCs w:val="32"/>
              </w:rPr>
            </w:pPr>
            <w:r>
              <w:rPr>
                <w:rFonts w:hint="eastAsia" w:ascii="黑体" w:eastAsia="黑体"/>
                <w:color w:val="000000"/>
                <w:sz w:val="32"/>
                <w:szCs w:val="32"/>
              </w:rPr>
              <w:t>意见建议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56" w:hRule="atLeast"/>
        </w:trPr>
        <w:tc>
          <w:tcPr>
            <w:tcW w:w="5813" w:type="dxa"/>
            <w:vAlign w:val="center"/>
          </w:tcPr>
          <w:p>
            <w:pPr>
              <w:spacing w:line="220" w:lineRule="exact"/>
              <w:rPr>
                <w:rFonts w:hint="eastAsia" w:ascii="仿宋_GB2312" w:eastAsia="仿宋_GB2312"/>
                <w:szCs w:val="21"/>
              </w:rPr>
            </w:pPr>
            <w:r>
              <w:rPr>
                <w:rFonts w:hint="eastAsia" w:ascii="仿宋_GB2312" w:hAnsi="仿宋" w:eastAsia="仿宋_GB2312"/>
                <w:szCs w:val="21"/>
              </w:rPr>
              <w:t xml:space="preserve">    浮在面上，理论学习还不到位，特别是在学懂弄通做实习近平新时代中国特色社会主义思想，把握正确政治方向，提高政治能力，增强</w:t>
            </w:r>
            <w:r>
              <w:rPr>
                <w:rFonts w:hint="eastAsia" w:ascii="仿宋_GB2312" w:hAnsi="仿宋" w:eastAsia="仿宋_GB2312"/>
                <w:szCs w:val="21"/>
                <w:lang w:val="zh-CN"/>
              </w:rPr>
              <w:t>“四</w:t>
            </w:r>
            <w:r>
              <w:rPr>
                <w:rFonts w:hint="eastAsia" w:ascii="仿宋_GB2312" w:hAnsi="仿宋" w:eastAsia="仿宋_GB2312"/>
                <w:szCs w:val="21"/>
              </w:rPr>
              <w:t>个意识</w:t>
            </w:r>
            <w:r>
              <w:rPr>
                <w:rFonts w:hint="eastAsia" w:ascii="仿宋_GB2312" w:hAnsi="仿宋" w:eastAsia="仿宋_GB2312"/>
                <w:szCs w:val="21"/>
                <w:lang w:val="zh-CN"/>
              </w:rPr>
              <w:t>”、坚</w:t>
            </w:r>
            <w:r>
              <w:rPr>
                <w:rFonts w:hint="eastAsia" w:ascii="仿宋_GB2312" w:hAnsi="仿宋" w:eastAsia="仿宋_GB2312"/>
                <w:szCs w:val="21"/>
              </w:rPr>
              <w:t>定“四个自信</w:t>
            </w:r>
            <w:r>
              <w:rPr>
                <w:rFonts w:hint="eastAsia" w:ascii="仿宋_GB2312" w:hAnsi="仿宋" w:eastAsia="仿宋_GB2312"/>
                <w:szCs w:val="21"/>
                <w:lang w:val="zh-CN"/>
              </w:rPr>
              <w:t>”、做</w:t>
            </w:r>
            <w:r>
              <w:rPr>
                <w:rFonts w:hint="eastAsia" w:ascii="仿宋_GB2312" w:hAnsi="仿宋" w:eastAsia="仿宋_GB2312"/>
                <w:szCs w:val="21"/>
              </w:rPr>
              <w:t>到“两个维护”等方面还不能够完全融会贯通。</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88"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背离党性，党内政治生活流于形式，与党貌合神离，表里不一，搞“两面派”，是“两面人”，纪律意识淡薄，理想信念丧失，放松政治理论学习和世界观改造，最终沦为欲望的奴隶；人生志趣低俗，不能抵御利益诱惑，甘于被“围猎”，丧失了党员干部最起码的人格、操守和底线。</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08" w:hRule="atLeast"/>
        </w:trPr>
        <w:tc>
          <w:tcPr>
            <w:tcW w:w="5813" w:type="dxa"/>
            <w:vAlign w:val="center"/>
          </w:tcPr>
          <w:p>
            <w:pPr>
              <w:spacing w:line="220" w:lineRule="exact"/>
              <w:rPr>
                <w:rFonts w:hint="eastAsia" w:ascii="仿宋_GB2312" w:eastAsia="仿宋_GB2312"/>
                <w:color w:val="000000"/>
                <w:szCs w:val="21"/>
              </w:rPr>
            </w:pPr>
            <w:r>
              <w:rPr>
                <w:rFonts w:hint="eastAsia" w:ascii="仿宋_GB2312" w:hAnsi="仿宋" w:eastAsia="仿宋_GB2312"/>
                <w:szCs w:val="21"/>
              </w:rPr>
              <w:t xml:space="preserve">    顶风违纪，对照孙弘颜等人多次收受下属单位、企业和个人的礼品、礼金、购物卡，把明显超出人情往来范围的收受行为视为理所当然；同企业老板、社会人员勾肩搭背、称兄道弟，违规出入私人会所和高档消费场所，造成不良影响后，仍然执意妄为；追求享乐奢靡，热衷于被企业老板鞍前马后、“贴心服务”，越陷越深，最终导致人仰马翻。</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72"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权力集中，对照孙弘颜等人有的既分管建设领域又分管财政工作，有的既是管委会领导又兼任下级重要部门“一把手”，</w:t>
            </w:r>
            <w:r>
              <w:rPr>
                <w:rFonts w:hint="eastAsia" w:ascii="仿宋" w:hAnsi="仿宋" w:eastAsia="仿宋"/>
                <w:szCs w:val="21"/>
              </w:rPr>
              <w:t>分工不科</w:t>
            </w:r>
            <w:r>
              <w:rPr>
                <w:rFonts w:hint="eastAsia" w:ascii="仿宋_GB2312" w:hAnsi="仿宋" w:eastAsia="仿宋_GB2312"/>
                <w:szCs w:val="21"/>
              </w:rPr>
              <w:t>学，权力缺乏有效制约；有的关键岗位人员长期不交流，权力固化，易成为“围猎”目标；有的从工程发包到项目验收，再到决算和拨款，由一人负责，缺乏制衡。</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06"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监管薄弱，有的工程质量监管存在空白点，项目建设质量不高，群众反映较强烈；有的工程款拨付不及时、不到位，随意性较强，人为因素影响较多；有的对项目服务单位评估不充分，外部监督缺位，领导决策主观性较强；有的初见苗头性问题时，没有被及时提醒告诫，导致久病难医。</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1"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制度松弛，有的工作程序不规范，招投标项目未招标先内定、先施工后招标，指定施工单位，后补招标手续；有的审批制度不完善，对通信基站建设、环卫保洁服务、社区物业管理等小型项目审批，集体研究机制流于形式，自由裁量空间较大；有的制度落实不到位，对企业选址、规划初审、土地出让等重点项目审批，未认真落实相应制度，关键岗位廉政风险较大。</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1"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责任缺失，落实全面从严治党责任，贯彻执行中央及省市委《党委（党组）落实全面从严治党主体责任规定》还不到位，对落实“一岗双责”缺乏更有针对性的措施。带头严守政治纪律和政治规矩，旗帜鲜明地批评和纠正违规违纪言行，锲而不舍落实中央八项规定精神和省市委实施办法，坚决反对形式主义、官僚主义，动真较真的硬气还不够，出现个别干部违规违纪现象。</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1" w:hRule="atLeast"/>
        </w:trPr>
        <w:tc>
          <w:tcPr>
            <w:tcW w:w="5813" w:type="dxa"/>
            <w:vAlign w:val="center"/>
          </w:tcPr>
          <w:p>
            <w:pPr>
              <w:spacing w:line="220" w:lineRule="exact"/>
              <w:ind w:firstLine="420" w:firstLineChars="200"/>
              <w:rPr>
                <w:rFonts w:hint="eastAsia" w:ascii="仿宋_GB2312" w:hAnsi="仿宋" w:eastAsia="仿宋_GB2312"/>
                <w:szCs w:val="21"/>
              </w:rPr>
            </w:pPr>
            <w:r>
              <w:rPr>
                <w:rFonts w:hint="eastAsia" w:ascii="仿宋_GB2312" w:hAnsi="仿宋" w:eastAsia="仿宋_GB2312"/>
                <w:szCs w:val="21"/>
              </w:rPr>
              <w:t>整改不实，对照中央、省市委巡视巡察反馈问题整改落实还不到位，对照反查、查漏补缺，举一反三、整改提高缺乏有效的流程、制度制约。在深挖其根源，持续巩固扩大整改成果，落实党委（工委）意识形态工作责任制，认真自查整改等方面需要进一步加大力度。</w:t>
            </w:r>
          </w:p>
        </w:tc>
        <w:tc>
          <w:tcPr>
            <w:tcW w:w="4819" w:type="dxa"/>
            <w:vAlign w:val="center"/>
          </w:tcPr>
          <w:p>
            <w:pPr>
              <w:rPr>
                <w:rFonts w:hint="eastAsia" w:ascii="仿宋_GB2312" w:eastAsia="仿宋_GB2312"/>
                <w:color w:val="000000"/>
                <w:sz w:val="32"/>
                <w:szCs w:val="32"/>
              </w:rPr>
            </w:pPr>
          </w:p>
        </w:tc>
      </w:tr>
    </w:tbl>
    <w:p>
      <w:pPr>
        <w:jc w:val="left"/>
        <w:rPr>
          <w:rFonts w:hint="eastAsia" w:ascii="仿宋_GB2312" w:eastAsia="仿宋_GB2312"/>
          <w:color w:val="000000"/>
          <w:szCs w:val="21"/>
        </w:rPr>
      </w:pPr>
      <w:r>
        <w:rPr>
          <w:rFonts w:hint="eastAsia" w:ascii="仿宋_GB2312" w:eastAsia="仿宋_GB2312"/>
          <w:color w:val="000000"/>
          <w:szCs w:val="21"/>
        </w:rPr>
        <w:t>注：此表填满后，可另加附页。</w:t>
      </w:r>
    </w:p>
    <w:p>
      <w:pPr>
        <w:jc w:val="left"/>
        <w:rPr>
          <w:rFonts w:hint="eastAsia" w:ascii="仿宋_GB2312" w:hAnsi="华文中宋" w:eastAsia="仿宋_GB2312"/>
          <w:color w:val="000000"/>
          <w:szCs w:val="21"/>
        </w:rPr>
      </w:pPr>
    </w:p>
    <w:p>
      <w:pPr>
        <w:jc w:val="left"/>
        <w:rPr>
          <w:rFonts w:ascii="仿宋_GB2312" w:hAnsi="华文中宋" w:eastAsia="仿宋_GB2312"/>
          <w:color w:val="000000"/>
          <w:szCs w:val="21"/>
        </w:rPr>
      </w:pPr>
    </w:p>
    <w:p>
      <w:pPr>
        <w:jc w:val="left"/>
        <w:rPr>
          <w:rFonts w:ascii="仿宋_GB2312" w:hAnsi="华文中宋" w:eastAsia="仿宋_GB2312"/>
          <w:color w:val="000000"/>
          <w:szCs w:val="21"/>
        </w:rPr>
      </w:pPr>
    </w:p>
    <w:p>
      <w:pPr>
        <w:jc w:val="left"/>
        <w:rPr>
          <w:rFonts w:hint="eastAsia" w:ascii="仿宋_GB2312" w:hAnsi="华文中宋" w:eastAsia="仿宋_GB2312"/>
          <w:color w:val="000000"/>
          <w:szCs w:val="21"/>
        </w:rPr>
      </w:pPr>
      <w:r>
        <w:rPr>
          <w:rFonts w:hint="eastAsia" w:ascii="仿宋_GB2312" w:hAnsi="华文中宋" w:eastAsia="仿宋_GB2312"/>
          <w:color w:val="000000"/>
          <w:szCs w:val="21"/>
        </w:rPr>
        <w:t>附件3</w:t>
      </w:r>
    </w:p>
    <w:p>
      <w:pPr>
        <w:spacing w:line="540" w:lineRule="exact"/>
        <w:ind w:left="1860" w:leftChars="200" w:hanging="1440" w:hangingChars="450"/>
        <w:jc w:val="center"/>
        <w:rPr>
          <w:rFonts w:hint="eastAsia" w:ascii="黑体" w:hAnsi="黑体" w:eastAsia="黑体"/>
          <w:color w:val="000000"/>
          <w:sz w:val="32"/>
          <w:szCs w:val="32"/>
        </w:rPr>
      </w:pPr>
      <w:r>
        <w:rPr>
          <w:rFonts w:hint="eastAsia" w:ascii="黑体" w:hAnsi="黑体" w:eastAsia="黑体"/>
          <w:color w:val="000000"/>
          <w:sz w:val="32"/>
          <w:szCs w:val="32"/>
        </w:rPr>
        <w:t>汽开区党工委班子成员以孙弘颜等案件为鉴以案促改</w:t>
      </w:r>
    </w:p>
    <w:p>
      <w:pPr>
        <w:spacing w:line="540" w:lineRule="exact"/>
        <w:ind w:left="1860" w:leftChars="200" w:hanging="1440" w:hangingChars="450"/>
        <w:jc w:val="center"/>
        <w:rPr>
          <w:rFonts w:hint="eastAsia" w:ascii="黑体" w:hAnsi="黑体" w:eastAsia="黑体"/>
          <w:color w:val="000000"/>
          <w:sz w:val="32"/>
          <w:szCs w:val="32"/>
        </w:rPr>
      </w:pPr>
      <w:r>
        <w:rPr>
          <w:rFonts w:hint="eastAsia" w:ascii="黑体" w:hAnsi="黑体" w:eastAsia="黑体"/>
          <w:color w:val="000000"/>
          <w:sz w:val="32"/>
          <w:szCs w:val="32"/>
        </w:rPr>
        <w:t>专题民主生活会和组织生活会征求意见表</w:t>
      </w:r>
    </w:p>
    <w:p>
      <w:pPr>
        <w:jc w:val="left"/>
        <w:rPr>
          <w:rFonts w:hint="eastAsia" w:ascii="仿宋_GB2312" w:eastAsia="仿宋_GB2312"/>
          <w:color w:val="000000"/>
          <w:sz w:val="28"/>
          <w:szCs w:val="28"/>
        </w:rPr>
      </w:pPr>
      <w:r>
        <w:rPr>
          <w:rFonts w:hint="eastAsia" w:ascii="仿宋_GB2312" w:eastAsia="仿宋_GB2312"/>
          <w:color w:val="000000"/>
          <w:sz w:val="28"/>
          <w:szCs w:val="28"/>
        </w:rPr>
        <w:t xml:space="preserve">姓名： </w:t>
      </w:r>
    </w:p>
    <w:tbl>
      <w:tblPr>
        <w:tblStyle w:val="2"/>
        <w:tblW w:w="10632" w:type="dxa"/>
        <w:tblInd w:w="-88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813"/>
        <w:gridCol w:w="481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5813" w:type="dxa"/>
            <w:vAlign w:val="center"/>
          </w:tcPr>
          <w:p>
            <w:pPr>
              <w:spacing w:line="480" w:lineRule="exact"/>
              <w:jc w:val="center"/>
              <w:rPr>
                <w:rFonts w:hint="eastAsia" w:ascii="黑体" w:eastAsia="黑体"/>
                <w:color w:val="000000"/>
                <w:sz w:val="32"/>
                <w:szCs w:val="32"/>
              </w:rPr>
            </w:pPr>
            <w:r>
              <w:rPr>
                <w:rFonts w:hint="eastAsia" w:ascii="黑体" w:eastAsia="黑体"/>
                <w:color w:val="000000"/>
                <w:sz w:val="32"/>
                <w:szCs w:val="32"/>
              </w:rPr>
              <w:t>征求意见的主要方面</w:t>
            </w:r>
          </w:p>
        </w:tc>
        <w:tc>
          <w:tcPr>
            <w:tcW w:w="4819" w:type="dxa"/>
            <w:vAlign w:val="center"/>
          </w:tcPr>
          <w:p>
            <w:pPr>
              <w:spacing w:line="480" w:lineRule="exact"/>
              <w:jc w:val="center"/>
              <w:rPr>
                <w:rFonts w:hint="eastAsia" w:ascii="黑体" w:eastAsia="黑体"/>
                <w:color w:val="000000"/>
                <w:sz w:val="32"/>
                <w:szCs w:val="32"/>
              </w:rPr>
            </w:pPr>
            <w:r>
              <w:rPr>
                <w:rFonts w:hint="eastAsia" w:ascii="黑体" w:eastAsia="黑体"/>
                <w:color w:val="000000"/>
                <w:sz w:val="32"/>
                <w:szCs w:val="32"/>
              </w:rPr>
              <w:t>意见建议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56" w:hRule="atLeast"/>
        </w:trPr>
        <w:tc>
          <w:tcPr>
            <w:tcW w:w="5813" w:type="dxa"/>
            <w:vAlign w:val="center"/>
          </w:tcPr>
          <w:p>
            <w:pPr>
              <w:spacing w:line="220" w:lineRule="exact"/>
              <w:rPr>
                <w:rFonts w:hint="eastAsia" w:ascii="仿宋_GB2312" w:eastAsia="仿宋_GB2312"/>
                <w:szCs w:val="21"/>
              </w:rPr>
            </w:pPr>
            <w:r>
              <w:rPr>
                <w:rFonts w:hint="eastAsia" w:ascii="仿宋_GB2312" w:hAnsi="仿宋" w:eastAsia="仿宋_GB2312"/>
                <w:szCs w:val="21"/>
              </w:rPr>
              <w:t xml:space="preserve">    浮在面上，理论学习还不到位，特别是在学懂弄通做实习近平新时代中国特色社会主义思想，把握正确政治方向，提高政治能力，增强</w:t>
            </w:r>
            <w:r>
              <w:rPr>
                <w:rFonts w:hint="eastAsia" w:ascii="仿宋_GB2312" w:hAnsi="仿宋" w:eastAsia="仿宋_GB2312"/>
                <w:szCs w:val="21"/>
                <w:lang w:val="zh-CN"/>
              </w:rPr>
              <w:t>“四</w:t>
            </w:r>
            <w:r>
              <w:rPr>
                <w:rFonts w:hint="eastAsia" w:ascii="仿宋_GB2312" w:hAnsi="仿宋" w:eastAsia="仿宋_GB2312"/>
                <w:szCs w:val="21"/>
              </w:rPr>
              <w:t>个意识</w:t>
            </w:r>
            <w:r>
              <w:rPr>
                <w:rFonts w:hint="eastAsia" w:ascii="仿宋_GB2312" w:hAnsi="仿宋" w:eastAsia="仿宋_GB2312"/>
                <w:szCs w:val="21"/>
                <w:lang w:val="zh-CN"/>
              </w:rPr>
              <w:t>”、坚</w:t>
            </w:r>
            <w:r>
              <w:rPr>
                <w:rFonts w:hint="eastAsia" w:ascii="仿宋_GB2312" w:hAnsi="仿宋" w:eastAsia="仿宋_GB2312"/>
                <w:szCs w:val="21"/>
              </w:rPr>
              <w:t>定“四个自信</w:t>
            </w:r>
            <w:r>
              <w:rPr>
                <w:rFonts w:hint="eastAsia" w:ascii="仿宋_GB2312" w:hAnsi="仿宋" w:eastAsia="仿宋_GB2312"/>
                <w:szCs w:val="21"/>
                <w:lang w:val="zh-CN"/>
              </w:rPr>
              <w:t>”、做</w:t>
            </w:r>
            <w:r>
              <w:rPr>
                <w:rFonts w:hint="eastAsia" w:ascii="仿宋_GB2312" w:hAnsi="仿宋" w:eastAsia="仿宋_GB2312"/>
                <w:szCs w:val="21"/>
              </w:rPr>
              <w:t>到“两个维护”等方面还不能够完全融会贯通。</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26" w:hRule="atLeast"/>
        </w:trPr>
        <w:tc>
          <w:tcPr>
            <w:tcW w:w="5813" w:type="dxa"/>
            <w:vAlign w:val="center"/>
          </w:tcPr>
          <w:p>
            <w:pPr>
              <w:spacing w:line="220" w:lineRule="exact"/>
              <w:rPr>
                <w:rFonts w:hint="eastAsia" w:ascii="仿宋_GB2312" w:eastAsia="仿宋_GB2312"/>
                <w:color w:val="000000"/>
                <w:szCs w:val="21"/>
              </w:rPr>
            </w:pPr>
            <w:r>
              <w:rPr>
                <w:rFonts w:hint="eastAsia" w:ascii="仿宋_GB2312" w:hAnsi="仿宋" w:eastAsia="仿宋_GB2312"/>
                <w:szCs w:val="21"/>
              </w:rPr>
              <w:t xml:space="preserve">    背离党性，党内政治生活流于形式，与党貌合神离，表里不一，搞“两面派”，是“两面人”，纪律意识淡薄，理想信念丧失，放松政治理论学习和世界观改造，最终沦为欲望的奴隶；人生志趣低俗，不能抵御利益诱惑，甘于被“围猎”，丧失了党员干部最起码的人格、操守和底线。</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08" w:hRule="atLeast"/>
        </w:trPr>
        <w:tc>
          <w:tcPr>
            <w:tcW w:w="5813" w:type="dxa"/>
            <w:vAlign w:val="center"/>
          </w:tcPr>
          <w:p>
            <w:pPr>
              <w:spacing w:line="220" w:lineRule="exact"/>
              <w:rPr>
                <w:rFonts w:hint="eastAsia" w:ascii="仿宋_GB2312" w:eastAsia="仿宋_GB2312"/>
                <w:color w:val="000000"/>
                <w:szCs w:val="21"/>
              </w:rPr>
            </w:pPr>
            <w:r>
              <w:rPr>
                <w:rFonts w:hint="eastAsia" w:ascii="仿宋_GB2312" w:hAnsi="仿宋" w:eastAsia="仿宋_GB2312"/>
                <w:szCs w:val="21"/>
              </w:rPr>
              <w:t xml:space="preserve">    顶风违纪，对照孙弘颜等人多次收受下属单位、企业和个人的礼品、礼金、购物卡，把明显超出人情往来范围的收受行为视为理所当然；同企业老板、社会人员勾肩搭背、称兄道弟，违规出入私人会所和高档消费场所，造成不良影响后，仍然执意妄为；追求享乐奢靡，热衷于被企业老板鞍前马后、“贴心服务”，越陷越深，最终导致人仰马翻。</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72"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权力集中，对照孙弘颜等人有的既分管建设领域又分管财政工作，有的既是管委会领导又兼任下级重要部门“一把手”，分工不科学，权力缺乏有效制约；有的关键岗位人员长期不交流，权力固化，易成为“围猎”目标；有的从工程发包到项目验收，再到决算和拨款，由一人负责，缺乏制衡。</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06"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监管薄弱，有的工程质量监管存在空白点，项目建设质量不高，群众反映较强烈；有的工程款拨付不及时、不到位，随意性较强，人为因素影响较多；有的对项目服务单位评估不充分，外部监督缺位，领导决策主观性较强；有的初见苗头性问题时，没有被及时提醒告诫，导致久病难医。</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1"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制度松弛，有的工作程序不规范，招投标项目未招标先内定、先施工后招标，指定施工单位，后补招标手续；有的审批制度不完善，对通信基站建设、环卫保洁服务、社区物业管理等小型项目审批，集体研究机制流于形式，自由裁量空间较大；有的制度落实不到位，对企业选址、规划初审、土地出让等重点项目审批，未认真落实相应制度，关键岗位廉政风险较大。</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1"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责任缺失，落实全面从严治党责任，贯彻执行中央及省市委《党委（党组）落实全面从严治党主体责任规定》还不到位，对落实“一岗双责”缺乏更有针对性的措施。带头严守政治纪律和政治规矩，旗帜鲜明地批评和纠正违规违纪言行，锲而不舍落实中央八项规定精神和省市委实施办法，坚决反对形式主义、官僚主义，动真较真的硬气还不够，出现个别干部违规违纪现象。</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1" w:hRule="atLeast"/>
        </w:trPr>
        <w:tc>
          <w:tcPr>
            <w:tcW w:w="5813" w:type="dxa"/>
            <w:vAlign w:val="center"/>
          </w:tcPr>
          <w:p>
            <w:pPr>
              <w:spacing w:line="220" w:lineRule="exact"/>
              <w:ind w:firstLine="420" w:firstLineChars="200"/>
              <w:rPr>
                <w:rFonts w:hint="eastAsia" w:ascii="仿宋_GB2312" w:hAnsi="仿宋" w:eastAsia="仿宋_GB2312"/>
                <w:szCs w:val="21"/>
              </w:rPr>
            </w:pPr>
            <w:r>
              <w:rPr>
                <w:rFonts w:hint="eastAsia" w:ascii="仿宋_GB2312" w:hAnsi="仿宋" w:eastAsia="仿宋_GB2312"/>
                <w:szCs w:val="21"/>
              </w:rPr>
              <w:t>整改不实，对照中央、省市委巡视巡察反馈问题整改落实还不到位，对照反查、查漏补缺，举一反三、整改提高缺乏有效的流程、制度制约。在深挖其根源，持续巩固扩大整改成果，落实党委（工委）意识形态工作责任制，认真自查整改等方面需要进一步加大力度。</w:t>
            </w:r>
          </w:p>
        </w:tc>
        <w:tc>
          <w:tcPr>
            <w:tcW w:w="4819" w:type="dxa"/>
            <w:vAlign w:val="center"/>
          </w:tcPr>
          <w:p>
            <w:pPr>
              <w:rPr>
                <w:rFonts w:hint="eastAsia" w:ascii="仿宋_GB2312" w:eastAsia="仿宋_GB2312"/>
                <w:color w:val="000000"/>
                <w:sz w:val="32"/>
                <w:szCs w:val="32"/>
              </w:rPr>
            </w:pPr>
          </w:p>
        </w:tc>
      </w:tr>
    </w:tbl>
    <w:p>
      <w:pPr>
        <w:jc w:val="left"/>
        <w:rPr>
          <w:rFonts w:hint="eastAsia" w:ascii="仿宋_GB2312" w:eastAsia="仿宋_GB2312"/>
          <w:color w:val="000000"/>
          <w:szCs w:val="21"/>
        </w:rPr>
      </w:pPr>
      <w:r>
        <w:rPr>
          <w:rFonts w:hint="eastAsia" w:ascii="仿宋_GB2312" w:eastAsia="仿宋_GB2312"/>
          <w:color w:val="000000"/>
          <w:szCs w:val="21"/>
        </w:rPr>
        <w:t>注：此表填满后，可另加附页。</w:t>
      </w:r>
    </w:p>
    <w:p>
      <w:pPr>
        <w:jc w:val="left"/>
        <w:rPr>
          <w:rFonts w:ascii="仿宋_GB2312" w:hAnsi="华文中宋" w:eastAsia="仿宋_GB2312"/>
          <w:color w:val="000000"/>
          <w:szCs w:val="21"/>
        </w:rPr>
      </w:pPr>
    </w:p>
    <w:p>
      <w:pPr>
        <w:jc w:val="left"/>
        <w:rPr>
          <w:rFonts w:ascii="仿宋_GB2312" w:hAnsi="华文中宋" w:eastAsia="仿宋_GB2312"/>
          <w:color w:val="000000"/>
          <w:szCs w:val="21"/>
        </w:rPr>
      </w:pPr>
    </w:p>
    <w:p>
      <w:pPr>
        <w:jc w:val="left"/>
        <w:rPr>
          <w:rFonts w:hint="eastAsia" w:ascii="仿宋_GB2312" w:hAnsi="华文中宋" w:eastAsia="仿宋_GB2312"/>
          <w:color w:val="000000"/>
          <w:szCs w:val="21"/>
        </w:rPr>
      </w:pPr>
      <w:r>
        <w:rPr>
          <w:rFonts w:hint="eastAsia" w:ascii="仿宋_GB2312" w:hAnsi="华文中宋" w:eastAsia="仿宋_GB2312"/>
          <w:color w:val="000000"/>
          <w:szCs w:val="21"/>
        </w:rPr>
        <w:t>附件4</w:t>
      </w:r>
    </w:p>
    <w:p>
      <w:pPr>
        <w:spacing w:line="560" w:lineRule="exact"/>
        <w:ind w:left="800" w:hanging="800" w:hangingChars="250"/>
        <w:jc w:val="center"/>
        <w:rPr>
          <w:rFonts w:hint="eastAsia" w:ascii="黑体" w:hAnsi="黑体" w:eastAsia="黑体"/>
          <w:color w:val="000000"/>
          <w:sz w:val="32"/>
          <w:szCs w:val="32"/>
        </w:rPr>
      </w:pPr>
      <w:r>
        <w:rPr>
          <w:rFonts w:hint="eastAsia" w:ascii="黑体" w:hAnsi="黑体" w:eastAsia="黑体"/>
          <w:color w:val="000000"/>
          <w:sz w:val="32"/>
          <w:szCs w:val="32"/>
        </w:rPr>
        <w:t>汽开区各部门（单位）班子以孙弘颜等案件为鉴以案促改</w:t>
      </w:r>
    </w:p>
    <w:p>
      <w:pPr>
        <w:spacing w:line="560" w:lineRule="exact"/>
        <w:ind w:left="800" w:hanging="800" w:hangingChars="250"/>
        <w:jc w:val="center"/>
        <w:rPr>
          <w:rFonts w:hint="eastAsia" w:ascii="黑体" w:hAnsi="黑体" w:eastAsia="黑体"/>
          <w:color w:val="000000"/>
          <w:sz w:val="32"/>
          <w:szCs w:val="32"/>
        </w:rPr>
      </w:pPr>
      <w:r>
        <w:rPr>
          <w:rFonts w:hint="eastAsia" w:ascii="黑体" w:hAnsi="黑体" w:eastAsia="黑体"/>
          <w:color w:val="000000"/>
          <w:sz w:val="32"/>
          <w:szCs w:val="32"/>
        </w:rPr>
        <w:t>专题民主生活会和组织生活会征求意见表</w:t>
      </w:r>
    </w:p>
    <w:p>
      <w:pPr>
        <w:spacing w:line="560" w:lineRule="exact"/>
        <w:rPr>
          <w:rFonts w:hint="eastAsia" w:ascii="黑体" w:hAnsi="黑体" w:eastAsia="黑体"/>
          <w:color w:val="000000"/>
          <w:sz w:val="28"/>
          <w:szCs w:val="28"/>
        </w:rPr>
      </w:pPr>
      <w:r>
        <w:rPr>
          <w:rFonts w:hint="eastAsia" w:ascii="仿宋_GB2312" w:hAnsi="华文中宋" w:eastAsia="仿宋_GB2312"/>
          <w:color w:val="000000"/>
          <w:sz w:val="28"/>
          <w:szCs w:val="28"/>
        </w:rPr>
        <w:t>单位：（盖章）</w:t>
      </w:r>
    </w:p>
    <w:tbl>
      <w:tblPr>
        <w:tblStyle w:val="2"/>
        <w:tblW w:w="10632" w:type="dxa"/>
        <w:tblInd w:w="-88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813"/>
        <w:gridCol w:w="481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8" w:hRule="atLeast"/>
        </w:trPr>
        <w:tc>
          <w:tcPr>
            <w:tcW w:w="5813" w:type="dxa"/>
            <w:vAlign w:val="center"/>
          </w:tcPr>
          <w:p>
            <w:pPr>
              <w:jc w:val="center"/>
              <w:rPr>
                <w:rFonts w:hint="eastAsia" w:ascii="黑体" w:eastAsia="黑体"/>
                <w:color w:val="000000"/>
                <w:sz w:val="32"/>
                <w:szCs w:val="32"/>
              </w:rPr>
            </w:pPr>
            <w:r>
              <w:rPr>
                <w:rFonts w:hint="eastAsia" w:ascii="黑体" w:eastAsia="黑体"/>
                <w:color w:val="000000"/>
                <w:sz w:val="32"/>
                <w:szCs w:val="32"/>
              </w:rPr>
              <w:t>征求意见的主要方面</w:t>
            </w:r>
          </w:p>
        </w:tc>
        <w:tc>
          <w:tcPr>
            <w:tcW w:w="4819" w:type="dxa"/>
            <w:vAlign w:val="center"/>
          </w:tcPr>
          <w:p>
            <w:pPr>
              <w:spacing w:line="480" w:lineRule="exact"/>
              <w:jc w:val="center"/>
              <w:rPr>
                <w:rFonts w:hint="eastAsia" w:ascii="黑体" w:eastAsia="黑体"/>
                <w:color w:val="000000"/>
                <w:sz w:val="32"/>
                <w:szCs w:val="32"/>
              </w:rPr>
            </w:pPr>
            <w:r>
              <w:rPr>
                <w:rFonts w:hint="eastAsia" w:ascii="黑体" w:eastAsia="黑体"/>
                <w:color w:val="000000"/>
                <w:sz w:val="32"/>
                <w:szCs w:val="32"/>
              </w:rPr>
              <w:t>意见建议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56" w:hRule="atLeast"/>
        </w:trPr>
        <w:tc>
          <w:tcPr>
            <w:tcW w:w="5813" w:type="dxa"/>
            <w:vAlign w:val="center"/>
          </w:tcPr>
          <w:p>
            <w:pPr>
              <w:spacing w:line="220" w:lineRule="exact"/>
              <w:rPr>
                <w:rFonts w:hint="eastAsia" w:ascii="仿宋_GB2312" w:eastAsia="仿宋_GB2312"/>
                <w:szCs w:val="21"/>
              </w:rPr>
            </w:pPr>
            <w:r>
              <w:rPr>
                <w:rFonts w:hint="eastAsia" w:ascii="仿宋_GB2312" w:hAnsi="仿宋" w:eastAsia="仿宋_GB2312"/>
                <w:szCs w:val="21"/>
              </w:rPr>
              <w:t xml:space="preserve">    浮在面上，理论学习还不到位，特别是在学懂弄通做实习近平新时代中国特色社会主义思想，把握正确政治方向，提高政治能力，增强</w:t>
            </w:r>
            <w:r>
              <w:rPr>
                <w:rFonts w:hint="eastAsia" w:ascii="仿宋_GB2312" w:hAnsi="仿宋" w:eastAsia="仿宋_GB2312"/>
                <w:szCs w:val="21"/>
                <w:lang w:val="zh-CN"/>
              </w:rPr>
              <w:t>“四</w:t>
            </w:r>
            <w:r>
              <w:rPr>
                <w:rFonts w:hint="eastAsia" w:ascii="仿宋_GB2312" w:hAnsi="仿宋" w:eastAsia="仿宋_GB2312"/>
                <w:szCs w:val="21"/>
              </w:rPr>
              <w:t>个意识</w:t>
            </w:r>
            <w:r>
              <w:rPr>
                <w:rFonts w:hint="eastAsia" w:ascii="仿宋_GB2312" w:hAnsi="仿宋" w:eastAsia="仿宋_GB2312"/>
                <w:szCs w:val="21"/>
                <w:lang w:val="zh-CN"/>
              </w:rPr>
              <w:t>”、坚</w:t>
            </w:r>
            <w:r>
              <w:rPr>
                <w:rFonts w:hint="eastAsia" w:ascii="仿宋_GB2312" w:hAnsi="仿宋" w:eastAsia="仿宋_GB2312"/>
                <w:szCs w:val="21"/>
              </w:rPr>
              <w:t>定“四个自信</w:t>
            </w:r>
            <w:r>
              <w:rPr>
                <w:rFonts w:hint="eastAsia" w:ascii="仿宋_GB2312" w:hAnsi="仿宋" w:eastAsia="仿宋_GB2312"/>
                <w:szCs w:val="21"/>
                <w:lang w:val="zh-CN"/>
              </w:rPr>
              <w:t>”、做</w:t>
            </w:r>
            <w:r>
              <w:rPr>
                <w:rFonts w:hint="eastAsia" w:ascii="仿宋_GB2312" w:hAnsi="仿宋" w:eastAsia="仿宋_GB2312"/>
                <w:szCs w:val="21"/>
              </w:rPr>
              <w:t>到“两个维护”等方面还不能够完全融会贯通。</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88" w:hRule="atLeast"/>
        </w:trPr>
        <w:tc>
          <w:tcPr>
            <w:tcW w:w="5813" w:type="dxa"/>
            <w:vAlign w:val="center"/>
          </w:tcPr>
          <w:p>
            <w:pPr>
              <w:spacing w:line="220" w:lineRule="exact"/>
              <w:rPr>
                <w:rFonts w:hint="eastAsia" w:ascii="仿宋_GB2312" w:eastAsia="仿宋_GB2312"/>
                <w:color w:val="000000"/>
                <w:szCs w:val="21"/>
              </w:rPr>
            </w:pPr>
            <w:r>
              <w:rPr>
                <w:rFonts w:hint="eastAsia" w:ascii="仿宋_GB2312" w:hAnsi="仿宋" w:eastAsia="仿宋_GB2312"/>
                <w:szCs w:val="21"/>
              </w:rPr>
              <w:t xml:space="preserve">    背离党性，党内政治生活流于形式，与党貌合神离，表里不一，搞“两面派”，是“两面人”，纪律意识淡薄，理想信念丧失，放松政治理论学习和世界观改造，最终沦为欲望的奴隶；人生志趣低俗，不能抵御利益诱惑，甘于被“围猎”，丧失了党员干部最起码的人格、操守和底线。</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08" w:hRule="atLeast"/>
        </w:trPr>
        <w:tc>
          <w:tcPr>
            <w:tcW w:w="5813" w:type="dxa"/>
            <w:vAlign w:val="center"/>
          </w:tcPr>
          <w:p>
            <w:pPr>
              <w:spacing w:line="220" w:lineRule="exact"/>
              <w:rPr>
                <w:rFonts w:hint="eastAsia" w:ascii="仿宋_GB2312" w:eastAsia="仿宋_GB2312"/>
                <w:color w:val="000000"/>
                <w:szCs w:val="21"/>
              </w:rPr>
            </w:pPr>
            <w:r>
              <w:rPr>
                <w:rFonts w:hint="eastAsia" w:ascii="仿宋_GB2312" w:hAnsi="仿宋" w:eastAsia="仿宋_GB2312"/>
                <w:szCs w:val="21"/>
              </w:rPr>
              <w:t xml:space="preserve">    顶风违纪，对照孙弘颜等人多次收受下属单位、企业和个人的礼品、礼金、购物卡，把明显超出人情往来范围的收受行为视为理所当然；同企业老板、社会人员勾肩搭背、称兄道弟，违规出入私人会所和高档消费场所，造成不良影响后，仍然执意妄为；追求享乐奢靡，热衷于被企业老板鞍前马后、“贴心服务”，越陷越深，最终导致人仰马翻。</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72"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权力集中，对照孙弘颜等人有的既分管建设领域又分管财政工作，有的既是管委会领导又兼任下级重要部门“一把手”，分工不科学，权力缺乏有效制约；有的关键岗位人员长期不交流，权力固化，易成为“围猎”目标；有的从工程发包到项目验收，再到决算和拨款，由一人负责，缺乏制衡。</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06"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监管薄弱，有的工程质量监管存在空白点，项目建设质量不高，群众反映较强烈；有的工程款拨付不及时、不到位，随意性较强，人为因素影响较多；有的对项目服务单位评估不充分，外部监督缺位，领导决策主观性较强；有的初见苗头性问题时，没有被及时提醒告诫，导致久病难医。</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1"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制度松弛，有的工作程序不规范，招投标项目未招标先内定、先施工后招标，指定施工单位，后补招标手续；有的审批制度不完善，对通信基站建设、环卫保洁服务、社区物业管理等小型项目审批，集体研究机制流于形式，自由裁量空间较大；有的制度落实不到位，对企业选址、规划初审、土地出让等重点项目审批，未认真落实相应制度，关键岗位廉政风险较大。</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1"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责任缺失，落实全面从严治党责任，贯彻执行中央及省市委《党委（党组）落实全面从严治党主体责任规定》还不到位，对落实“一岗双责”缺乏更有针对性的措施。带头严守政治纪律和政治规矩，旗帜鲜明地批评和纠正违规违纪言行，锲而不舍落实中央八项规定精神和省市委实施办法，坚决反对形式主义、官僚主义，动真较真的硬气还不够，出现个别干部违规违纪现象。</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1" w:hRule="atLeast"/>
        </w:trPr>
        <w:tc>
          <w:tcPr>
            <w:tcW w:w="5813" w:type="dxa"/>
            <w:vAlign w:val="center"/>
          </w:tcPr>
          <w:p>
            <w:pPr>
              <w:spacing w:line="220" w:lineRule="exact"/>
              <w:ind w:firstLine="420" w:firstLineChars="200"/>
              <w:rPr>
                <w:rFonts w:hint="eastAsia" w:ascii="仿宋_GB2312" w:hAnsi="仿宋" w:eastAsia="仿宋_GB2312"/>
                <w:szCs w:val="21"/>
              </w:rPr>
            </w:pPr>
            <w:r>
              <w:rPr>
                <w:rFonts w:hint="eastAsia" w:ascii="仿宋_GB2312" w:hAnsi="仿宋" w:eastAsia="仿宋_GB2312"/>
                <w:szCs w:val="21"/>
              </w:rPr>
              <w:t>整改不实，对照中央、省市委巡视巡察反馈问题整改落实还不到位，对照反查、查漏补缺，举一反三、整改提高缺乏有效的流程、制度制约。在深挖其根源，持续巩固扩大整改成果，落实党委（工委）意识形态工作责任制，认真自查整改等方面需要进一步加大力度。</w:t>
            </w:r>
          </w:p>
        </w:tc>
        <w:tc>
          <w:tcPr>
            <w:tcW w:w="4819" w:type="dxa"/>
            <w:vAlign w:val="center"/>
          </w:tcPr>
          <w:p>
            <w:pPr>
              <w:rPr>
                <w:rFonts w:hint="eastAsia" w:ascii="仿宋_GB2312" w:eastAsia="仿宋_GB2312"/>
                <w:color w:val="000000"/>
                <w:sz w:val="32"/>
                <w:szCs w:val="32"/>
              </w:rPr>
            </w:pPr>
          </w:p>
        </w:tc>
      </w:tr>
    </w:tbl>
    <w:p>
      <w:pPr>
        <w:jc w:val="left"/>
        <w:rPr>
          <w:rFonts w:hint="eastAsia" w:ascii="仿宋_GB2312" w:eastAsia="仿宋_GB2312"/>
          <w:color w:val="000000"/>
          <w:szCs w:val="21"/>
        </w:rPr>
      </w:pPr>
      <w:r>
        <w:rPr>
          <w:rFonts w:hint="eastAsia" w:ascii="仿宋_GB2312" w:eastAsia="仿宋_GB2312"/>
          <w:color w:val="000000"/>
          <w:szCs w:val="21"/>
        </w:rPr>
        <w:t>注：此表填满后，可另加附页。</w:t>
      </w:r>
    </w:p>
    <w:p>
      <w:pPr>
        <w:rPr>
          <w:rFonts w:ascii="仿宋_GB2312" w:hAnsi="华文中宋" w:eastAsia="仿宋_GB2312"/>
          <w:color w:val="000000"/>
          <w:szCs w:val="21"/>
        </w:rPr>
      </w:pPr>
    </w:p>
    <w:p>
      <w:pPr>
        <w:rPr>
          <w:rFonts w:ascii="仿宋_GB2312" w:hAnsi="华文中宋" w:eastAsia="仿宋_GB2312"/>
          <w:color w:val="000000"/>
          <w:szCs w:val="21"/>
        </w:rPr>
      </w:pPr>
    </w:p>
    <w:p>
      <w:pPr>
        <w:rPr>
          <w:rFonts w:hint="eastAsia" w:ascii="仿宋_GB2312" w:hAnsi="华文中宋" w:eastAsia="仿宋_GB2312"/>
          <w:color w:val="000000"/>
          <w:szCs w:val="21"/>
        </w:rPr>
      </w:pPr>
      <w:r>
        <w:rPr>
          <w:rFonts w:hint="eastAsia" w:ascii="仿宋_GB2312" w:hAnsi="华文中宋" w:eastAsia="仿宋_GB2312"/>
          <w:color w:val="000000"/>
          <w:szCs w:val="21"/>
        </w:rPr>
        <w:t>附件5</w:t>
      </w:r>
    </w:p>
    <w:p>
      <w:pPr>
        <w:ind w:left="1280" w:hanging="1280" w:hangingChars="400"/>
        <w:rPr>
          <w:rFonts w:hint="eastAsia" w:ascii="黑体" w:hAnsi="黑体" w:eastAsia="黑体"/>
          <w:color w:val="000000"/>
          <w:sz w:val="32"/>
          <w:szCs w:val="32"/>
        </w:rPr>
      </w:pPr>
      <w:r>
        <w:rPr>
          <w:rFonts w:hint="eastAsia" w:ascii="黑体" w:hAnsi="黑体" w:eastAsia="黑体"/>
          <w:color w:val="000000"/>
          <w:sz w:val="32"/>
          <w:szCs w:val="32"/>
        </w:rPr>
        <w:t>汽开区各部门（单位）班子成员以孙弘颜等案件为鉴以案促改专题民主生活会和组织生活会征求意见表</w:t>
      </w:r>
    </w:p>
    <w:p>
      <w:pPr>
        <w:jc w:val="left"/>
        <w:rPr>
          <w:rFonts w:hint="eastAsia" w:ascii="黑体" w:hAnsi="黑体" w:eastAsia="黑体"/>
          <w:color w:val="000000"/>
          <w:sz w:val="28"/>
          <w:szCs w:val="28"/>
        </w:rPr>
      </w:pPr>
      <w:r>
        <w:rPr>
          <w:rFonts w:hint="eastAsia" w:ascii="仿宋_GB2312" w:eastAsia="仿宋_GB2312"/>
          <w:color w:val="000000"/>
          <w:sz w:val="28"/>
          <w:szCs w:val="28"/>
        </w:rPr>
        <w:t>姓名：</w:t>
      </w:r>
    </w:p>
    <w:tbl>
      <w:tblPr>
        <w:tblStyle w:val="2"/>
        <w:tblW w:w="10632" w:type="dxa"/>
        <w:tblInd w:w="-885"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813"/>
        <w:gridCol w:w="481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8" w:hRule="atLeast"/>
        </w:trPr>
        <w:tc>
          <w:tcPr>
            <w:tcW w:w="5813" w:type="dxa"/>
            <w:vAlign w:val="center"/>
          </w:tcPr>
          <w:p>
            <w:pPr>
              <w:jc w:val="center"/>
              <w:rPr>
                <w:rFonts w:hint="eastAsia" w:ascii="黑体" w:eastAsia="黑体"/>
                <w:color w:val="000000"/>
                <w:sz w:val="32"/>
                <w:szCs w:val="32"/>
              </w:rPr>
            </w:pPr>
            <w:r>
              <w:rPr>
                <w:rFonts w:hint="eastAsia" w:ascii="黑体" w:eastAsia="黑体"/>
                <w:color w:val="000000"/>
                <w:sz w:val="32"/>
                <w:szCs w:val="32"/>
              </w:rPr>
              <w:t>征求意见的主要方面</w:t>
            </w:r>
          </w:p>
        </w:tc>
        <w:tc>
          <w:tcPr>
            <w:tcW w:w="4819" w:type="dxa"/>
            <w:vAlign w:val="center"/>
          </w:tcPr>
          <w:p>
            <w:pPr>
              <w:spacing w:line="480" w:lineRule="exact"/>
              <w:jc w:val="center"/>
              <w:rPr>
                <w:rFonts w:hint="eastAsia" w:ascii="黑体" w:eastAsia="黑体"/>
                <w:color w:val="000000"/>
                <w:sz w:val="32"/>
                <w:szCs w:val="32"/>
              </w:rPr>
            </w:pPr>
            <w:r>
              <w:rPr>
                <w:rFonts w:hint="eastAsia" w:ascii="黑体" w:eastAsia="黑体"/>
                <w:color w:val="000000"/>
                <w:sz w:val="32"/>
                <w:szCs w:val="32"/>
              </w:rPr>
              <w:t>意见建议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56" w:hRule="atLeast"/>
        </w:trPr>
        <w:tc>
          <w:tcPr>
            <w:tcW w:w="5813" w:type="dxa"/>
            <w:vAlign w:val="center"/>
          </w:tcPr>
          <w:p>
            <w:pPr>
              <w:spacing w:line="220" w:lineRule="exact"/>
              <w:rPr>
                <w:rFonts w:hint="eastAsia" w:ascii="仿宋_GB2312" w:eastAsia="仿宋_GB2312"/>
                <w:szCs w:val="21"/>
              </w:rPr>
            </w:pPr>
            <w:r>
              <w:rPr>
                <w:rFonts w:hint="eastAsia" w:ascii="仿宋_GB2312" w:hAnsi="仿宋" w:eastAsia="仿宋_GB2312"/>
                <w:szCs w:val="21"/>
              </w:rPr>
              <w:t xml:space="preserve">    浮在面上，理论学习还不到位，特别是在学懂弄通做实习近平新时代中国特色社会主义思想，把握正确政治方向，提高政治能力，增强</w:t>
            </w:r>
            <w:r>
              <w:rPr>
                <w:rFonts w:hint="eastAsia" w:ascii="仿宋_GB2312" w:hAnsi="仿宋" w:eastAsia="仿宋_GB2312"/>
                <w:szCs w:val="21"/>
                <w:lang w:val="zh-CN"/>
              </w:rPr>
              <w:t>“四</w:t>
            </w:r>
            <w:r>
              <w:rPr>
                <w:rFonts w:hint="eastAsia" w:ascii="仿宋_GB2312" w:hAnsi="仿宋" w:eastAsia="仿宋_GB2312"/>
                <w:szCs w:val="21"/>
              </w:rPr>
              <w:t>个意识</w:t>
            </w:r>
            <w:r>
              <w:rPr>
                <w:rFonts w:hint="eastAsia" w:ascii="仿宋_GB2312" w:hAnsi="仿宋" w:eastAsia="仿宋_GB2312"/>
                <w:szCs w:val="21"/>
                <w:lang w:val="zh-CN"/>
              </w:rPr>
              <w:t>”、坚</w:t>
            </w:r>
            <w:r>
              <w:rPr>
                <w:rFonts w:hint="eastAsia" w:ascii="仿宋_GB2312" w:hAnsi="仿宋" w:eastAsia="仿宋_GB2312"/>
                <w:szCs w:val="21"/>
              </w:rPr>
              <w:t>定“四个自信</w:t>
            </w:r>
            <w:r>
              <w:rPr>
                <w:rFonts w:hint="eastAsia" w:ascii="仿宋_GB2312" w:hAnsi="仿宋" w:eastAsia="仿宋_GB2312"/>
                <w:szCs w:val="21"/>
                <w:lang w:val="zh-CN"/>
              </w:rPr>
              <w:t>”、做</w:t>
            </w:r>
            <w:r>
              <w:rPr>
                <w:rFonts w:hint="eastAsia" w:ascii="仿宋_GB2312" w:hAnsi="仿宋" w:eastAsia="仿宋_GB2312"/>
                <w:szCs w:val="21"/>
              </w:rPr>
              <w:t>到“两个维护”等方面还不能够完全融会贯通。</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88" w:hRule="atLeast"/>
        </w:trPr>
        <w:tc>
          <w:tcPr>
            <w:tcW w:w="5813" w:type="dxa"/>
            <w:vAlign w:val="center"/>
          </w:tcPr>
          <w:p>
            <w:pPr>
              <w:spacing w:line="220" w:lineRule="exact"/>
              <w:rPr>
                <w:rFonts w:hint="eastAsia" w:ascii="仿宋_GB2312" w:eastAsia="仿宋_GB2312"/>
                <w:color w:val="000000"/>
                <w:szCs w:val="21"/>
              </w:rPr>
            </w:pPr>
            <w:r>
              <w:rPr>
                <w:rFonts w:hint="eastAsia" w:ascii="仿宋_GB2312" w:hAnsi="仿宋" w:eastAsia="仿宋_GB2312"/>
                <w:szCs w:val="21"/>
              </w:rPr>
              <w:t xml:space="preserve">    背离党性，党内政治生活流于形式，与党貌合神离，表里不一，搞“两面派”，是“两面人”，纪律意识淡薄，理想信念丧失，放松政治理论学习和世界观改造，最终沦为欲望的奴隶；人生志趣低俗，不能抵御利益诱惑，甘于被“围猎”，丧失了党员干部最起码的人格、操守和底线。。</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08" w:hRule="atLeast"/>
        </w:trPr>
        <w:tc>
          <w:tcPr>
            <w:tcW w:w="5813" w:type="dxa"/>
            <w:vAlign w:val="center"/>
          </w:tcPr>
          <w:p>
            <w:pPr>
              <w:spacing w:line="220" w:lineRule="exact"/>
              <w:rPr>
                <w:rFonts w:hint="eastAsia" w:ascii="仿宋_GB2312" w:eastAsia="仿宋_GB2312"/>
                <w:color w:val="000000"/>
                <w:szCs w:val="21"/>
              </w:rPr>
            </w:pPr>
            <w:r>
              <w:rPr>
                <w:rFonts w:hint="eastAsia" w:ascii="仿宋_GB2312" w:hAnsi="仿宋" w:eastAsia="仿宋_GB2312"/>
                <w:szCs w:val="21"/>
              </w:rPr>
              <w:t xml:space="preserve">    顶风违纪，对照孙弘颜等人多次收受下属单位、企业和个人的礼品、礼金、购物卡，把明显超出人情往来范围的收受行为视为理所当然；同企业老板、社会人员勾肩搭背、称兄道弟，违规出入私人会所和高档消费场所，造成不良影响后，仍然执意妄为；追求享乐奢靡，热衷于被企业老板鞍前马后、“贴心服务”，越陷越深，最终导致人仰马翻。</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72"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权力集中，对照孙弘颜等人有的既分管建设领域又分管财政工作，有的既是管委会领导又兼任下级重要部门“一把手”，分工不科学，权力缺乏有效制约；有的关键岗位人员长期不交流，权力固化，易成为“围猎”目标；有的从工程发包到项目验收，再到决算和拨款，由一人负责，缺乏制衡。</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06"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监管薄弱，有的工程质量监管存在空白点，项目建设质量不高，群众反映较强烈；有的工程款拨付不及时、不到位，随意性较强，人为因素影响较多；有的对项目服务单位评估不充分，外部监督缺位，领导决策主观性较强；有的初见苗头性问题时，没有被及时提醒告诫，导致久病难医。</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1"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制度松弛，有的工作程序不规范，招投标项目未招标先内定、先施工后招标，指定施工单位，后补招标手续；有的审批制度不完善，对通信基站建设、环卫保洁服务、社区物业管理等小型项目审批，集体研究机制流于形式，自由裁量空间较大；有的制度落实不到位，对企业选址、规划初审、土地出让等重点项目审批，未认真落实相应制度，关键岗位廉政风险较大。</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1" w:hRule="atLeast"/>
        </w:trPr>
        <w:tc>
          <w:tcPr>
            <w:tcW w:w="5813" w:type="dxa"/>
            <w:vAlign w:val="center"/>
          </w:tcPr>
          <w:p>
            <w:pPr>
              <w:spacing w:line="220" w:lineRule="exact"/>
              <w:ind w:firstLine="420" w:firstLineChars="200"/>
              <w:rPr>
                <w:rFonts w:hint="eastAsia" w:ascii="仿宋_GB2312" w:eastAsia="仿宋_GB2312"/>
                <w:color w:val="000000"/>
                <w:szCs w:val="21"/>
              </w:rPr>
            </w:pPr>
            <w:r>
              <w:rPr>
                <w:rFonts w:hint="eastAsia" w:ascii="仿宋_GB2312" w:hAnsi="仿宋" w:eastAsia="仿宋_GB2312"/>
                <w:szCs w:val="21"/>
              </w:rPr>
              <w:t>责任缺失，落实全面从严治党责任，贯彻执行中央及省市委《党委（党组）落实全面从严治党主体责任规定》还不到位，对落实“一岗双责”缺乏更有针对性的措施。带头严守政治纪律和政治规矩，旗帜鲜明地批评和纠正违规违纪言行，锲而不舍落实中央八项规定精神和省市委实施办法，坚决反对形式主义、官僚主义，动真较真的硬气还不够，出现个别干部违规违纪现象。</w:t>
            </w:r>
          </w:p>
        </w:tc>
        <w:tc>
          <w:tcPr>
            <w:tcW w:w="4819" w:type="dxa"/>
            <w:vAlign w:val="center"/>
          </w:tcPr>
          <w:p>
            <w:pPr>
              <w:rPr>
                <w:rFonts w:hint="eastAsia" w:ascii="仿宋_GB2312" w:eastAsia="仿宋_GB2312"/>
                <w:color w:val="000000"/>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81" w:hRule="atLeast"/>
        </w:trPr>
        <w:tc>
          <w:tcPr>
            <w:tcW w:w="5813" w:type="dxa"/>
            <w:vAlign w:val="center"/>
          </w:tcPr>
          <w:p>
            <w:pPr>
              <w:spacing w:line="220" w:lineRule="exact"/>
              <w:ind w:firstLine="420" w:firstLineChars="200"/>
              <w:rPr>
                <w:rFonts w:hint="eastAsia" w:ascii="仿宋_GB2312" w:hAnsi="仿宋" w:eastAsia="仿宋_GB2312"/>
                <w:szCs w:val="21"/>
              </w:rPr>
            </w:pPr>
            <w:r>
              <w:rPr>
                <w:rFonts w:hint="eastAsia" w:ascii="仿宋_GB2312" w:hAnsi="仿宋" w:eastAsia="仿宋_GB2312"/>
                <w:szCs w:val="21"/>
              </w:rPr>
              <w:t>整改不实，对照中央、省市委巡视巡察反馈问题整改落实还不到位，对照反查、查漏补缺，举一反三、整改提高缺乏有效的流程、制度制约。在深挖其根源，持续巩固扩大整改成果，落实党委（工委）意识形态工作责任制，认真自查整改等方面需要进一步加大力度。</w:t>
            </w:r>
          </w:p>
        </w:tc>
        <w:tc>
          <w:tcPr>
            <w:tcW w:w="4819" w:type="dxa"/>
            <w:vAlign w:val="center"/>
          </w:tcPr>
          <w:p>
            <w:pPr>
              <w:rPr>
                <w:rFonts w:hint="eastAsia" w:ascii="仿宋_GB2312" w:eastAsia="仿宋_GB2312"/>
                <w:color w:val="000000"/>
                <w:sz w:val="32"/>
                <w:szCs w:val="32"/>
              </w:rPr>
            </w:pPr>
          </w:p>
        </w:tc>
      </w:tr>
    </w:tbl>
    <w:p>
      <w:pPr>
        <w:rPr>
          <w:rFonts w:ascii="仿宋_GB2312" w:eastAsia="仿宋_GB2312"/>
          <w:color w:val="000000"/>
          <w:szCs w:val="21"/>
        </w:rPr>
      </w:pPr>
      <w:r>
        <w:rPr>
          <w:rFonts w:hint="eastAsia" w:ascii="仿宋_GB2312" w:eastAsia="仿宋_GB2312"/>
          <w:color w:val="000000"/>
          <w:szCs w:val="21"/>
        </w:rPr>
        <w:t>注：此表填满后，可另加附页。</w:t>
      </w:r>
    </w:p>
    <w:p>
      <w:pPr>
        <w:spacing w:line="540" w:lineRule="exac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93"/>
    <w:rsid w:val="001C6793"/>
    <w:rsid w:val="006800DF"/>
    <w:rsid w:val="245164FF"/>
    <w:rsid w:val="25500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840</Words>
  <Characters>4789</Characters>
  <Lines>39</Lines>
  <Paragraphs>11</Paragraphs>
  <TotalTime>4</TotalTime>
  <ScaleCrop>false</ScaleCrop>
  <LinksUpToDate>false</LinksUpToDate>
  <CharactersWithSpaces>5618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2021-07-19T09:26:00Z</dcterms:created>
  <dc:creator>1</dc:creator>
  <cp:lastModifiedBy>若兰</cp:lastModifiedBy>
  <dcterms:modified xsi:type="dcterms:W3CDTF">2021-07-20T02:49:07Z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C7B18928C2C340BDB57C66CFEDA76C17</vt:lpwstr>
  </property>
</Properties>
</file>