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方正小标宋_GBK"/>
          <w:sz w:val="44"/>
          <w:szCs w:val="44"/>
          <w:lang w:val="en-US" w:eastAsia="zh-CN"/>
        </w:rPr>
      </w:pPr>
      <w:bookmarkStart w:id="0" w:name="_GoBack"/>
      <w:r>
        <w:rPr>
          <w:rFonts w:hint="eastAsia" w:ascii="Times New Roman" w:hAnsi="Times New Roman" w:eastAsia="方正小标宋_GBK" w:cs="方正小标宋_GBK"/>
          <w:sz w:val="44"/>
          <w:szCs w:val="44"/>
          <w:lang w:val="en-US" w:eastAsia="zh-CN"/>
        </w:rPr>
        <w:t>2023年财政局工作计划</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第一，聚焦扩大内需，着力支持经济恢复向好。支持市场主体减轻税费负担，</w:t>
      </w:r>
      <w:r>
        <w:rPr>
          <w:rFonts w:hint="eastAsia" w:ascii="Times New Roman" w:hAnsi="Times New Roman" w:eastAsia="仿宋_GB2312" w:cs="仿宋_GB2312"/>
          <w:color w:val="000000" w:themeColor="text1"/>
          <w:sz w:val="32"/>
          <w:szCs w:val="32"/>
          <w14:textFill>
            <w14:solidFill>
              <w14:schemeClr w14:val="tx1"/>
            </w14:solidFill>
          </w14:textFill>
        </w:rPr>
        <w:t>落实国家减税降费部署，延续和调整相关税费政策，优化各项税费支持政策的落实机制，突出对中小微企业、个体工商户以及特困行业的支持，促进企业转型升级和提升创新能力。</w:t>
      </w:r>
      <w:r>
        <w:rPr>
          <w:rFonts w:hint="eastAsia" w:ascii="Times New Roman" w:hAnsi="Times New Roman" w:eastAsia="仿宋_GB2312" w:cs="仿宋_GB2312"/>
          <w:b/>
          <w:bCs/>
          <w:color w:val="000000" w:themeColor="text1"/>
          <w:sz w:val="32"/>
          <w:szCs w:val="32"/>
          <w14:textFill>
            <w14:solidFill>
              <w14:schemeClr w14:val="tx1"/>
            </w14:solidFill>
          </w14:textFill>
        </w:rPr>
        <w:t>发挥好专项债券对扩大有效投资的拉动作用，</w:t>
      </w:r>
      <w:r>
        <w:rPr>
          <w:rFonts w:hint="eastAsia" w:ascii="Times New Roman" w:hAnsi="Times New Roman" w:eastAsia="仿宋_GB2312" w:cs="仿宋_GB2312"/>
          <w:color w:val="000000" w:themeColor="text1"/>
          <w:sz w:val="32"/>
          <w:szCs w:val="32"/>
          <w14:textFill>
            <w14:solidFill>
              <w14:schemeClr w14:val="tx1"/>
            </w14:solidFill>
          </w14:textFill>
        </w:rPr>
        <w:t>科学合理安排专项债券，优先支持成熟度高、效益好、前期准备充分的项目，加快发行及拨付使用进度，持续形成实物工作量，有效拉动投资。</w:t>
      </w:r>
      <w:r>
        <w:rPr>
          <w:rFonts w:hint="eastAsia" w:ascii="Times New Roman" w:hAnsi="Times New Roman" w:eastAsia="仿宋_GB2312" w:cs="仿宋_GB2312"/>
          <w:b/>
          <w:bCs/>
          <w:color w:val="000000" w:themeColor="text1"/>
          <w:sz w:val="32"/>
          <w:szCs w:val="32"/>
          <w14:textFill>
            <w14:solidFill>
              <w14:schemeClr w14:val="tx1"/>
            </w14:solidFill>
          </w14:textFill>
        </w:rPr>
        <w:t>支持促进消费潜力释放，</w:t>
      </w:r>
      <w:r>
        <w:rPr>
          <w:rFonts w:hint="eastAsia" w:ascii="Times New Roman" w:hAnsi="Times New Roman" w:eastAsia="仿宋_GB2312" w:cs="仿宋_GB2312"/>
          <w:color w:val="000000" w:themeColor="text1"/>
          <w:sz w:val="32"/>
          <w:szCs w:val="32"/>
          <w14:textFill>
            <w14:solidFill>
              <w14:schemeClr w14:val="tx1"/>
            </w14:solidFill>
          </w14:textFill>
        </w:rPr>
        <w:t>继续安排支持商业文旅消费、新能源汽车推广、人才购房、服务业发展等奖补资金，促进消费全面复苏。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第二，聚焦人民至上，着力保障和改善民生。支持办好民生实事，</w:t>
      </w:r>
      <w:r>
        <w:rPr>
          <w:rFonts w:hint="eastAsia" w:ascii="Times New Roman" w:hAnsi="Times New Roman" w:eastAsia="仿宋_GB2312" w:cs="仿宋_GB2312"/>
          <w:color w:val="000000" w:themeColor="text1"/>
          <w:sz w:val="32"/>
          <w:szCs w:val="32"/>
          <w14:textFill>
            <w14:solidFill>
              <w14:schemeClr w14:val="tx1"/>
            </w14:solidFill>
          </w14:textFill>
        </w:rPr>
        <w:t>坚持尽力而为、量力而行。</w:t>
      </w:r>
      <w:r>
        <w:rPr>
          <w:rFonts w:hint="eastAsia" w:ascii="Times New Roman" w:hAnsi="Times New Roman" w:eastAsia="仿宋_GB2312" w:cs="仿宋_GB2312"/>
          <w:b/>
          <w:bCs/>
          <w:color w:val="000000" w:themeColor="text1"/>
          <w:sz w:val="32"/>
          <w:szCs w:val="32"/>
          <w14:textFill>
            <w14:solidFill>
              <w14:schemeClr w14:val="tx1"/>
            </w14:solidFill>
          </w14:textFill>
        </w:rPr>
        <w:t>促进教育公平与质量提升，</w:t>
      </w:r>
      <w:r>
        <w:rPr>
          <w:rFonts w:hint="eastAsia" w:ascii="Times New Roman" w:hAnsi="Times New Roman" w:eastAsia="仿宋_GB2312" w:cs="仿宋_GB2312"/>
          <w:color w:val="000000" w:themeColor="text1"/>
          <w:sz w:val="32"/>
          <w:szCs w:val="32"/>
          <w14:textFill>
            <w14:solidFill>
              <w14:schemeClr w14:val="tx1"/>
            </w14:solidFill>
          </w14:textFill>
        </w:rPr>
        <w:t>促进提升各学段办学条件和师资水平。</w:t>
      </w:r>
      <w:r>
        <w:rPr>
          <w:rFonts w:hint="eastAsia" w:ascii="Times New Roman" w:hAnsi="Times New Roman" w:eastAsia="仿宋_GB2312" w:cs="仿宋_GB2312"/>
          <w:b/>
          <w:bCs/>
          <w:color w:val="000000" w:themeColor="text1"/>
          <w:sz w:val="32"/>
          <w:szCs w:val="32"/>
          <w14:textFill>
            <w14:solidFill>
              <w14:schemeClr w14:val="tx1"/>
            </w14:solidFill>
          </w14:textFill>
        </w:rPr>
        <w:t>支持稳定扩大就业，</w:t>
      </w:r>
      <w:r>
        <w:rPr>
          <w:rFonts w:hint="eastAsia" w:ascii="Times New Roman" w:hAnsi="Times New Roman" w:eastAsia="仿宋_GB2312" w:cs="仿宋_GB2312"/>
          <w:color w:val="000000" w:themeColor="text1"/>
          <w:sz w:val="32"/>
          <w:szCs w:val="32"/>
          <w14:textFill>
            <w14:solidFill>
              <w14:schemeClr w14:val="tx1"/>
            </w14:solidFill>
          </w14:textFill>
        </w:rPr>
        <w:t>多渠道筹措资金，支持稳岗扩岗、创业就业、多层次职业技能培训，加强就业公共服务体系建设，确保就业优先政策落地见效。</w:t>
      </w:r>
      <w:r>
        <w:rPr>
          <w:rFonts w:hint="eastAsia" w:ascii="Times New Roman" w:hAnsi="Times New Roman" w:eastAsia="仿宋_GB2312" w:cs="仿宋_GB2312"/>
          <w:b/>
          <w:bCs/>
          <w:color w:val="000000" w:themeColor="text1"/>
          <w:sz w:val="32"/>
          <w:szCs w:val="32"/>
          <w14:textFill>
            <w14:solidFill>
              <w14:schemeClr w14:val="tx1"/>
            </w14:solidFill>
          </w14:textFill>
        </w:rPr>
        <w:t>加大困难群众救助资金投入力度，支持提升医疗卫生服务水平，</w:t>
      </w:r>
      <w:r>
        <w:rPr>
          <w:rFonts w:hint="eastAsia" w:ascii="Times New Roman" w:hAnsi="Times New Roman" w:eastAsia="仿宋_GB2312" w:cs="仿宋_GB2312"/>
          <w:color w:val="000000" w:themeColor="text1"/>
          <w:sz w:val="32"/>
          <w:szCs w:val="32"/>
          <w14:textFill>
            <w14:solidFill>
              <w14:schemeClr w14:val="tx1"/>
            </w14:solidFill>
          </w14:textFill>
        </w:rPr>
        <w:t>根据疫情防控形势变化，通过预算新增安排、调整现有结构、争取省市支持等方式筹措资金，落实疫情防控相关补助政策，重点支持公共卫生机构及基层医疗卫生机构等加强救治能力建设，补齐疫情防治短板。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第三，聚焦安全发展，着力防范化解财政领域风险。</w:t>
      </w:r>
      <w:r>
        <w:rPr>
          <w:rFonts w:hint="eastAsia" w:ascii="Times New Roman" w:hAnsi="Times New Roman" w:eastAsia="仿宋_GB2312" w:cs="仿宋_GB2312"/>
          <w:color w:val="000000" w:themeColor="text1"/>
          <w:sz w:val="32"/>
          <w:szCs w:val="32"/>
          <w14:textFill>
            <w14:solidFill>
              <w14:schemeClr w14:val="tx1"/>
            </w14:solidFill>
          </w14:textFill>
        </w:rPr>
        <w:t>强化地方政府债务风险防范化解措施，合理把握全区新增政府债务规模。统筹资金资源化解存量隐性债务。加强对专项债项目收益的审核把关和常态化风险监控，健全项目管理机制，按时足额还本付息，确保法定债券不出任何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第四，聚焦改革创新，着力提升现代财政管理水平。</w:t>
      </w:r>
      <w:r>
        <w:rPr>
          <w:rFonts w:hint="eastAsia" w:ascii="Times New Roman" w:hAnsi="Times New Roman" w:eastAsia="仿宋_GB2312" w:cs="仿宋_GB2312"/>
          <w:color w:val="000000" w:themeColor="text1"/>
          <w:sz w:val="32"/>
          <w:szCs w:val="32"/>
          <w14:textFill>
            <w14:solidFill>
              <w14:schemeClr w14:val="tx1"/>
            </w14:solidFill>
          </w14:textFill>
        </w:rPr>
        <w:t>完善预算管理制度，加强财政承受能力评估。加强预算绩效管理及应用。将政府债务、资产、绩效等业务逐步纳入预算管理一体化系统。统筹协调财政库款管理、政府债券发行与国库现金运作，进一步盘活财政间歇性资金，提高财政资金管理效益、控制财政筹资成本。</w:t>
      </w:r>
      <w:r>
        <w:rPr>
          <w:rFonts w:hint="eastAsia" w:ascii="Times New Roman" w:hAnsi="Times New Roman" w:eastAsia="仿宋_GB2312" w:cs="仿宋_GB2312"/>
          <w:b/>
          <w:bCs/>
          <w:color w:val="000000" w:themeColor="text1"/>
          <w:sz w:val="32"/>
          <w:szCs w:val="32"/>
          <w14:textFill>
            <w14:solidFill>
              <w14:schemeClr w14:val="tx1"/>
            </w14:solidFill>
          </w14:textFill>
        </w:rPr>
        <w:t>持续落实政府过紧日子要求，</w:t>
      </w:r>
      <w:r>
        <w:rPr>
          <w:rFonts w:hint="eastAsia" w:ascii="Times New Roman" w:hAnsi="Times New Roman" w:eastAsia="仿宋_GB2312" w:cs="仿宋_GB2312"/>
          <w:color w:val="000000" w:themeColor="text1"/>
          <w:sz w:val="32"/>
          <w:szCs w:val="32"/>
          <w14:textFill>
            <w14:solidFill>
              <w14:schemeClr w14:val="tx1"/>
            </w14:solidFill>
          </w14:textFill>
        </w:rPr>
        <w:t>大力压减非重点、非刚性、非急需支出，从严控制一般性支出，严禁建设政绩工程、形象工程。“三公”经费实际 执行要做到比上年“只减不增”。加强财会监督，健全财会监督体系和工作机制，聚焦重大财税政策落实、加强财政预算管理以及地方政府新增债券资金等重点资金的管理使用情况监督。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第五，聚焦金融服务，着力服务实体经济、防范金融风险。</w:t>
      </w:r>
      <w:r>
        <w:rPr>
          <w:rFonts w:hint="eastAsia" w:ascii="Times New Roman" w:hAnsi="Times New Roman" w:eastAsia="仿宋_GB2312" w:cs="仿宋_GB2312"/>
          <w:color w:val="000000" w:themeColor="text1"/>
          <w:sz w:val="32"/>
          <w:szCs w:val="32"/>
          <w14:textFill>
            <w14:solidFill>
              <w14:schemeClr w14:val="tx1"/>
            </w14:solidFill>
          </w14:textFill>
        </w:rPr>
        <w:t>为经济平稳较快发展扩宽融资渠道，保障企业融资需求，发展多层次资本市场体系，拓展直接融资手段、促进民间投资的运用。持续推动区内企业上市挂牌工作。加大区内企业上市培育力度，做好企业上市辅导备案和验收工作，引导拟上市公司建立健全法人治理结构并有效运行，从源头上提高上市公司质量。抓好金融宣传引导工作，利用传统媒体和新兴媒体渠道，加强街道网格长非法集资相关教育疏导，充分发挥基层力量，加大对金融助企行动、非法集资、乱象整治等工作的宣传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ZWE2YzFiY2QzMDE5NjIxMGI1NmM0YTJjN2JjY2YifQ=="/>
  </w:docVars>
  <w:rsids>
    <w:rsidRoot w:val="08640725"/>
    <w:rsid w:val="08640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2023-12-27T08:37:00Z</dcterms:created>
  <dc:creator>小小小茗</dc:creator>
  <cp:lastModifiedBy>小小小茗</cp:lastModifiedBy>
  <dcterms:modified xsi:type="dcterms:W3CDTF">2023-12-27T08:44:10Z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2BE83CF3E97A4659B114699F33791D25_11</vt:lpwstr>
  </property>
</Properties>
</file>