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sz w:val="24"/>
        </w:rPr>
      </w:pPr>
      <w:r>
        <w:rPr>
          <w:rFonts w:hint="eastAsia" w:ascii="宋体" w:hAnsi="宋体"/>
          <w:sz w:val="24"/>
        </w:rPr>
        <w:t>附件1：(参考)</w:t>
      </w:r>
    </w:p>
    <w:p>
      <w:pPr>
        <w:rPr>
          <w:rFonts w:hint="eastAsia"/>
        </w:rPr>
      </w:pPr>
    </w:p>
    <w:p>
      <w:pPr>
        <w:rPr>
          <w:rFonts w:hint="eastAsia"/>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宋体" w:hAnsi="宋体" w:cs="Arial"/>
          <w:sz w:val="44"/>
          <w:szCs w:val="44"/>
        </w:rPr>
        <w:t>2021年</w:t>
      </w:r>
      <w:r>
        <w:rPr>
          <w:rFonts w:ascii="Arial" w:hAnsi="Arial" w:eastAsia="方正小标宋简体" w:cs="Arial"/>
          <w:sz w:val="44"/>
          <w:szCs w:val="44"/>
        </w:rPr>
        <w:t>度</w:t>
      </w:r>
    </w:p>
    <w:p>
      <w:pPr>
        <w:jc w:val="center"/>
        <w:rPr>
          <w:rFonts w:ascii="Arial" w:hAnsi="Arial" w:cs="Arial"/>
        </w:rPr>
      </w:pPr>
    </w:p>
    <w:p>
      <w:pPr>
        <w:jc w:val="center"/>
        <w:rPr>
          <w:rFonts w:ascii="Arial" w:hAnsi="Arial" w:eastAsia="方正小标宋简体" w:cs="Arial"/>
          <w:sz w:val="44"/>
          <w:szCs w:val="44"/>
        </w:rPr>
      </w:pPr>
      <w:r>
        <w:rPr>
          <w:rFonts w:hint="eastAsia" w:ascii="Arial" w:hAnsi="Arial" w:eastAsia="方正小标宋简体" w:cs="Arial"/>
          <w:sz w:val="44"/>
          <w:szCs w:val="44"/>
          <w:lang w:val="en-US" w:eastAsia="zh-CN"/>
        </w:rPr>
        <w:t>长春市南关区审计局</w:t>
      </w:r>
      <w:r>
        <w:rPr>
          <w:rFonts w:ascii="Arial" w:hAnsi="Arial" w:eastAsia="方正小标宋简体" w:cs="Arial"/>
          <w:sz w:val="44"/>
          <w:szCs w:val="44"/>
        </w:rPr>
        <w:t>部门决算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宋体" w:hAnsi="宋体" w:cs="Arial"/>
          <w:sz w:val="44"/>
          <w:szCs w:val="44"/>
        </w:rPr>
      </w:pPr>
      <w:r>
        <w:rPr>
          <w:rFonts w:ascii="宋体" w:hAnsi="宋体" w:cs="Arial"/>
          <w:sz w:val="44"/>
          <w:szCs w:val="44"/>
        </w:rPr>
        <w:t>2022</w:t>
      </w:r>
      <w:r>
        <w:rPr>
          <w:rFonts w:hint="eastAsia" w:ascii="仿宋_GB2312" w:hAnsi="宋体" w:eastAsia="仿宋_GB2312" w:cs="Arial"/>
          <w:sz w:val="44"/>
          <w:szCs w:val="44"/>
        </w:rPr>
        <w:t xml:space="preserve">年 </w:t>
      </w:r>
      <w:r>
        <w:rPr>
          <w:rFonts w:hint="eastAsia" w:ascii="仿宋_GB2312" w:hAnsi="宋体" w:eastAsia="仿宋_GB2312" w:cs="Arial"/>
          <w:sz w:val="44"/>
          <w:szCs w:val="44"/>
          <w:lang w:val="en-US" w:eastAsia="zh-CN"/>
        </w:rPr>
        <w:t>9</w:t>
      </w:r>
      <w:r>
        <w:rPr>
          <w:rFonts w:hint="eastAsia" w:ascii="仿宋_GB2312" w:hAnsi="宋体" w:eastAsia="仿宋_GB2312" w:cs="Arial"/>
          <w:sz w:val="44"/>
          <w:szCs w:val="44"/>
        </w:rPr>
        <w:t xml:space="preserve"> 月 </w:t>
      </w:r>
      <w:r>
        <w:rPr>
          <w:rFonts w:hint="eastAsia" w:ascii="仿宋_GB2312" w:hAnsi="宋体" w:eastAsia="仿宋_GB2312" w:cs="Arial"/>
          <w:sz w:val="44"/>
          <w:szCs w:val="44"/>
          <w:lang w:val="en-US" w:eastAsia="zh-CN"/>
        </w:rPr>
        <w:t>13</w:t>
      </w:r>
      <w:r>
        <w:rPr>
          <w:rFonts w:hint="eastAsia" w:ascii="仿宋_GB2312" w:hAnsi="宋体" w:eastAsia="仿宋_GB2312" w:cs="Arial"/>
          <w:sz w:val="44"/>
          <w:szCs w:val="44"/>
        </w:rPr>
        <w:t xml:space="preserve"> 日</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hint="eastAsia" w:ascii="仿宋" w:hAnsi="仿宋" w:eastAsia="仿宋"/>
          <w:sz w:val="32"/>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目   录</w:t>
      </w:r>
    </w:p>
    <w:p>
      <w:pPr>
        <w:rPr>
          <w:rFonts w:hint="eastAsia" w:ascii="黑体" w:hAnsi="黑体" w:eastAsia="黑体"/>
          <w:sz w:val="32"/>
        </w:rPr>
      </w:pPr>
    </w:p>
    <w:p>
      <w:pPr>
        <w:rPr>
          <w:rFonts w:hint="eastAsia" w:ascii="黑体" w:hAnsi="黑体" w:eastAsia="黑体"/>
          <w:sz w:val="32"/>
        </w:rPr>
      </w:pPr>
      <w:r>
        <w:rPr>
          <w:rFonts w:hint="eastAsia" w:ascii="黑体" w:hAnsi="黑体" w:eastAsia="黑体"/>
          <w:sz w:val="32"/>
        </w:rPr>
        <w:t>第一部分  部门概况</w:t>
      </w:r>
    </w:p>
    <w:p>
      <w:pPr>
        <w:rPr>
          <w:rFonts w:hint="eastAsia" w:ascii="仿宋" w:hAnsi="仿宋" w:eastAsia="仿宋"/>
          <w:sz w:val="32"/>
        </w:rPr>
      </w:pPr>
      <w:r>
        <w:rPr>
          <w:rFonts w:hint="eastAsia" w:ascii="仿宋" w:hAnsi="仿宋" w:eastAsia="仿宋"/>
          <w:sz w:val="32"/>
        </w:rPr>
        <w:t>一、部门职责</w:t>
      </w:r>
    </w:p>
    <w:p>
      <w:pPr>
        <w:rPr>
          <w:rFonts w:hint="eastAsia" w:ascii="仿宋" w:hAnsi="仿宋" w:eastAsia="仿宋"/>
          <w:sz w:val="32"/>
        </w:rPr>
      </w:pPr>
      <w:r>
        <w:rPr>
          <w:rFonts w:hint="eastAsia" w:ascii="仿宋" w:hAnsi="仿宋" w:eastAsia="仿宋"/>
          <w:sz w:val="32"/>
        </w:rPr>
        <w:t>二、机构设置及部门决算单位构成</w:t>
      </w:r>
    </w:p>
    <w:p>
      <w:pPr>
        <w:rPr>
          <w:rFonts w:hint="eastAsia" w:ascii="黑体" w:hAnsi="黑体" w:eastAsia="黑体"/>
          <w:sz w:val="32"/>
        </w:rPr>
      </w:pPr>
      <w:r>
        <w:rPr>
          <w:rFonts w:hint="eastAsia" w:ascii="黑体" w:hAnsi="黑体" w:eastAsia="黑体"/>
          <w:sz w:val="32"/>
        </w:rPr>
        <w:t xml:space="preserve">第二部分 </w:t>
      </w:r>
      <w:r>
        <w:rPr>
          <w:rFonts w:hint="eastAsia" w:ascii="宋体" w:hAnsi="宋体"/>
          <w:sz w:val="32"/>
        </w:rPr>
        <w:t>2021年</w:t>
      </w:r>
      <w:r>
        <w:rPr>
          <w:rFonts w:hint="eastAsia" w:ascii="黑体" w:hAnsi="黑体" w:eastAsia="黑体"/>
          <w:sz w:val="32"/>
        </w:rPr>
        <w:t>度部门决算表</w:t>
      </w:r>
    </w:p>
    <w:p>
      <w:pPr>
        <w:rPr>
          <w:rFonts w:hint="eastAsia" w:ascii="仿宋" w:hAnsi="仿宋" w:eastAsia="仿宋"/>
          <w:sz w:val="32"/>
        </w:rPr>
      </w:pPr>
      <w:r>
        <w:rPr>
          <w:rFonts w:hint="eastAsia" w:ascii="仿宋" w:hAnsi="仿宋" w:eastAsia="仿宋"/>
          <w:sz w:val="32"/>
        </w:rPr>
        <w:t>一、收入支出决算总表</w:t>
      </w:r>
    </w:p>
    <w:p>
      <w:pPr>
        <w:rPr>
          <w:rFonts w:hint="eastAsia" w:ascii="仿宋" w:hAnsi="仿宋" w:eastAsia="仿宋"/>
          <w:sz w:val="32"/>
        </w:rPr>
      </w:pPr>
      <w:r>
        <w:rPr>
          <w:rFonts w:hint="eastAsia" w:ascii="仿宋" w:hAnsi="仿宋" w:eastAsia="仿宋"/>
          <w:sz w:val="32"/>
        </w:rPr>
        <w:t>二、收入决算表</w:t>
      </w:r>
    </w:p>
    <w:p>
      <w:pPr>
        <w:rPr>
          <w:rFonts w:hint="eastAsia" w:ascii="仿宋" w:hAnsi="仿宋" w:eastAsia="仿宋"/>
          <w:sz w:val="32"/>
        </w:rPr>
      </w:pPr>
      <w:r>
        <w:rPr>
          <w:rFonts w:hint="eastAsia" w:ascii="仿宋" w:hAnsi="仿宋" w:eastAsia="仿宋"/>
          <w:sz w:val="32"/>
        </w:rPr>
        <w:t>三、支出决算表</w:t>
      </w:r>
    </w:p>
    <w:p>
      <w:pPr>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rPr>
          <w:rFonts w:hint="eastAsia" w:ascii="仿宋" w:hAnsi="仿宋" w:eastAsia="仿宋"/>
          <w:sz w:val="32"/>
        </w:rPr>
        <w:t>五、一般公共预算财政拨款支出决算表</w:t>
      </w:r>
    </w:p>
    <w:p>
      <w:pPr>
        <w:rPr>
          <w:rFonts w:hint="eastAsia" w:ascii="仿宋" w:hAnsi="仿宋" w:eastAsia="仿宋"/>
          <w:sz w:val="32"/>
        </w:rPr>
      </w:pPr>
      <w:r>
        <w:rPr>
          <w:rFonts w:hint="eastAsia" w:ascii="仿宋" w:hAnsi="仿宋" w:eastAsia="仿宋"/>
          <w:sz w:val="32"/>
        </w:rPr>
        <w:t>六、一般公共预算财政拨款基本支出决算表</w:t>
      </w:r>
    </w:p>
    <w:p>
      <w:pPr>
        <w:rPr>
          <w:rFonts w:hint="eastAsia" w:ascii="仿宋" w:hAnsi="仿宋" w:eastAsia="仿宋"/>
          <w:sz w:val="32"/>
        </w:rPr>
      </w:pPr>
      <w:r>
        <w:rPr>
          <w:rFonts w:hint="eastAsia" w:ascii="仿宋" w:hAnsi="仿宋" w:eastAsia="仿宋"/>
          <w:sz w:val="32"/>
        </w:rPr>
        <w:t>七、一般公共预算财政拨款“三公”经费支出决算表</w:t>
      </w:r>
    </w:p>
    <w:p>
      <w:pPr>
        <w:rPr>
          <w:rFonts w:ascii="仿宋" w:hAnsi="仿宋" w:eastAsia="仿宋"/>
          <w:sz w:val="32"/>
        </w:rPr>
      </w:pPr>
      <w:r>
        <w:rPr>
          <w:rFonts w:hint="eastAsia" w:ascii="仿宋" w:hAnsi="仿宋" w:eastAsia="仿宋"/>
          <w:sz w:val="32"/>
        </w:rPr>
        <w:t>八、政府性基金预算财政拨款收入支出决算表</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决算表</w:t>
      </w:r>
    </w:p>
    <w:p>
      <w:pPr>
        <w:rPr>
          <w:rFonts w:hint="eastAsia" w:ascii="仿宋" w:hAnsi="仿宋" w:eastAsia="仿宋"/>
          <w:sz w:val="32"/>
        </w:rPr>
      </w:pPr>
      <w:r>
        <w:rPr>
          <w:rFonts w:hint="eastAsia" w:ascii="仿宋" w:hAnsi="仿宋" w:eastAsia="仿宋"/>
          <w:sz w:val="32"/>
        </w:rPr>
        <w:t>十、部门预算项目支出绩效自评表</w:t>
      </w:r>
    </w:p>
    <w:p>
      <w:pPr>
        <w:rPr>
          <w:rFonts w:hint="eastAsia" w:ascii="黑体" w:hAnsi="黑体" w:eastAsia="黑体"/>
          <w:sz w:val="32"/>
        </w:rPr>
      </w:pPr>
      <w:r>
        <w:rPr>
          <w:rFonts w:hint="eastAsia" w:ascii="黑体" w:hAnsi="黑体" w:eastAsia="黑体"/>
          <w:sz w:val="32"/>
        </w:rPr>
        <w:t xml:space="preserve">第三部分  </w:t>
      </w:r>
      <w:r>
        <w:rPr>
          <w:rFonts w:hint="eastAsia" w:ascii="宋体" w:hAnsi="宋体"/>
          <w:sz w:val="32"/>
        </w:rPr>
        <w:t>2021年</w:t>
      </w:r>
      <w:r>
        <w:rPr>
          <w:rFonts w:hint="eastAsia" w:ascii="黑体" w:hAnsi="黑体" w:eastAsia="黑体"/>
          <w:sz w:val="32"/>
        </w:rPr>
        <w:t>度部门决算情况说明</w:t>
      </w:r>
    </w:p>
    <w:p>
      <w:pPr>
        <w:rPr>
          <w:rFonts w:hint="eastAsia" w:ascii="仿宋" w:hAnsi="仿宋" w:eastAsia="仿宋"/>
          <w:sz w:val="32"/>
        </w:rPr>
      </w:pPr>
      <w:r>
        <w:rPr>
          <w:rFonts w:hint="eastAsia" w:ascii="仿宋" w:hAnsi="仿宋" w:eastAsia="仿宋"/>
          <w:sz w:val="32"/>
        </w:rPr>
        <w:t>一、收入支出决算总体情况说明</w:t>
      </w:r>
    </w:p>
    <w:p>
      <w:pPr>
        <w:rPr>
          <w:rFonts w:hint="eastAsia" w:ascii="仿宋" w:hAnsi="仿宋" w:eastAsia="仿宋"/>
          <w:sz w:val="32"/>
        </w:rPr>
      </w:pPr>
      <w:r>
        <w:rPr>
          <w:rFonts w:hint="eastAsia" w:ascii="仿宋" w:hAnsi="仿宋" w:eastAsia="仿宋"/>
          <w:sz w:val="32"/>
        </w:rPr>
        <w:t>二、收入决算情况说明</w:t>
      </w:r>
    </w:p>
    <w:p>
      <w:pPr>
        <w:rPr>
          <w:rFonts w:hint="eastAsia" w:ascii="仿宋" w:hAnsi="仿宋" w:eastAsia="仿宋"/>
          <w:sz w:val="32"/>
        </w:rPr>
      </w:pPr>
      <w:r>
        <w:rPr>
          <w:rFonts w:hint="eastAsia" w:ascii="仿宋" w:hAnsi="仿宋" w:eastAsia="仿宋"/>
          <w:sz w:val="32"/>
        </w:rPr>
        <w:t>三、支出决算情况说明</w:t>
      </w:r>
    </w:p>
    <w:p>
      <w:pPr>
        <w:rPr>
          <w:rFonts w:hint="eastAsia" w:ascii="仿宋" w:hAnsi="仿宋" w:eastAsia="仿宋"/>
          <w:sz w:val="32"/>
        </w:rPr>
      </w:pPr>
      <w:r>
        <w:rPr>
          <w:rFonts w:hint="eastAsia" w:ascii="仿宋" w:hAnsi="仿宋" w:eastAsia="仿宋"/>
          <w:sz w:val="32"/>
        </w:rPr>
        <w:t>四、财政拨款收入支出决算总体情况说明</w:t>
      </w:r>
    </w:p>
    <w:p>
      <w:pPr>
        <w:rPr>
          <w:rFonts w:hint="eastAsia" w:ascii="仿宋" w:hAnsi="仿宋" w:eastAsia="仿宋"/>
          <w:sz w:val="32"/>
        </w:rPr>
      </w:pPr>
      <w:r>
        <w:rPr>
          <w:rFonts w:hint="eastAsia" w:ascii="仿宋" w:hAnsi="仿宋" w:eastAsia="仿宋"/>
          <w:sz w:val="32"/>
        </w:rPr>
        <w:t>五、一般公共预算财政拨款支出决算情况说明</w:t>
      </w:r>
    </w:p>
    <w:p>
      <w:pPr>
        <w:rPr>
          <w:rFonts w:hint="eastAsia" w:ascii="仿宋" w:hAnsi="仿宋" w:eastAsia="仿宋"/>
          <w:sz w:val="32"/>
        </w:rPr>
      </w:pPr>
      <w:r>
        <w:rPr>
          <w:rFonts w:hint="eastAsia" w:ascii="仿宋" w:hAnsi="仿宋" w:eastAsia="仿宋"/>
          <w:sz w:val="32"/>
        </w:rPr>
        <w:t>六、一般公共预算财政拨款基本支出决算情况说明</w:t>
      </w:r>
    </w:p>
    <w:p>
      <w:pPr>
        <w:rPr>
          <w:rFonts w:hint="eastAsia" w:ascii="仿宋" w:hAnsi="仿宋" w:eastAsia="仿宋"/>
          <w:sz w:val="32"/>
        </w:rPr>
      </w:pPr>
      <w:r>
        <w:rPr>
          <w:rFonts w:hint="eastAsia" w:ascii="仿宋" w:hAnsi="仿宋" w:eastAsia="仿宋"/>
          <w:sz w:val="32"/>
        </w:rPr>
        <w:t>七、一般公共预算财政拨款“三公”经费支出决算情况说明</w:t>
      </w:r>
    </w:p>
    <w:p>
      <w:pPr>
        <w:rPr>
          <w:rFonts w:ascii="仿宋" w:hAnsi="仿宋" w:eastAsia="仿宋"/>
          <w:sz w:val="32"/>
        </w:rPr>
      </w:pPr>
      <w:r>
        <w:rPr>
          <w:rFonts w:hint="eastAsia" w:ascii="仿宋" w:hAnsi="仿宋" w:eastAsia="仿宋"/>
          <w:sz w:val="32"/>
        </w:rPr>
        <w:t>八、政府性基金预算财政拨款收入支出决算情况说明</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w:t>
      </w:r>
      <w:r>
        <w:rPr>
          <w:rFonts w:hint="eastAsia" w:ascii="仿宋_GB2312" w:hAnsi="仿宋" w:eastAsia="仿宋_GB2312"/>
          <w:sz w:val="32"/>
          <w:szCs w:val="30"/>
        </w:rPr>
        <w:t>情况说明</w:t>
      </w:r>
    </w:p>
    <w:p>
      <w:pPr>
        <w:rPr>
          <w:rFonts w:hint="eastAsia" w:ascii="仿宋" w:hAnsi="仿宋" w:eastAsia="仿宋"/>
          <w:sz w:val="32"/>
        </w:rPr>
      </w:pPr>
      <w:r>
        <w:rPr>
          <w:rFonts w:hint="eastAsia" w:ascii="仿宋" w:hAnsi="仿宋" w:eastAsia="仿宋"/>
          <w:sz w:val="32"/>
        </w:rPr>
        <w:t>十、预算绩效管理情况说明</w:t>
      </w:r>
    </w:p>
    <w:p>
      <w:pPr>
        <w:rPr>
          <w:rFonts w:hint="eastAsia" w:ascii="仿宋" w:hAnsi="仿宋" w:eastAsia="仿宋"/>
          <w:sz w:val="32"/>
        </w:rPr>
      </w:pPr>
      <w:r>
        <w:rPr>
          <w:rFonts w:hint="eastAsia" w:ascii="仿宋" w:hAnsi="仿宋" w:eastAsia="仿宋"/>
          <w:sz w:val="32"/>
        </w:rPr>
        <w:t>十一、其他重要事项情况说明</w:t>
      </w:r>
    </w:p>
    <w:p>
      <w:pPr>
        <w:rPr>
          <w:rFonts w:hint="eastAsia" w:ascii="黑体" w:hAnsi="黑体" w:eastAsia="黑体"/>
          <w:sz w:val="32"/>
        </w:rPr>
      </w:pPr>
      <w:r>
        <w:rPr>
          <w:rFonts w:hint="eastAsia" w:ascii="黑体" w:hAnsi="黑体" w:eastAsia="黑体"/>
          <w:sz w:val="32"/>
        </w:rPr>
        <w:t>第四部分  名词解释</w:t>
      </w: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jc w:val="center"/>
        <w:rPr>
          <w:rFonts w:hint="eastAsia" w:ascii="黑体" w:hAnsi="黑体" w:eastAsia="黑体"/>
          <w:sz w:val="32"/>
        </w:rPr>
      </w:pPr>
    </w:p>
    <w:p>
      <w:pPr>
        <w:jc w:val="center"/>
        <w:rPr>
          <w:rFonts w:hint="eastAsia" w:ascii="仿宋" w:hAnsi="仿宋" w:eastAsia="仿宋"/>
          <w:sz w:val="32"/>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rPr>
          <w:rFonts w:hint="eastAsia" w:ascii="方正小标宋简体" w:hAnsi="方正小标宋简体" w:eastAsia="方正小标宋简体"/>
          <w:sz w:val="44"/>
        </w:rPr>
      </w:pPr>
    </w:p>
    <w:p>
      <w:pPr>
        <w:ind w:firstLine="2200" w:firstLineChars="500"/>
        <w:rPr>
          <w:rFonts w:hint="eastAsia"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pPr>
        <w:jc w:val="center"/>
        <w:rPr>
          <w:rFonts w:hint="eastAsia" w:ascii="黑体" w:hAnsi="黑体" w:eastAsia="黑体"/>
          <w:sz w:val="32"/>
        </w:rPr>
      </w:pPr>
    </w:p>
    <w:p>
      <w:pPr>
        <w:rPr>
          <w:rFonts w:hint="eastAsia" w:ascii="黑体" w:hAnsi="黑体" w:eastAsia="黑体"/>
          <w:sz w:val="32"/>
        </w:rPr>
      </w:pPr>
      <w:r>
        <w:rPr>
          <w:rFonts w:hint="eastAsia" w:ascii="黑体" w:hAnsi="黑体" w:eastAsia="黑体"/>
          <w:sz w:val="32"/>
        </w:rPr>
        <w:t xml:space="preserve">    一、部门职责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eastAsia="zh-CN"/>
        </w:rPr>
        <w:t>（</w:t>
      </w:r>
      <w:r>
        <w:rPr>
          <w:rFonts w:hint="eastAsia" w:ascii="仿宋" w:hAnsi="仿宋" w:eastAsia="仿宋"/>
          <w:sz w:val="32"/>
          <w:lang w:val="en-US" w:eastAsia="zh-CN"/>
        </w:rPr>
        <w:t>一）贯彻国家、省、市有关审计法律、法规和方针政策。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（二）依据《中华人民共和国审计法》的规定，直接进行下列审计：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1、本级预算执行情况和其他财政收支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2、区属各部门和下属单位预算的执行情况和决算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3、区属各部门、事业单位及下属单位的财务收支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4、区属建设项目预算的执行情况和决算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5、区政府部门管理的和社会团体受区政府委托的社会保障基金、社会捐赠以及其他有关基金、资金的财务收支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lang w:val="en-US" w:eastAsia="zh-CN"/>
        </w:rPr>
        <w:t>6、其他法律、法规规定应当由区及审计机关进行的审计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rPr>
      </w:pPr>
      <w:r>
        <w:rPr>
          <w:rFonts w:hint="eastAsia" w:ascii="黑体" w:hAnsi="黑体" w:eastAsia="黑体"/>
          <w:sz w:val="32"/>
        </w:rPr>
        <w:t>机构设置及部门决算单位构成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rPr>
        <w:t>根据上述职责，</w:t>
      </w:r>
      <w:r>
        <w:rPr>
          <w:rFonts w:hint="eastAsia" w:ascii="仿宋" w:hAnsi="仿宋" w:eastAsia="仿宋"/>
          <w:sz w:val="32"/>
          <w:szCs w:val="30"/>
          <w:lang w:val="en-US" w:eastAsia="zh-CN"/>
        </w:rPr>
        <w:t>长春市南关区审计局</w:t>
      </w:r>
      <w:r>
        <w:rPr>
          <w:rFonts w:hint="eastAsia" w:ascii="仿宋" w:hAnsi="仿宋" w:eastAsia="仿宋"/>
          <w:sz w:val="32"/>
        </w:rPr>
        <w:t>内设</w:t>
      </w:r>
      <w:r>
        <w:rPr>
          <w:rFonts w:hint="eastAsia" w:ascii="仿宋" w:hAnsi="仿宋" w:eastAsia="仿宋"/>
          <w:sz w:val="32"/>
          <w:szCs w:val="30"/>
          <w:lang w:val="en-US" w:eastAsia="zh-CN"/>
        </w:rPr>
        <w:t>6</w:t>
      </w:r>
      <w:r>
        <w:rPr>
          <w:rFonts w:hint="eastAsia" w:ascii="仿宋" w:hAnsi="仿宋" w:eastAsia="仿宋"/>
          <w:sz w:val="32"/>
        </w:rPr>
        <w:t>个机构，分别为</w:t>
      </w:r>
      <w:r>
        <w:rPr>
          <w:rFonts w:hint="eastAsia" w:ascii="仿宋" w:hAnsi="仿宋" w:eastAsia="仿宋"/>
          <w:sz w:val="32"/>
          <w:lang w:val="en-US" w:eastAsia="zh-CN"/>
        </w:rPr>
        <w:t>办公室、法制科、行政事业审计科、经济责任审计科、稳增长审计科、固定资产投资科</w:t>
      </w:r>
      <w:r>
        <w:rPr>
          <w:rFonts w:hint="eastAsia" w:ascii="仿宋" w:hAnsi="仿宋" w:eastAsia="仿宋"/>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rPr>
        <w:t>纳入</w:t>
      </w:r>
      <w:r>
        <w:rPr>
          <w:rFonts w:hint="eastAsia" w:ascii="仿宋" w:hAnsi="仿宋" w:eastAsia="仿宋"/>
          <w:sz w:val="32"/>
          <w:lang w:val="en-US" w:eastAsia="zh-CN"/>
        </w:rPr>
        <w:t>长春市南关区审计局</w:t>
      </w:r>
      <w:r>
        <w:rPr>
          <w:rFonts w:ascii="宋体" w:hAnsi="宋体"/>
          <w:sz w:val="32"/>
        </w:rPr>
        <w:t>2020</w:t>
      </w:r>
      <w:r>
        <w:rPr>
          <w:rFonts w:hint="eastAsia" w:ascii="仿宋" w:hAnsi="仿宋" w:eastAsia="仿宋"/>
          <w:sz w:val="32"/>
        </w:rPr>
        <w:t>年度部门决算编制范围的单位包括：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lang w:val="en-US" w:eastAsia="zh-CN"/>
        </w:rPr>
      </w:pPr>
      <w:r>
        <w:rPr>
          <w:rFonts w:hint="eastAsia" w:ascii="仿宋" w:hAnsi="仿宋" w:eastAsia="仿宋"/>
          <w:sz w:val="32"/>
        </w:rPr>
        <w:t>1.</w:t>
      </w:r>
      <w:r>
        <w:rPr>
          <w:rFonts w:hint="eastAsia" w:ascii="仿宋" w:hAnsi="仿宋" w:eastAsia="仿宋"/>
          <w:sz w:val="32"/>
          <w:lang w:val="en-US" w:eastAsia="zh-CN"/>
        </w:rPr>
        <w:t>长春市南关区审计局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sz w:val="44"/>
        </w:rPr>
      </w:pPr>
      <w:r>
        <w:rPr>
          <w:rFonts w:hint="eastAsia" w:ascii="仿宋" w:hAnsi="仿宋" w:eastAsia="仿宋"/>
          <w:sz w:val="32"/>
        </w:rPr>
        <w:t>2.</w:t>
      </w:r>
      <w:r>
        <w:rPr>
          <w:rFonts w:hint="eastAsia" w:ascii="仿宋" w:hAnsi="仿宋" w:eastAsia="仿宋"/>
          <w:sz w:val="32"/>
          <w:lang w:val="en-US" w:eastAsia="zh-CN"/>
        </w:rPr>
        <w:t>长春市南关区审计中心</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 xml:space="preserve">第二部分 </w:t>
      </w:r>
      <w:r>
        <w:rPr>
          <w:rFonts w:ascii="方正小标宋简体" w:hAnsi="方正小标宋简体" w:eastAsia="方正小标宋简体"/>
          <w:sz w:val="44"/>
        </w:rPr>
        <w:t>2021年</w:t>
      </w:r>
      <w:r>
        <w:rPr>
          <w:rFonts w:hint="eastAsia" w:ascii="方正小标宋简体" w:hAnsi="方正小标宋简体" w:eastAsia="方正小标宋简体"/>
          <w:sz w:val="44"/>
        </w:rPr>
        <w:t>度部门决算表</w:t>
      </w:r>
    </w:p>
    <w:p>
      <w:pPr>
        <w:rPr>
          <w:rFonts w:hint="eastAsia" w:ascii="黑体" w:hAnsi="黑体" w:eastAsia="黑体"/>
          <w:sz w:val="32"/>
        </w:rPr>
      </w:pPr>
      <w:r>
        <w:rPr>
          <w:rFonts w:hint="eastAsia" w:ascii="黑体" w:hAnsi="黑体" w:eastAsia="黑体"/>
          <w:sz w:val="32"/>
        </w:rPr>
        <w:t>（表样</w:t>
      </w:r>
      <w:r>
        <w:rPr>
          <w:rFonts w:ascii="黑体" w:hAnsi="黑体" w:eastAsia="黑体"/>
          <w:sz w:val="32"/>
        </w:rPr>
        <w:t>详见</w:t>
      </w:r>
      <w:r>
        <w:rPr>
          <w:rFonts w:hint="eastAsia" w:ascii="黑体" w:hAnsi="黑体" w:eastAsia="黑体"/>
          <w:sz w:val="32"/>
        </w:rPr>
        <w:t>附件1）</w:t>
      </w:r>
    </w:p>
    <w:p>
      <w:pPr>
        <w:numPr>
          <w:ilvl w:val="0"/>
          <w:numId w:val="2"/>
        </w:numPr>
        <w:ind w:firstLine="640" w:firstLineChars="200"/>
        <w:rPr>
          <w:rFonts w:ascii="黑体" w:hAnsi="黑体" w:eastAsia="黑体"/>
          <w:sz w:val="32"/>
        </w:rPr>
      </w:pPr>
      <w:r>
        <w:rPr>
          <w:rFonts w:hint="eastAsia" w:ascii="黑体" w:hAnsi="黑体" w:eastAsia="黑体"/>
          <w:sz w:val="32"/>
        </w:rPr>
        <w:t>收入支出决算总表</w:t>
      </w:r>
    </w:p>
    <w:p>
      <w:pPr>
        <w:ind w:left="64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9865" cy="4313555"/>
            <wp:effectExtent l="0" t="0" r="3175" b="14605"/>
            <wp:docPr id="1" name="图片 11" descr="收入支出决算总表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收入支出决算总表01"/>
                    <pic:cNvPicPr>
                      <a:picLocks noChangeAspect="1"/>
                    </pic:cNvPicPr>
                  </pic:nvPicPr>
                  <pic:blipFill>
                    <a:blip r:embed="rId5"/>
                    <a:stretch>
                      <a:fillRect/>
                    </a:stretch>
                  </pic:blipFill>
                  <pic:spPr>
                    <a:xfrm>
                      <a:off x="0" y="0"/>
                      <a:ext cx="5269865" cy="4313555"/>
                    </a:xfrm>
                    <a:prstGeom prst="rect">
                      <a:avLst/>
                    </a:prstGeom>
                    <a:noFill/>
                    <a:ln>
                      <a:noFill/>
                    </a:ln>
                  </pic:spPr>
                </pic:pic>
              </a:graphicData>
            </a:graphic>
          </wp:inline>
        </w:drawing>
      </w:r>
    </w:p>
    <w:p>
      <w:pPr>
        <w:ind w:left="640"/>
        <w:rPr>
          <w:rFonts w:ascii="黑体" w:hAnsi="黑体" w:eastAsia="黑体"/>
          <w:sz w:val="32"/>
        </w:rPr>
      </w:pPr>
      <w:r>
        <w:rPr>
          <w:rFonts w:hint="eastAsia" w:ascii="黑体" w:hAnsi="黑体" w:eastAsia="黑体"/>
          <w:sz w:val="32"/>
        </w:rPr>
        <w:t>二、收入决算表</w:t>
      </w:r>
    </w:p>
    <w:p>
      <w:pPr>
        <w:ind w:left="64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4785" cy="2521585"/>
            <wp:effectExtent l="0" t="0" r="8255" b="8255"/>
            <wp:docPr id="2" name="图片 12" descr="收入决算表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收入决算表02"/>
                    <pic:cNvPicPr>
                      <a:picLocks noChangeAspect="1"/>
                    </pic:cNvPicPr>
                  </pic:nvPicPr>
                  <pic:blipFill>
                    <a:blip r:embed="rId6"/>
                    <a:stretch>
                      <a:fillRect/>
                    </a:stretch>
                  </pic:blipFill>
                  <pic:spPr>
                    <a:xfrm>
                      <a:off x="0" y="0"/>
                      <a:ext cx="5264785" cy="2521585"/>
                    </a:xfrm>
                    <a:prstGeom prst="rect">
                      <a:avLst/>
                    </a:prstGeom>
                    <a:noFill/>
                    <a:ln>
                      <a:noFill/>
                    </a:ln>
                  </pic:spPr>
                </pic:pic>
              </a:graphicData>
            </a:graphic>
          </wp:inline>
        </w:drawing>
      </w:r>
    </w:p>
    <w:p>
      <w:pPr>
        <w:ind w:left="640"/>
        <w:rPr>
          <w:rFonts w:ascii="黑体" w:hAnsi="黑体" w:eastAsia="黑体"/>
          <w:sz w:val="32"/>
        </w:rPr>
      </w:pPr>
      <w:r>
        <w:rPr>
          <w:rFonts w:hint="eastAsia" w:ascii="黑体" w:hAnsi="黑体" w:eastAsia="黑体"/>
          <w:sz w:val="32"/>
        </w:rPr>
        <w:t>三、支出决算表</w:t>
      </w:r>
    </w:p>
    <w:p>
      <w:pPr>
        <w:ind w:left="64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5420" cy="2896870"/>
            <wp:effectExtent l="0" t="0" r="7620" b="13970"/>
            <wp:docPr id="3" name="图片 13" descr="支出决算表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支出决算表03"/>
                    <pic:cNvPicPr>
                      <a:picLocks noChangeAspect="1"/>
                    </pic:cNvPicPr>
                  </pic:nvPicPr>
                  <pic:blipFill>
                    <a:blip r:embed="rId7"/>
                    <a:stretch>
                      <a:fillRect/>
                    </a:stretch>
                  </pic:blipFill>
                  <pic:spPr>
                    <a:xfrm>
                      <a:off x="0" y="0"/>
                      <a:ext cx="5265420" cy="2896870"/>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四、财政拨款收入支出决算总表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6055" cy="4880610"/>
            <wp:effectExtent l="0" t="0" r="6985" b="11430"/>
            <wp:docPr id="4" name="图片 14" descr="财政拨款收入支出决算总表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财政拨款收入支出决算总表04"/>
                    <pic:cNvPicPr>
                      <a:picLocks noChangeAspect="1"/>
                    </pic:cNvPicPr>
                  </pic:nvPicPr>
                  <pic:blipFill>
                    <a:blip r:embed="rId8"/>
                    <a:stretch>
                      <a:fillRect/>
                    </a:stretch>
                  </pic:blipFill>
                  <pic:spPr>
                    <a:xfrm>
                      <a:off x="0" y="0"/>
                      <a:ext cx="5266055" cy="4880610"/>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五、一般公共预算财政拨款支出决算表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71135" cy="3391535"/>
            <wp:effectExtent l="0" t="0" r="1905" b="6985"/>
            <wp:docPr id="5" name="图片 15" descr="一般公共预算财政拨款支出决算表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一般公共预算财政拨款支出决算表05"/>
                    <pic:cNvPicPr>
                      <a:picLocks noChangeAspect="1"/>
                    </pic:cNvPicPr>
                  </pic:nvPicPr>
                  <pic:blipFill>
                    <a:blip r:embed="rId9"/>
                    <a:stretch>
                      <a:fillRect/>
                    </a:stretch>
                  </pic:blipFill>
                  <pic:spPr>
                    <a:xfrm>
                      <a:off x="0" y="0"/>
                      <a:ext cx="5271135" cy="3391535"/>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六、一般公共预算财政拨款基本支出决算表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72405" cy="4216400"/>
            <wp:effectExtent l="0" t="0" r="635" b="5080"/>
            <wp:docPr id="6" name="图片 16" descr="一般公共预算财政拨款基本支出决算明细表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一般公共预算财政拨款基本支出决算明细表06"/>
                    <pic:cNvPicPr>
                      <a:picLocks noChangeAspect="1"/>
                    </pic:cNvPicPr>
                  </pic:nvPicPr>
                  <pic:blipFill>
                    <a:blip r:embed="rId10"/>
                    <a:stretch>
                      <a:fillRect/>
                    </a:stretch>
                  </pic:blipFill>
                  <pic:spPr>
                    <a:xfrm>
                      <a:off x="0" y="0"/>
                      <a:ext cx="5272405" cy="4216400"/>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七、一般公共预算财政拨款“三公”经费支出决算表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9230" cy="2164715"/>
            <wp:effectExtent l="0" t="0" r="3810" b="14605"/>
            <wp:docPr id="7" name="图片 17" descr="一般公共预算财政拨款“三公”经费支出决算表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一般公共预算财政拨款“三公”经费支出决算表07"/>
                    <pic:cNvPicPr>
                      <a:picLocks noChangeAspect="1"/>
                    </pic:cNvPicPr>
                  </pic:nvPicPr>
                  <pic:blipFill>
                    <a:blip r:embed="rId11"/>
                    <a:stretch>
                      <a:fillRect/>
                    </a:stretch>
                  </pic:blipFill>
                  <pic:spPr>
                    <a:xfrm>
                      <a:off x="0" y="0"/>
                      <a:ext cx="5269230" cy="2164715"/>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八、政府性基金预算财政拨款收入支出决算表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4785" cy="2302510"/>
            <wp:effectExtent l="0" t="0" r="8255" b="13970"/>
            <wp:docPr id="8" name="图片 18" descr="政府性基金预算财政拨款收入支出决算表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政府性基金预算财政拨款收入支出决算表08"/>
                    <pic:cNvPicPr>
                      <a:picLocks noChangeAspect="1"/>
                    </pic:cNvPicPr>
                  </pic:nvPicPr>
                  <pic:blipFill>
                    <a:blip r:embed="rId12"/>
                    <a:stretch>
                      <a:fillRect/>
                    </a:stretch>
                  </pic:blipFill>
                  <pic:spPr>
                    <a:xfrm>
                      <a:off x="0" y="0"/>
                      <a:ext cx="5264785" cy="2302510"/>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九、国有</w:t>
      </w:r>
      <w:r>
        <w:rPr>
          <w:rFonts w:ascii="黑体" w:hAnsi="黑体" w:eastAsia="黑体"/>
          <w:sz w:val="32"/>
        </w:rPr>
        <w:t>资本经营预算</w:t>
      </w:r>
      <w:r>
        <w:rPr>
          <w:rFonts w:hint="eastAsia" w:ascii="黑体" w:hAnsi="黑体" w:eastAsia="黑体"/>
          <w:sz w:val="32"/>
        </w:rPr>
        <w:t>财政拨款支出</w:t>
      </w:r>
      <w:r>
        <w:rPr>
          <w:rFonts w:ascii="黑体" w:hAnsi="黑体" w:eastAsia="黑体"/>
          <w:sz w:val="32"/>
        </w:rPr>
        <w:t>决算表</w:t>
      </w:r>
    </w:p>
    <w:p>
      <w:pPr>
        <w:ind w:firstLine="640" w:firstLineChars="200"/>
        <w:rPr>
          <w:rFonts w:hint="eastAsia" w:ascii="黑体" w:hAnsi="黑体" w:eastAsia="黑体"/>
          <w:sz w:val="32"/>
          <w:lang w:eastAsia="zh-CN"/>
        </w:rPr>
      </w:pPr>
      <w:r>
        <w:rPr>
          <w:rFonts w:hint="eastAsia" w:ascii="黑体" w:hAnsi="黑体" w:eastAsia="黑体"/>
          <w:sz w:val="32"/>
          <w:lang w:eastAsia="zh-CN"/>
        </w:rPr>
        <w:drawing>
          <wp:inline distT="0" distB="0" distL="114300" distR="114300">
            <wp:extent cx="5269230" cy="2856865"/>
            <wp:effectExtent l="0" t="0" r="3810" b="8255"/>
            <wp:docPr id="9" name="图片 19" descr="国有资本经营预算财政拨款支出决算表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国有资本经营预算财政拨款支出决算表09"/>
                    <pic:cNvPicPr>
                      <a:picLocks noChangeAspect="1"/>
                    </pic:cNvPicPr>
                  </pic:nvPicPr>
                  <pic:blipFill>
                    <a:blip r:embed="rId13"/>
                    <a:stretch>
                      <a:fillRect/>
                    </a:stretch>
                  </pic:blipFill>
                  <pic:spPr>
                    <a:xfrm>
                      <a:off x="0" y="0"/>
                      <a:ext cx="5269230" cy="2856865"/>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十、部门预算项目支出绩效自评表</w:t>
      </w:r>
    </w:p>
    <w:p>
      <w:pPr>
        <w:jc w:val="center"/>
        <w:rPr>
          <w:rFonts w:hint="eastAsia" w:ascii="方正小标宋简体" w:hAnsi="方正小标宋简体" w:eastAsia="方正小标宋简体"/>
          <w:sz w:val="44"/>
        </w:rPr>
      </w:pPr>
      <w:r>
        <w:rPr>
          <w:rFonts w:hint="eastAsia" w:ascii="仿宋" w:hAnsi="仿宋" w:eastAsia="仿宋"/>
          <w:sz w:val="32"/>
          <w:lang w:eastAsia="zh-CN"/>
        </w:rPr>
        <w:drawing>
          <wp:inline distT="0" distB="0" distL="114300" distR="114300">
            <wp:extent cx="5252720" cy="7980680"/>
            <wp:effectExtent l="0" t="0" r="5080" b="5080"/>
            <wp:docPr id="10" name="图片 2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10"/>
                    <pic:cNvPicPr>
                      <a:picLocks noChangeAspect="1"/>
                    </pic:cNvPicPr>
                  </pic:nvPicPr>
                  <pic:blipFill>
                    <a:blip r:embed="rId14"/>
                    <a:stretch>
                      <a:fillRect/>
                    </a:stretch>
                  </pic:blipFill>
                  <pic:spPr>
                    <a:xfrm>
                      <a:off x="0" y="0"/>
                      <a:ext cx="5252720" cy="7980680"/>
                    </a:xfrm>
                    <a:prstGeom prst="rect">
                      <a:avLst/>
                    </a:prstGeom>
                    <a:noFill/>
                    <a:ln>
                      <a:noFill/>
                    </a:ln>
                  </pic:spPr>
                </pic:pic>
              </a:graphicData>
            </a:graphic>
          </wp:inline>
        </w:drawing>
      </w: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第三部分 2021年度部门决算情况说明</w:t>
      </w:r>
    </w:p>
    <w:p>
      <w:pPr>
        <w:rPr>
          <w:rFonts w:hint="eastAsia" w:ascii="仿宋" w:hAnsi="仿宋" w:eastAsia="仿宋"/>
          <w:sz w:val="32"/>
        </w:rPr>
      </w:pP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pPr>
        <w:rPr>
          <w:rFonts w:hint="eastAsia" w:ascii="仿宋" w:hAnsi="仿宋" w:eastAsia="仿宋"/>
          <w:sz w:val="32"/>
          <w:szCs w:val="30"/>
        </w:rPr>
      </w:pPr>
      <w:r>
        <w:rPr>
          <w:rFonts w:hint="eastAsia" w:ascii="仿宋" w:hAnsi="仿宋" w:eastAsia="仿宋"/>
          <w:sz w:val="32"/>
        </w:rPr>
        <w:t xml:space="preserve">    2021年度收</w:t>
      </w:r>
      <w:r>
        <w:rPr>
          <w:rFonts w:hint="eastAsia" w:ascii="仿宋" w:hAnsi="仿宋" w:eastAsia="仿宋"/>
          <w:sz w:val="32"/>
          <w:lang w:val="en-US" w:eastAsia="zh-CN"/>
        </w:rPr>
        <w:t>入432.29</w:t>
      </w:r>
      <w:r>
        <w:rPr>
          <w:rFonts w:hint="eastAsia" w:ascii="仿宋" w:hAnsi="仿宋" w:eastAsia="仿宋"/>
          <w:sz w:val="32"/>
          <w:szCs w:val="30"/>
        </w:rPr>
        <w:t>万元</w:t>
      </w:r>
      <w:r>
        <w:rPr>
          <w:rFonts w:hint="eastAsia" w:ascii="仿宋" w:hAnsi="仿宋" w:eastAsia="仿宋"/>
          <w:sz w:val="32"/>
          <w:szCs w:val="30"/>
          <w:lang w:eastAsia="zh-CN"/>
        </w:rPr>
        <w:t>，</w:t>
      </w:r>
      <w:r>
        <w:rPr>
          <w:rFonts w:hint="eastAsia" w:ascii="仿宋" w:hAnsi="仿宋" w:eastAsia="仿宋"/>
          <w:sz w:val="32"/>
          <w:szCs w:val="30"/>
          <w:lang w:val="en-US" w:eastAsia="zh-CN"/>
        </w:rPr>
        <w:t>支出432.28万元</w:t>
      </w:r>
      <w:r>
        <w:rPr>
          <w:rFonts w:hint="eastAsia" w:ascii="仿宋" w:hAnsi="仿宋" w:eastAsia="仿宋"/>
          <w:sz w:val="32"/>
          <w:szCs w:val="30"/>
        </w:rPr>
        <w:t>。与2020</w:t>
      </w:r>
      <w:r>
        <w:rPr>
          <w:rFonts w:hint="eastAsia" w:ascii="仿宋" w:hAnsi="仿宋" w:eastAsia="仿宋"/>
          <w:sz w:val="32"/>
          <w:szCs w:val="30"/>
          <w:lang w:val="en-US" w:eastAsia="zh-CN"/>
        </w:rPr>
        <w:t>年度</w:t>
      </w:r>
      <w:r>
        <w:rPr>
          <w:rFonts w:hint="eastAsia" w:ascii="仿宋" w:hAnsi="仿宋" w:eastAsia="仿宋"/>
          <w:sz w:val="32"/>
          <w:szCs w:val="30"/>
        </w:rPr>
        <w:t>相比，</w:t>
      </w:r>
      <w:r>
        <w:rPr>
          <w:rFonts w:hint="eastAsia" w:ascii="仿宋" w:hAnsi="仿宋" w:eastAsia="仿宋"/>
          <w:sz w:val="32"/>
          <w:szCs w:val="30"/>
          <w:lang w:val="en-US" w:eastAsia="zh-CN"/>
        </w:rPr>
        <w:t>收入</w:t>
      </w:r>
      <w:r>
        <w:rPr>
          <w:rFonts w:hint="eastAsia" w:ascii="仿宋" w:hAnsi="仿宋" w:eastAsia="仿宋"/>
          <w:sz w:val="32"/>
          <w:szCs w:val="30"/>
        </w:rPr>
        <w:t>增加</w:t>
      </w:r>
      <w:r>
        <w:rPr>
          <w:rFonts w:hint="eastAsia" w:ascii="仿宋" w:hAnsi="仿宋" w:eastAsia="仿宋"/>
          <w:sz w:val="32"/>
          <w:szCs w:val="30"/>
          <w:lang w:val="en-US" w:eastAsia="zh-CN"/>
        </w:rPr>
        <w:t>22.14</w:t>
      </w:r>
      <w:r>
        <w:rPr>
          <w:rFonts w:hint="eastAsia" w:ascii="仿宋" w:hAnsi="仿宋" w:eastAsia="仿宋"/>
          <w:sz w:val="32"/>
          <w:szCs w:val="30"/>
        </w:rPr>
        <w:t>万元，增长</w:t>
      </w:r>
      <w:r>
        <w:rPr>
          <w:rFonts w:hint="eastAsia" w:ascii="仿宋" w:hAnsi="仿宋" w:eastAsia="仿宋"/>
          <w:sz w:val="32"/>
          <w:szCs w:val="30"/>
          <w:lang w:val="en-US" w:eastAsia="zh-CN"/>
        </w:rPr>
        <w:t>5.4</w:t>
      </w:r>
      <w:r>
        <w:rPr>
          <w:rFonts w:hint="eastAsia" w:ascii="仿宋" w:hAnsi="仿宋" w:eastAsia="仿宋"/>
          <w:sz w:val="32"/>
          <w:szCs w:val="30"/>
        </w:rPr>
        <w:t xml:space="preserve"> %</w:t>
      </w:r>
      <w:r>
        <w:rPr>
          <w:rFonts w:hint="eastAsia" w:ascii="仿宋" w:hAnsi="仿宋" w:eastAsia="仿宋"/>
          <w:sz w:val="32"/>
          <w:szCs w:val="30"/>
          <w:lang w:eastAsia="zh-CN"/>
        </w:rPr>
        <w:t>；</w:t>
      </w:r>
      <w:r>
        <w:rPr>
          <w:rFonts w:hint="eastAsia" w:ascii="仿宋" w:hAnsi="仿宋" w:eastAsia="仿宋"/>
          <w:sz w:val="32"/>
          <w:szCs w:val="30"/>
          <w:lang w:val="en-US" w:eastAsia="zh-CN"/>
        </w:rPr>
        <w:t>支出增加25.33万元，增长6.22%</w:t>
      </w:r>
      <w:r>
        <w:rPr>
          <w:rFonts w:hint="eastAsia" w:ascii="仿宋" w:hAnsi="仿宋" w:eastAsia="仿宋"/>
          <w:sz w:val="32"/>
          <w:szCs w:val="30"/>
        </w:rPr>
        <w:t>。主要原因：</w:t>
      </w:r>
      <w:r>
        <w:rPr>
          <w:rFonts w:hint="eastAsia" w:ascii="仿宋" w:hAnsi="仿宋" w:eastAsia="仿宋"/>
          <w:sz w:val="32"/>
          <w:szCs w:val="30"/>
          <w:lang w:val="en-US" w:eastAsia="zh-CN"/>
        </w:rPr>
        <w:t>相较上一年度，市局委托审计项目、区政府委托土地整理成本复核审计项目大幅度增加；同时需对换届领导进行经济责任离任审计，支出项目比例增加</w:t>
      </w:r>
      <w:r>
        <w:rPr>
          <w:rFonts w:hint="eastAsia" w:ascii="仿宋" w:hAnsi="仿宋" w:eastAsia="仿宋"/>
          <w:sz w:val="32"/>
          <w:szCs w:val="30"/>
        </w:rPr>
        <w:t>。</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二、</w:t>
      </w:r>
      <w:r>
        <w:rPr>
          <w:rFonts w:hint="eastAsia" w:ascii="黑体" w:hAnsi="黑体" w:eastAsia="黑体"/>
          <w:sz w:val="32"/>
          <w:szCs w:val="30"/>
        </w:rPr>
        <w:t>收入决算情况说明</w:t>
      </w:r>
    </w:p>
    <w:p>
      <w:pPr>
        <w:rPr>
          <w:rFonts w:hint="eastAsia" w:ascii="仿宋" w:hAnsi="仿宋" w:eastAsia="仿宋"/>
          <w:sz w:val="32"/>
          <w:lang w:eastAsia="zh-CN"/>
        </w:rPr>
      </w:pPr>
      <w:r>
        <w:rPr>
          <w:rFonts w:hint="eastAsia" w:ascii="仿宋" w:hAnsi="仿宋" w:eastAsia="仿宋"/>
          <w:sz w:val="32"/>
        </w:rPr>
        <w:t xml:space="preserve">    本年收入合计</w:t>
      </w:r>
      <w:r>
        <w:rPr>
          <w:rFonts w:hint="eastAsia" w:ascii="仿宋" w:hAnsi="仿宋" w:eastAsia="仿宋"/>
          <w:sz w:val="32"/>
          <w:lang w:val="en-US" w:eastAsia="zh-CN"/>
        </w:rPr>
        <w:t>432.29</w:t>
      </w:r>
      <w:r>
        <w:rPr>
          <w:rFonts w:hint="eastAsia" w:ascii="仿宋" w:hAnsi="仿宋" w:eastAsia="仿宋"/>
          <w:sz w:val="32"/>
        </w:rPr>
        <w:t>万元，其中：财政拨款收入</w:t>
      </w:r>
      <w:r>
        <w:rPr>
          <w:rFonts w:hint="eastAsia" w:ascii="仿宋" w:hAnsi="仿宋" w:eastAsia="仿宋"/>
          <w:sz w:val="32"/>
          <w:lang w:val="en-US" w:eastAsia="zh-CN"/>
        </w:rPr>
        <w:t>432.28</w:t>
      </w:r>
      <w:r>
        <w:rPr>
          <w:rFonts w:hint="eastAsia" w:ascii="仿宋" w:hAnsi="仿宋" w:eastAsia="仿宋"/>
          <w:sz w:val="32"/>
        </w:rPr>
        <w:t>万元，占</w:t>
      </w:r>
      <w:r>
        <w:rPr>
          <w:rFonts w:hint="eastAsia" w:ascii="仿宋" w:hAnsi="仿宋" w:eastAsia="仿宋"/>
          <w:sz w:val="32"/>
          <w:lang w:val="en-US" w:eastAsia="zh-CN"/>
        </w:rPr>
        <w:t>99.99</w:t>
      </w:r>
      <w:r>
        <w:rPr>
          <w:rFonts w:hint="eastAsia" w:ascii="仿宋" w:hAnsi="仿宋" w:eastAsia="仿宋"/>
          <w:sz w:val="32"/>
        </w:rPr>
        <w:t>%；其他收入</w:t>
      </w:r>
      <w:r>
        <w:rPr>
          <w:rFonts w:hint="eastAsia" w:ascii="仿宋" w:hAnsi="仿宋" w:eastAsia="仿宋"/>
          <w:sz w:val="32"/>
          <w:lang w:val="en-US" w:eastAsia="zh-CN"/>
        </w:rPr>
        <w:t>0.01</w:t>
      </w:r>
      <w:r>
        <w:rPr>
          <w:rFonts w:hint="eastAsia" w:ascii="仿宋" w:hAnsi="仿宋" w:eastAsia="仿宋"/>
          <w:sz w:val="32"/>
        </w:rPr>
        <w:t>万元，占</w:t>
      </w:r>
      <w:r>
        <w:rPr>
          <w:rFonts w:hint="eastAsia" w:ascii="仿宋" w:hAnsi="仿宋" w:eastAsia="仿宋"/>
          <w:sz w:val="32"/>
          <w:lang w:val="en-US" w:eastAsia="zh-CN"/>
        </w:rPr>
        <w:t>0.01</w:t>
      </w:r>
      <w:r>
        <w:rPr>
          <w:rFonts w:hint="eastAsia" w:ascii="仿宋" w:hAnsi="仿宋" w:eastAsia="仿宋"/>
          <w:sz w:val="32"/>
        </w:rPr>
        <w:t>%</w:t>
      </w:r>
      <w:r>
        <w:rPr>
          <w:rFonts w:hint="eastAsia" w:ascii="仿宋" w:hAnsi="仿宋" w:eastAsia="仿宋"/>
          <w:sz w:val="32"/>
          <w:lang w:eastAsia="zh-CN"/>
        </w:rPr>
        <w:t>。</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三、</w:t>
      </w:r>
      <w:r>
        <w:rPr>
          <w:rFonts w:hint="eastAsia" w:ascii="黑体" w:hAnsi="黑体" w:eastAsia="黑体"/>
          <w:sz w:val="32"/>
          <w:szCs w:val="30"/>
        </w:rPr>
        <w:t>支出决算情况说明</w:t>
      </w:r>
    </w:p>
    <w:p>
      <w:pPr>
        <w:rPr>
          <w:rFonts w:hint="eastAsia" w:ascii="仿宋" w:hAnsi="仿宋" w:eastAsia="仿宋"/>
          <w:sz w:val="32"/>
        </w:rPr>
      </w:pPr>
      <w:r>
        <w:rPr>
          <w:rFonts w:hint="eastAsia" w:ascii="仿宋" w:hAnsi="仿宋" w:eastAsia="仿宋"/>
          <w:sz w:val="32"/>
        </w:rPr>
        <w:t xml:space="preserve">    本年支出合计</w:t>
      </w:r>
      <w:r>
        <w:rPr>
          <w:rFonts w:hint="eastAsia" w:ascii="仿宋" w:hAnsi="仿宋" w:eastAsia="仿宋"/>
          <w:sz w:val="32"/>
          <w:lang w:val="en-US" w:eastAsia="zh-CN"/>
        </w:rPr>
        <w:t>432.28</w:t>
      </w:r>
      <w:r>
        <w:rPr>
          <w:rFonts w:hint="eastAsia" w:ascii="仿宋" w:hAnsi="仿宋" w:eastAsia="仿宋"/>
          <w:sz w:val="32"/>
        </w:rPr>
        <w:t>万元，其中：基本支出</w:t>
      </w:r>
      <w:r>
        <w:rPr>
          <w:rFonts w:hint="eastAsia" w:ascii="仿宋" w:hAnsi="仿宋" w:eastAsia="仿宋"/>
          <w:sz w:val="32"/>
          <w:lang w:val="en-US" w:eastAsia="zh-CN"/>
        </w:rPr>
        <w:t>348.64</w:t>
      </w:r>
      <w:r>
        <w:rPr>
          <w:rFonts w:hint="eastAsia" w:ascii="仿宋" w:hAnsi="仿宋" w:eastAsia="仿宋"/>
          <w:sz w:val="32"/>
        </w:rPr>
        <w:t>万元，占</w:t>
      </w:r>
      <w:r>
        <w:rPr>
          <w:rFonts w:hint="eastAsia" w:ascii="仿宋" w:hAnsi="仿宋" w:eastAsia="仿宋"/>
          <w:sz w:val="32"/>
          <w:lang w:val="en-US" w:eastAsia="zh-CN"/>
        </w:rPr>
        <w:t>80.65</w:t>
      </w:r>
      <w:r>
        <w:rPr>
          <w:rFonts w:hint="eastAsia" w:ascii="仿宋" w:hAnsi="仿宋" w:eastAsia="仿宋"/>
          <w:sz w:val="32"/>
        </w:rPr>
        <w:t>%；项目支出</w:t>
      </w:r>
      <w:r>
        <w:rPr>
          <w:rFonts w:hint="eastAsia" w:ascii="仿宋" w:hAnsi="仿宋" w:eastAsia="仿宋"/>
          <w:sz w:val="32"/>
          <w:lang w:val="en-US" w:eastAsia="zh-CN"/>
        </w:rPr>
        <w:t>83.64</w:t>
      </w:r>
      <w:r>
        <w:rPr>
          <w:rFonts w:hint="eastAsia" w:ascii="仿宋" w:hAnsi="仿宋" w:eastAsia="仿宋"/>
          <w:sz w:val="32"/>
        </w:rPr>
        <w:t>万元，占</w:t>
      </w:r>
      <w:r>
        <w:rPr>
          <w:rFonts w:hint="eastAsia" w:ascii="仿宋" w:hAnsi="仿宋" w:eastAsia="仿宋"/>
          <w:sz w:val="32"/>
          <w:lang w:val="en-US" w:eastAsia="zh-CN"/>
        </w:rPr>
        <w:t>19.35</w:t>
      </w:r>
      <w:r>
        <w:rPr>
          <w:rFonts w:hint="eastAsia" w:ascii="仿宋" w:hAnsi="仿宋" w:eastAsia="仿宋"/>
          <w:sz w:val="32"/>
        </w:rPr>
        <w:t>%</w:t>
      </w:r>
      <w:r>
        <w:rPr>
          <w:rFonts w:hint="eastAsia" w:ascii="仿宋" w:hAnsi="仿宋" w:eastAsia="仿宋"/>
          <w:sz w:val="32"/>
          <w:lang w:eastAsia="zh-CN"/>
        </w:rPr>
        <w:t>。</w:t>
      </w:r>
      <w:r>
        <w:rPr>
          <w:rFonts w:hint="eastAsia" w:ascii="仿宋" w:hAnsi="仿宋" w:eastAsia="仿宋"/>
          <w:sz w:val="32"/>
        </w:rPr>
        <w:t>基本支出中，人员经费</w:t>
      </w:r>
      <w:r>
        <w:rPr>
          <w:rFonts w:hint="eastAsia" w:ascii="仿宋" w:hAnsi="仿宋" w:eastAsia="仿宋"/>
          <w:sz w:val="32"/>
          <w:lang w:val="en-US" w:eastAsia="zh-CN"/>
        </w:rPr>
        <w:t>342.27</w:t>
      </w:r>
      <w:r>
        <w:rPr>
          <w:rFonts w:hint="eastAsia" w:ascii="仿宋" w:hAnsi="仿宋" w:eastAsia="仿宋"/>
          <w:sz w:val="32"/>
        </w:rPr>
        <w:t>万元，占</w:t>
      </w:r>
      <w:r>
        <w:rPr>
          <w:rFonts w:hint="eastAsia" w:ascii="仿宋" w:hAnsi="仿宋" w:eastAsia="仿宋"/>
          <w:sz w:val="32"/>
          <w:lang w:val="en-US" w:eastAsia="zh-CN"/>
        </w:rPr>
        <w:t>98.17</w:t>
      </w:r>
      <w:r>
        <w:rPr>
          <w:rFonts w:hint="eastAsia" w:ascii="仿宋" w:hAnsi="仿宋" w:eastAsia="仿宋"/>
          <w:sz w:val="32"/>
        </w:rPr>
        <w:t>%；公用经费</w:t>
      </w:r>
      <w:r>
        <w:rPr>
          <w:rFonts w:hint="eastAsia" w:ascii="仿宋" w:hAnsi="仿宋" w:eastAsia="仿宋"/>
          <w:sz w:val="32"/>
          <w:lang w:val="en-US" w:eastAsia="zh-CN"/>
        </w:rPr>
        <w:t>6.37</w:t>
      </w:r>
      <w:r>
        <w:rPr>
          <w:rFonts w:hint="eastAsia" w:ascii="仿宋" w:hAnsi="仿宋" w:eastAsia="仿宋"/>
          <w:sz w:val="32"/>
        </w:rPr>
        <w:t>万元，占</w:t>
      </w:r>
      <w:r>
        <w:rPr>
          <w:rFonts w:hint="eastAsia" w:ascii="仿宋" w:hAnsi="仿宋" w:eastAsia="仿宋"/>
          <w:sz w:val="32"/>
          <w:lang w:val="en-US" w:eastAsia="zh-CN"/>
        </w:rPr>
        <w:t>1.83</w:t>
      </w:r>
      <w:r>
        <w:rPr>
          <w:rFonts w:hint="eastAsia" w:ascii="仿宋" w:hAnsi="仿宋" w:eastAsia="仿宋"/>
          <w:sz w:val="32"/>
        </w:rPr>
        <w:t>%</w:t>
      </w:r>
      <w:r>
        <w:rPr>
          <w:rFonts w:hint="eastAsia" w:ascii="仿宋" w:hAnsi="仿宋" w:eastAsia="仿宋"/>
          <w:sz w:val="32"/>
          <w:szCs w:val="30"/>
        </w:rPr>
        <w:t>。</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pPr>
        <w:rPr>
          <w:rFonts w:hint="eastAsia" w:ascii="仿宋" w:hAnsi="仿宋" w:eastAsia="仿宋"/>
          <w:sz w:val="32"/>
          <w:szCs w:val="30"/>
        </w:rPr>
      </w:pPr>
      <w:r>
        <w:rPr>
          <w:rFonts w:hint="eastAsia" w:ascii="仿宋" w:hAnsi="仿宋" w:eastAsia="仿宋"/>
          <w:sz w:val="32"/>
        </w:rPr>
        <w:t xml:space="preserve">   2021年</w:t>
      </w:r>
      <w:r>
        <w:rPr>
          <w:rFonts w:hint="eastAsia" w:ascii="仿宋" w:hAnsi="仿宋" w:eastAsia="仿宋"/>
          <w:sz w:val="32"/>
          <w:szCs w:val="30"/>
        </w:rPr>
        <w:t>度财政拨款</w:t>
      </w:r>
      <w:r>
        <w:rPr>
          <w:rFonts w:hint="eastAsia" w:ascii="仿宋" w:hAnsi="仿宋" w:eastAsia="仿宋"/>
          <w:sz w:val="32"/>
        </w:rPr>
        <w:t>收</w:t>
      </w:r>
      <w:r>
        <w:rPr>
          <w:rFonts w:hint="eastAsia" w:ascii="仿宋" w:hAnsi="仿宋" w:eastAsia="仿宋"/>
          <w:sz w:val="32"/>
          <w:lang w:val="en-US" w:eastAsia="zh-CN"/>
        </w:rPr>
        <w:t>入总计432.29</w:t>
      </w:r>
      <w:r>
        <w:rPr>
          <w:rFonts w:hint="eastAsia" w:ascii="仿宋" w:hAnsi="仿宋" w:eastAsia="仿宋"/>
          <w:sz w:val="32"/>
          <w:szCs w:val="30"/>
        </w:rPr>
        <w:t>万元，</w:t>
      </w:r>
      <w:r>
        <w:rPr>
          <w:rFonts w:hint="eastAsia" w:ascii="仿宋" w:hAnsi="仿宋" w:eastAsia="仿宋"/>
          <w:sz w:val="32"/>
          <w:szCs w:val="30"/>
          <w:lang w:val="en-US" w:eastAsia="zh-CN"/>
        </w:rPr>
        <w:t>财政拨款收入支出总计432.28万元。</w:t>
      </w:r>
      <w:r>
        <w:rPr>
          <w:rFonts w:hint="eastAsia" w:ascii="仿宋" w:hAnsi="仿宋" w:eastAsia="仿宋"/>
          <w:sz w:val="32"/>
          <w:szCs w:val="30"/>
        </w:rPr>
        <w:t>与2020年相比，财政拨款</w:t>
      </w:r>
      <w:r>
        <w:rPr>
          <w:rFonts w:hint="eastAsia" w:ascii="仿宋" w:hAnsi="仿宋" w:eastAsia="仿宋"/>
          <w:sz w:val="32"/>
          <w:szCs w:val="30"/>
          <w:lang w:val="en-US" w:eastAsia="zh-CN"/>
        </w:rPr>
        <w:t>收入</w:t>
      </w:r>
      <w:r>
        <w:rPr>
          <w:rFonts w:hint="eastAsia" w:ascii="仿宋" w:hAnsi="仿宋" w:eastAsia="仿宋"/>
          <w:sz w:val="32"/>
          <w:szCs w:val="30"/>
        </w:rPr>
        <w:t>增加</w:t>
      </w:r>
      <w:r>
        <w:rPr>
          <w:rFonts w:hint="eastAsia" w:ascii="仿宋" w:hAnsi="仿宋" w:eastAsia="仿宋"/>
          <w:sz w:val="32"/>
          <w:szCs w:val="30"/>
          <w:lang w:val="en-US" w:eastAsia="zh-CN"/>
        </w:rPr>
        <w:t>22.14</w:t>
      </w:r>
      <w:r>
        <w:rPr>
          <w:rFonts w:hint="eastAsia" w:ascii="仿宋" w:hAnsi="仿宋" w:eastAsia="仿宋"/>
          <w:sz w:val="32"/>
          <w:szCs w:val="30"/>
        </w:rPr>
        <w:t>万元，增长</w:t>
      </w:r>
      <w:r>
        <w:rPr>
          <w:rFonts w:hint="eastAsia" w:ascii="仿宋" w:hAnsi="仿宋" w:eastAsia="仿宋"/>
          <w:sz w:val="32"/>
          <w:szCs w:val="30"/>
          <w:lang w:val="en-US" w:eastAsia="zh-CN"/>
        </w:rPr>
        <w:t>5.40</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sz w:val="32"/>
          <w:szCs w:val="30"/>
          <w:lang w:val="en-US" w:eastAsia="zh-CN"/>
        </w:rPr>
        <w:t>支出增加25.33万元，增长6.22%</w:t>
      </w:r>
      <w:r>
        <w:rPr>
          <w:rFonts w:hint="eastAsia" w:ascii="仿宋" w:hAnsi="仿宋" w:eastAsia="仿宋"/>
          <w:sz w:val="32"/>
          <w:szCs w:val="30"/>
        </w:rPr>
        <w:t>。主要原因:</w:t>
      </w:r>
      <w:r>
        <w:rPr>
          <w:rFonts w:hint="eastAsia" w:ascii="仿宋" w:hAnsi="仿宋" w:eastAsia="仿宋"/>
          <w:sz w:val="32"/>
          <w:szCs w:val="30"/>
          <w:lang w:val="en-US" w:eastAsia="zh-CN"/>
        </w:rPr>
        <w:t>市局委托审计项目、区政府委托土地整理成本复核审计项目大幅度增加；同时需对换届领导进行经济责任离任审计，支出项目比例增加</w:t>
      </w:r>
      <w:r>
        <w:rPr>
          <w:rFonts w:hint="eastAsia" w:ascii="仿宋" w:hAnsi="仿宋" w:eastAsia="仿宋"/>
          <w:sz w:val="32"/>
          <w:szCs w:val="30"/>
        </w:rPr>
        <w:t>。。</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pPr>
        <w:ind w:firstLine="640"/>
        <w:rPr>
          <w:rFonts w:hint="eastAsia" w:ascii="楷体" w:hAnsi="楷体" w:eastAsia="楷体"/>
          <w:b/>
          <w:bCs/>
          <w:sz w:val="32"/>
        </w:rPr>
      </w:pPr>
      <w:r>
        <w:rPr>
          <w:rFonts w:hint="eastAsia" w:ascii="楷体" w:hAnsi="楷体" w:eastAsia="楷体"/>
          <w:b/>
          <w:bCs/>
          <w:sz w:val="32"/>
        </w:rPr>
        <w:t>（一）一般公共</w:t>
      </w:r>
      <w:r>
        <w:rPr>
          <w:rFonts w:ascii="楷体" w:hAnsi="楷体" w:eastAsia="楷体"/>
          <w:b/>
          <w:bCs/>
          <w:sz w:val="32"/>
        </w:rPr>
        <w:t>预算</w:t>
      </w:r>
      <w:r>
        <w:rPr>
          <w:rFonts w:hint="eastAsia" w:ascii="楷体" w:hAnsi="楷体" w:eastAsia="楷体"/>
          <w:b/>
          <w:bCs/>
          <w:sz w:val="32"/>
        </w:rPr>
        <w:t>财政拨款支出决算总体情况</w:t>
      </w:r>
    </w:p>
    <w:p>
      <w:pPr>
        <w:ind w:firstLine="640"/>
        <w:rPr>
          <w:rFonts w:hint="eastAsia" w:ascii="仿宋" w:hAnsi="仿宋" w:eastAsia="仿宋"/>
          <w:sz w:val="32"/>
          <w:szCs w:val="30"/>
        </w:rPr>
      </w:pPr>
      <w:r>
        <w:rPr>
          <w:rFonts w:hint="eastAsia" w:ascii="仿宋" w:hAnsi="仿宋" w:eastAsia="仿宋"/>
          <w:sz w:val="32"/>
        </w:rPr>
        <w:t>2021年</w:t>
      </w:r>
      <w:r>
        <w:rPr>
          <w:rFonts w:hint="eastAsia" w:ascii="仿宋" w:hAnsi="仿宋" w:eastAsia="仿宋"/>
          <w:sz w:val="32"/>
          <w:szCs w:val="30"/>
        </w:rPr>
        <w:t>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432.28</w:t>
      </w:r>
      <w:r>
        <w:rPr>
          <w:rFonts w:hint="eastAsia" w:ascii="仿宋" w:hAnsi="仿宋" w:eastAsia="仿宋"/>
          <w:sz w:val="32"/>
          <w:szCs w:val="30"/>
        </w:rPr>
        <w:t>万元，占本年支出合计的</w:t>
      </w:r>
      <w:r>
        <w:rPr>
          <w:rFonts w:hint="eastAsia" w:ascii="仿宋" w:hAnsi="仿宋" w:eastAsia="仿宋"/>
          <w:sz w:val="32"/>
          <w:szCs w:val="30"/>
          <w:lang w:val="en-US" w:eastAsia="zh-CN"/>
        </w:rPr>
        <w:t>99.99</w:t>
      </w:r>
      <w:r>
        <w:rPr>
          <w:rFonts w:hint="eastAsia" w:ascii="仿宋" w:hAnsi="仿宋" w:eastAsia="仿宋"/>
          <w:sz w:val="32"/>
          <w:szCs w:val="30"/>
        </w:rPr>
        <w:t>%。与2020年相比，一般</w:t>
      </w:r>
      <w:r>
        <w:rPr>
          <w:rFonts w:ascii="仿宋" w:hAnsi="仿宋" w:eastAsia="仿宋"/>
          <w:sz w:val="32"/>
          <w:szCs w:val="30"/>
        </w:rPr>
        <w:t>公共预算</w:t>
      </w:r>
      <w:r>
        <w:rPr>
          <w:rFonts w:hint="eastAsia" w:ascii="仿宋" w:hAnsi="仿宋" w:eastAsia="仿宋"/>
          <w:sz w:val="32"/>
          <w:szCs w:val="30"/>
        </w:rPr>
        <w:t>财政拨款支出增加</w:t>
      </w:r>
      <w:r>
        <w:rPr>
          <w:rFonts w:hint="eastAsia" w:ascii="仿宋" w:hAnsi="仿宋" w:eastAsia="仿宋"/>
          <w:sz w:val="32"/>
          <w:szCs w:val="30"/>
          <w:lang w:val="en-US" w:eastAsia="zh-CN"/>
        </w:rPr>
        <w:t>25.33</w:t>
      </w:r>
      <w:r>
        <w:rPr>
          <w:rFonts w:hint="eastAsia" w:ascii="仿宋" w:hAnsi="仿宋" w:eastAsia="仿宋"/>
          <w:sz w:val="32"/>
          <w:szCs w:val="30"/>
        </w:rPr>
        <w:t>万元，增长</w:t>
      </w:r>
      <w:r>
        <w:rPr>
          <w:rFonts w:hint="eastAsia" w:ascii="仿宋" w:hAnsi="仿宋" w:eastAsia="仿宋"/>
          <w:sz w:val="32"/>
          <w:szCs w:val="30"/>
          <w:lang w:val="en-US" w:eastAsia="zh-CN"/>
        </w:rPr>
        <w:t>6.22</w:t>
      </w:r>
      <w:r>
        <w:rPr>
          <w:rFonts w:hint="eastAsia" w:ascii="仿宋" w:hAnsi="仿宋" w:eastAsia="仿宋"/>
          <w:sz w:val="32"/>
          <w:szCs w:val="30"/>
        </w:rPr>
        <w:t xml:space="preserve"> %。主要原因</w:t>
      </w:r>
      <w:r>
        <w:rPr>
          <w:rFonts w:hint="eastAsia" w:ascii="仿宋" w:hAnsi="仿宋" w:eastAsia="仿宋"/>
          <w:sz w:val="32"/>
          <w:szCs w:val="30"/>
          <w:lang w:val="en-US" w:eastAsia="zh-CN"/>
        </w:rPr>
        <w:t>换届年份领导经济责任离任审计项目较往年大幅度增加</w:t>
      </w:r>
      <w:r>
        <w:rPr>
          <w:rFonts w:hint="eastAsia" w:ascii="仿宋" w:hAnsi="仿宋" w:eastAsia="仿宋"/>
          <w:sz w:val="32"/>
          <w:szCs w:val="30"/>
        </w:rPr>
        <w:t>。</w:t>
      </w:r>
    </w:p>
    <w:p>
      <w:pPr>
        <w:rPr>
          <w:rFonts w:hint="eastAsia"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（二）一般公共</w:t>
      </w:r>
      <w:r>
        <w:rPr>
          <w:rFonts w:ascii="楷体" w:hAnsi="楷体" w:eastAsia="楷体"/>
          <w:b/>
          <w:bCs/>
          <w:sz w:val="32"/>
        </w:rPr>
        <w:t>预算</w:t>
      </w:r>
      <w:r>
        <w:rPr>
          <w:rFonts w:hint="eastAsia" w:ascii="楷体" w:hAnsi="楷体" w:eastAsia="楷体"/>
          <w:b/>
          <w:bCs/>
          <w:sz w:val="32"/>
        </w:rPr>
        <w:t>财政拨款支出决算结构情况</w:t>
      </w:r>
    </w:p>
    <w:p>
      <w:pPr>
        <w:rPr>
          <w:rFonts w:hint="eastAsia"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2021年度一般</w:t>
      </w:r>
      <w:r>
        <w:rPr>
          <w:rFonts w:ascii="仿宋" w:hAnsi="仿宋" w:eastAsia="仿宋"/>
          <w:sz w:val="32"/>
          <w:szCs w:val="30"/>
        </w:rPr>
        <w:t>公共预算</w:t>
      </w:r>
      <w:r>
        <w:rPr>
          <w:rFonts w:hint="eastAsia" w:ascii="仿宋" w:hAnsi="仿宋" w:eastAsia="仿宋"/>
          <w:sz w:val="32"/>
          <w:szCs w:val="30"/>
        </w:rPr>
        <w:t>财政拨款支出</w:t>
      </w:r>
      <w:r>
        <w:rPr>
          <w:rFonts w:hint="eastAsia" w:ascii="仿宋" w:hAnsi="仿宋" w:eastAsia="仿宋"/>
          <w:sz w:val="32"/>
          <w:szCs w:val="30"/>
          <w:lang w:val="en-US" w:eastAsia="zh-CN"/>
        </w:rPr>
        <w:t>432.28</w:t>
      </w:r>
      <w:r>
        <w:rPr>
          <w:rFonts w:hint="eastAsia" w:ascii="仿宋" w:hAnsi="仿宋" w:eastAsia="仿宋"/>
          <w:sz w:val="32"/>
          <w:szCs w:val="30"/>
        </w:rPr>
        <w:t>万元，主要用于以下方面：（按支出功能分类科目的类级科目逐一说明）一般公共服务（类）支出</w:t>
      </w:r>
      <w:r>
        <w:rPr>
          <w:rFonts w:hint="eastAsia" w:ascii="仿宋" w:hAnsi="仿宋" w:eastAsia="仿宋"/>
          <w:sz w:val="32"/>
          <w:szCs w:val="30"/>
          <w:lang w:val="en-US" w:eastAsia="zh-CN"/>
        </w:rPr>
        <w:t>388.22</w:t>
      </w:r>
      <w:r>
        <w:rPr>
          <w:rFonts w:hint="eastAsia" w:ascii="仿宋" w:hAnsi="仿宋" w:eastAsia="仿宋"/>
          <w:sz w:val="32"/>
          <w:szCs w:val="30"/>
        </w:rPr>
        <w:t>万元，占</w:t>
      </w:r>
      <w:r>
        <w:rPr>
          <w:rFonts w:hint="eastAsia" w:ascii="仿宋" w:hAnsi="仿宋" w:eastAsia="仿宋"/>
          <w:sz w:val="32"/>
          <w:szCs w:val="30"/>
          <w:lang w:val="en-US" w:eastAsia="zh-CN"/>
        </w:rPr>
        <w:t>89.81</w:t>
      </w:r>
      <w:r>
        <w:rPr>
          <w:rFonts w:hint="eastAsia" w:ascii="仿宋" w:hAnsi="仿宋" w:eastAsia="仿宋"/>
          <w:sz w:val="32"/>
          <w:szCs w:val="30"/>
        </w:rPr>
        <w:t>%；</w:t>
      </w:r>
      <w:r>
        <w:rPr>
          <w:rFonts w:hint="eastAsia" w:ascii="仿宋" w:hAnsi="仿宋" w:eastAsia="仿宋"/>
          <w:sz w:val="32"/>
          <w:szCs w:val="30"/>
          <w:lang w:val="en-US" w:eastAsia="zh-CN"/>
        </w:rPr>
        <w:t>住房保障支出</w:t>
      </w:r>
      <w:r>
        <w:rPr>
          <w:rFonts w:hint="eastAsia" w:ascii="仿宋" w:hAnsi="仿宋" w:eastAsia="仿宋"/>
          <w:sz w:val="32"/>
          <w:szCs w:val="30"/>
        </w:rPr>
        <w:t>支出</w:t>
      </w:r>
      <w:r>
        <w:rPr>
          <w:rFonts w:hint="eastAsia" w:ascii="仿宋" w:hAnsi="仿宋" w:eastAsia="仿宋"/>
          <w:sz w:val="32"/>
          <w:szCs w:val="30"/>
          <w:lang w:val="en-US" w:eastAsia="zh-CN"/>
        </w:rPr>
        <w:t>44.05</w:t>
      </w:r>
      <w:r>
        <w:rPr>
          <w:rFonts w:hint="eastAsia" w:ascii="仿宋" w:hAnsi="仿宋" w:eastAsia="仿宋"/>
          <w:sz w:val="32"/>
          <w:szCs w:val="30"/>
        </w:rPr>
        <w:t>万元，占</w:t>
      </w:r>
      <w:r>
        <w:rPr>
          <w:rFonts w:hint="eastAsia" w:ascii="仿宋" w:hAnsi="仿宋" w:eastAsia="仿宋"/>
          <w:sz w:val="32"/>
          <w:szCs w:val="30"/>
          <w:lang w:val="en-US" w:eastAsia="zh-CN"/>
        </w:rPr>
        <w:t>10.19</w:t>
      </w:r>
      <w:r>
        <w:rPr>
          <w:rFonts w:hint="eastAsia" w:ascii="仿宋" w:hAnsi="仿宋" w:eastAsia="仿宋"/>
          <w:sz w:val="32"/>
          <w:szCs w:val="30"/>
        </w:rPr>
        <w:t>%。</w:t>
      </w:r>
    </w:p>
    <w:p>
      <w:pPr>
        <w:rPr>
          <w:rFonts w:hint="eastAsia"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 xml:space="preserve"> （三）一般</w:t>
      </w:r>
      <w:r>
        <w:rPr>
          <w:rFonts w:ascii="楷体" w:hAnsi="楷体" w:eastAsia="楷体"/>
          <w:b/>
          <w:bCs/>
          <w:sz w:val="32"/>
        </w:rPr>
        <w:t>公共预算</w:t>
      </w:r>
      <w:r>
        <w:rPr>
          <w:rFonts w:hint="eastAsia" w:ascii="楷体" w:hAnsi="楷体" w:eastAsia="楷体"/>
          <w:b/>
          <w:bCs/>
          <w:sz w:val="32"/>
        </w:rPr>
        <w:t>财政拨款支出决算具体情况</w:t>
      </w:r>
    </w:p>
    <w:p>
      <w:pPr>
        <w:ind w:firstLine="640" w:firstLineChars="200"/>
        <w:rPr>
          <w:rFonts w:hint="eastAsia" w:ascii="仿宋" w:hAnsi="仿宋" w:eastAsia="仿宋"/>
          <w:sz w:val="32"/>
          <w:szCs w:val="30"/>
        </w:rPr>
      </w:pPr>
      <w:r>
        <w:rPr>
          <w:rFonts w:hint="eastAsia" w:ascii="仿宋" w:hAnsi="仿宋" w:eastAsia="仿宋"/>
          <w:sz w:val="32"/>
          <w:szCs w:val="30"/>
        </w:rPr>
        <w:t>2021年度一般</w:t>
      </w:r>
      <w:r>
        <w:rPr>
          <w:rFonts w:ascii="仿宋" w:hAnsi="仿宋" w:eastAsia="仿宋"/>
          <w:sz w:val="32"/>
          <w:szCs w:val="30"/>
        </w:rPr>
        <w:t>公共预算</w:t>
      </w:r>
      <w:r>
        <w:rPr>
          <w:rFonts w:hint="eastAsia" w:ascii="仿宋" w:hAnsi="仿宋" w:eastAsia="仿宋"/>
          <w:sz w:val="32"/>
          <w:szCs w:val="30"/>
        </w:rPr>
        <w:t>财政拨款支出年初预算为</w:t>
      </w:r>
      <w:r>
        <w:rPr>
          <w:rFonts w:hint="eastAsia" w:ascii="仿宋" w:hAnsi="仿宋" w:eastAsia="仿宋"/>
          <w:sz w:val="32"/>
          <w:szCs w:val="30"/>
          <w:lang w:val="en-US" w:eastAsia="zh-CN"/>
        </w:rPr>
        <w:t>433.0</w:t>
      </w:r>
      <w:r>
        <w:rPr>
          <w:rFonts w:hint="eastAsia" w:ascii="仿宋" w:hAnsi="仿宋" w:eastAsia="仿宋"/>
          <w:sz w:val="32"/>
          <w:szCs w:val="30"/>
        </w:rPr>
        <w:t>万元，支出决算为</w:t>
      </w:r>
      <w:r>
        <w:rPr>
          <w:rFonts w:hint="eastAsia" w:ascii="仿宋" w:hAnsi="仿宋" w:eastAsia="仿宋"/>
          <w:sz w:val="32"/>
          <w:szCs w:val="30"/>
          <w:lang w:val="en-US" w:eastAsia="zh-CN"/>
        </w:rPr>
        <w:t>432.28</w:t>
      </w:r>
      <w:r>
        <w:rPr>
          <w:rFonts w:hint="eastAsia" w:ascii="仿宋" w:hAnsi="仿宋" w:eastAsia="仿宋"/>
          <w:sz w:val="32"/>
          <w:szCs w:val="30"/>
        </w:rPr>
        <w:t>万元，完成年初预算的</w:t>
      </w:r>
      <w:r>
        <w:rPr>
          <w:rFonts w:hint="eastAsia" w:ascii="仿宋" w:hAnsi="仿宋" w:eastAsia="仿宋"/>
          <w:sz w:val="32"/>
          <w:szCs w:val="30"/>
          <w:lang w:val="en-US" w:eastAsia="zh-CN"/>
        </w:rPr>
        <w:t>99.83</w:t>
      </w:r>
      <w:r>
        <w:rPr>
          <w:rFonts w:hint="eastAsia" w:ascii="仿宋" w:hAnsi="仿宋" w:eastAsia="仿宋"/>
          <w:sz w:val="32"/>
          <w:szCs w:val="30"/>
        </w:rPr>
        <w:t>%。其中：</w:t>
      </w:r>
    </w:p>
    <w:p>
      <w:pPr>
        <w:ind w:firstLine="640" w:firstLineChars="200"/>
        <w:rPr>
          <w:rFonts w:hint="eastAsia" w:ascii="仿宋" w:hAnsi="仿宋" w:eastAsia="仿宋"/>
          <w:sz w:val="32"/>
          <w:highlight w:val="none"/>
        </w:rPr>
      </w:pPr>
      <w:r>
        <w:rPr>
          <w:rFonts w:hint="eastAsia" w:ascii="仿宋" w:hAnsi="仿宋" w:eastAsia="仿宋"/>
          <w:sz w:val="32"/>
        </w:rPr>
        <w:t>1.</w:t>
      </w:r>
      <w:r>
        <w:rPr>
          <w:rFonts w:hint="eastAsia" w:ascii="仿宋" w:hAnsi="仿宋" w:eastAsia="仿宋"/>
          <w:sz w:val="32"/>
          <w:szCs w:val="30"/>
        </w:rPr>
        <w:t>一般公共服务</w:t>
      </w:r>
      <w:r>
        <w:rPr>
          <w:rFonts w:hint="eastAsia" w:ascii="仿宋" w:hAnsi="仿宋" w:eastAsia="仿宋"/>
          <w:sz w:val="32"/>
          <w:szCs w:val="30"/>
          <w:lang w:val="en-US" w:eastAsia="zh-CN"/>
        </w:rPr>
        <w:t>支出（类)审计</w:t>
      </w:r>
      <w:r>
        <w:rPr>
          <w:rFonts w:hint="eastAsia" w:ascii="仿宋" w:hAnsi="仿宋" w:eastAsia="仿宋"/>
          <w:sz w:val="32"/>
          <w:szCs w:val="30"/>
        </w:rPr>
        <w:t>事务</w:t>
      </w:r>
      <w:r>
        <w:rPr>
          <w:rFonts w:hint="eastAsia" w:ascii="仿宋" w:hAnsi="仿宋" w:eastAsia="仿宋"/>
          <w:sz w:val="32"/>
          <w:szCs w:val="30"/>
          <w:lang w:val="en-US" w:eastAsia="zh-CN"/>
        </w:rPr>
        <w:t>(款）</w:t>
      </w:r>
      <w:r>
        <w:rPr>
          <w:rFonts w:hint="eastAsia" w:ascii="仿宋" w:hAnsi="仿宋" w:eastAsia="仿宋"/>
          <w:sz w:val="32"/>
          <w:szCs w:val="30"/>
        </w:rPr>
        <w:t>行政运行</w:t>
      </w:r>
      <w:r>
        <w:rPr>
          <w:rFonts w:hint="eastAsia" w:ascii="仿宋" w:hAnsi="仿宋" w:eastAsia="仿宋"/>
          <w:sz w:val="32"/>
          <w:szCs w:val="30"/>
          <w:lang w:eastAsia="zh-CN"/>
        </w:rPr>
        <w:t>（</w:t>
      </w:r>
      <w:r>
        <w:rPr>
          <w:rFonts w:hint="eastAsia" w:ascii="仿宋" w:hAnsi="仿宋" w:eastAsia="仿宋"/>
          <w:sz w:val="32"/>
          <w:szCs w:val="30"/>
          <w:lang w:val="en-US" w:eastAsia="zh-CN"/>
        </w:rPr>
        <w:t>项）</w:t>
      </w:r>
      <w:r>
        <w:rPr>
          <w:rFonts w:hint="eastAsia" w:ascii="仿宋" w:hAnsi="仿宋" w:eastAsia="仿宋"/>
          <w:sz w:val="32"/>
          <w:szCs w:val="30"/>
        </w:rPr>
        <w:t>。</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283</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282.75</w:t>
      </w:r>
      <w:r>
        <w:rPr>
          <w:rFonts w:hint="eastAsia" w:ascii="仿宋" w:hAnsi="仿宋" w:eastAsia="仿宋"/>
          <w:sz w:val="32"/>
          <w:szCs w:val="30"/>
          <w:highlight w:val="none"/>
        </w:rPr>
        <w:t>万元，完</w:t>
      </w:r>
      <w:bookmarkStart w:id="1" w:name="_GoBack"/>
      <w:bookmarkEnd w:id="1"/>
      <w:r>
        <w:rPr>
          <w:rFonts w:hint="eastAsia" w:ascii="仿宋" w:hAnsi="仿宋" w:eastAsia="仿宋"/>
          <w:sz w:val="32"/>
          <w:szCs w:val="30"/>
          <w:highlight w:val="none"/>
        </w:rPr>
        <w:t>成年初预算的</w:t>
      </w:r>
      <w:r>
        <w:rPr>
          <w:rFonts w:hint="eastAsia" w:ascii="仿宋" w:hAnsi="仿宋" w:eastAsia="仿宋"/>
          <w:sz w:val="32"/>
          <w:szCs w:val="30"/>
          <w:highlight w:val="none"/>
          <w:lang w:val="en-US" w:eastAsia="zh-CN"/>
        </w:rPr>
        <w:t>99.91</w:t>
      </w:r>
      <w:r>
        <w:rPr>
          <w:rFonts w:hint="eastAsia" w:ascii="仿宋" w:hAnsi="仿宋" w:eastAsia="仿宋"/>
          <w:sz w:val="32"/>
          <w:szCs w:val="30"/>
          <w:highlight w:val="none"/>
        </w:rPr>
        <w:t>%。</w:t>
      </w:r>
      <w:bookmarkStart w:id="0" w:name="OLE_LINK1"/>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小</w:t>
      </w:r>
      <w:r>
        <w:rPr>
          <w:rFonts w:hint="eastAsia" w:ascii="仿宋" w:hAnsi="仿宋" w:eastAsia="仿宋"/>
          <w:sz w:val="32"/>
          <w:szCs w:val="30"/>
          <w:highlight w:val="none"/>
        </w:rPr>
        <w:t>于预算数</w:t>
      </w:r>
      <w:bookmarkEnd w:id="0"/>
      <w:r>
        <w:rPr>
          <w:rFonts w:hint="eastAsia" w:ascii="仿宋" w:hAnsi="仿宋" w:eastAsia="仿宋"/>
          <w:sz w:val="32"/>
          <w:szCs w:val="30"/>
          <w:highlight w:val="none"/>
        </w:rPr>
        <w:t>的主要原因是</w:t>
      </w:r>
      <w:r>
        <w:rPr>
          <w:rFonts w:hint="eastAsia" w:ascii="仿宋" w:hAnsi="仿宋" w:eastAsia="仿宋"/>
          <w:sz w:val="32"/>
          <w:szCs w:val="30"/>
          <w:highlight w:val="none"/>
          <w:lang w:val="en-US" w:eastAsia="zh-CN"/>
        </w:rPr>
        <w:t>正常预算差额</w:t>
      </w:r>
      <w:r>
        <w:rPr>
          <w:rFonts w:hint="eastAsia" w:ascii="仿宋" w:hAnsi="仿宋" w:eastAsia="仿宋"/>
          <w:sz w:val="32"/>
          <w:szCs w:val="30"/>
          <w:highlight w:val="none"/>
        </w:rPr>
        <w:t>。</w:t>
      </w:r>
    </w:p>
    <w:p>
      <w:pPr>
        <w:ind w:firstLine="640" w:firstLineChars="200"/>
        <w:rPr>
          <w:rFonts w:hint="eastAsia" w:ascii="仿宋" w:hAnsi="仿宋" w:eastAsia="仿宋"/>
          <w:sz w:val="32"/>
          <w:highlight w:val="none"/>
        </w:rPr>
      </w:pPr>
      <w:r>
        <w:rPr>
          <w:rFonts w:hint="eastAsia" w:ascii="仿宋" w:hAnsi="仿宋" w:eastAsia="仿宋"/>
          <w:sz w:val="32"/>
          <w:highlight w:val="none"/>
        </w:rPr>
        <w:t>2.</w:t>
      </w:r>
      <w:r>
        <w:rPr>
          <w:rFonts w:hint="eastAsia" w:ascii="仿宋" w:hAnsi="仿宋" w:eastAsia="仿宋"/>
          <w:sz w:val="32"/>
          <w:szCs w:val="30"/>
          <w:highlight w:val="none"/>
          <w:lang w:val="en-US" w:eastAsia="zh-CN"/>
        </w:rPr>
        <w:t>一般公共服务支出（类）审计事务（款）一般行政管理事务（项）。</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29.0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28.68</w:t>
      </w:r>
      <w:r>
        <w:rPr>
          <w:rFonts w:hint="eastAsia" w:ascii="仿宋" w:hAnsi="仿宋" w:eastAsia="仿宋"/>
          <w:sz w:val="32"/>
          <w:szCs w:val="30"/>
          <w:highlight w:val="none"/>
        </w:rPr>
        <w:t>万元，完成年初预算的</w:t>
      </w:r>
      <w:r>
        <w:rPr>
          <w:rFonts w:hint="eastAsia" w:ascii="仿宋" w:hAnsi="仿宋" w:eastAsia="仿宋"/>
          <w:sz w:val="32"/>
          <w:szCs w:val="30"/>
          <w:highlight w:val="none"/>
          <w:lang w:val="en-US" w:eastAsia="zh-CN"/>
        </w:rPr>
        <w:t>98.9</w:t>
      </w:r>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小</w:t>
      </w:r>
      <w:r>
        <w:rPr>
          <w:rFonts w:hint="eastAsia" w:ascii="仿宋" w:hAnsi="仿宋" w:eastAsia="仿宋"/>
          <w:sz w:val="32"/>
          <w:szCs w:val="30"/>
          <w:highlight w:val="none"/>
        </w:rPr>
        <w:t>于预算数的主要原因是</w:t>
      </w:r>
      <w:r>
        <w:rPr>
          <w:rFonts w:hint="eastAsia" w:ascii="仿宋" w:hAnsi="仿宋" w:eastAsia="仿宋"/>
          <w:sz w:val="32"/>
          <w:szCs w:val="30"/>
          <w:highlight w:val="none"/>
          <w:lang w:val="en-US" w:eastAsia="zh-CN"/>
        </w:rPr>
        <w:t>正常预算差额</w:t>
      </w:r>
      <w:r>
        <w:rPr>
          <w:rFonts w:hint="eastAsia" w:ascii="仿宋" w:hAnsi="仿宋" w:eastAsia="仿宋"/>
          <w:sz w:val="32"/>
          <w:szCs w:val="30"/>
          <w:highlight w:val="none"/>
        </w:rPr>
        <w:t>。</w:t>
      </w:r>
    </w:p>
    <w:p>
      <w:pPr>
        <w:ind w:firstLine="640" w:firstLineChars="200"/>
        <w:rPr>
          <w:rFonts w:hint="eastAsia" w:ascii="仿宋" w:hAnsi="仿宋" w:eastAsia="仿宋"/>
          <w:sz w:val="32"/>
          <w:szCs w:val="30"/>
          <w:highlight w:val="none"/>
        </w:rPr>
      </w:pPr>
      <w:r>
        <w:rPr>
          <w:rFonts w:hint="eastAsia" w:ascii="仿宋" w:hAnsi="仿宋" w:eastAsia="仿宋"/>
          <w:sz w:val="32"/>
          <w:highlight w:val="none"/>
        </w:rPr>
        <w:t>3.</w:t>
      </w:r>
      <w:r>
        <w:rPr>
          <w:rFonts w:hint="eastAsia" w:ascii="仿宋" w:hAnsi="仿宋" w:eastAsia="仿宋"/>
          <w:sz w:val="32"/>
          <w:szCs w:val="30"/>
          <w:highlight w:val="none"/>
          <w:lang w:val="en-US" w:eastAsia="zh-CN"/>
        </w:rPr>
        <w:t>一般公共服务支出（类）审计事务（款）审计业务（项）。年初预算为55.0万元</w:t>
      </w:r>
      <w:r>
        <w:rPr>
          <w:rFonts w:hint="eastAsia" w:ascii="仿宋" w:hAnsi="仿宋" w:eastAsia="仿宋"/>
          <w:sz w:val="32"/>
          <w:szCs w:val="30"/>
          <w:highlight w:val="none"/>
        </w:rPr>
        <w:t>，支出决算为</w:t>
      </w:r>
      <w:r>
        <w:rPr>
          <w:rFonts w:hint="eastAsia" w:ascii="仿宋" w:hAnsi="仿宋" w:eastAsia="仿宋"/>
          <w:sz w:val="32"/>
          <w:szCs w:val="30"/>
          <w:highlight w:val="none"/>
          <w:lang w:val="en-US" w:eastAsia="zh-CN"/>
        </w:rPr>
        <w:t>54.96</w:t>
      </w:r>
      <w:r>
        <w:rPr>
          <w:rFonts w:hint="eastAsia" w:ascii="仿宋" w:hAnsi="仿宋" w:eastAsia="仿宋"/>
          <w:sz w:val="32"/>
          <w:szCs w:val="30"/>
          <w:highlight w:val="none"/>
        </w:rPr>
        <w:t>万元，</w:t>
      </w:r>
      <w:r>
        <w:rPr>
          <w:rFonts w:hint="eastAsia" w:ascii="仿宋" w:hAnsi="仿宋" w:eastAsia="仿宋"/>
          <w:sz w:val="32"/>
          <w:szCs w:val="30"/>
          <w:highlight w:val="none"/>
          <w:lang w:val="en-US" w:eastAsia="zh-CN"/>
        </w:rPr>
        <w:t>完成年初预算的99.93%。</w:t>
      </w:r>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小</w:t>
      </w:r>
      <w:r>
        <w:rPr>
          <w:rFonts w:hint="eastAsia" w:ascii="仿宋" w:hAnsi="仿宋" w:eastAsia="仿宋"/>
          <w:sz w:val="32"/>
          <w:szCs w:val="30"/>
          <w:highlight w:val="none"/>
        </w:rPr>
        <w:t>于预算数的主要原因是</w:t>
      </w:r>
      <w:r>
        <w:rPr>
          <w:rFonts w:hint="eastAsia" w:ascii="仿宋" w:hAnsi="仿宋" w:eastAsia="仿宋"/>
          <w:sz w:val="32"/>
          <w:szCs w:val="30"/>
          <w:highlight w:val="none"/>
          <w:lang w:val="en-US" w:eastAsia="zh-CN"/>
        </w:rPr>
        <w:t>正常预算差额</w:t>
      </w:r>
      <w:r>
        <w:rPr>
          <w:rFonts w:hint="eastAsia" w:ascii="仿宋" w:hAnsi="仿宋" w:eastAsia="仿宋"/>
          <w:sz w:val="32"/>
          <w:szCs w:val="30"/>
          <w:highlight w:val="none"/>
        </w:rPr>
        <w:t>。</w:t>
      </w:r>
    </w:p>
    <w:p>
      <w:pPr>
        <w:ind w:firstLine="640" w:firstLineChars="200"/>
        <w:rPr>
          <w:rFonts w:hint="eastAsia" w:ascii="仿宋" w:hAnsi="仿宋" w:eastAsia="仿宋"/>
          <w:sz w:val="32"/>
          <w:szCs w:val="30"/>
          <w:highlight w:val="none"/>
          <w:lang w:val="en-US" w:eastAsia="zh-CN"/>
        </w:rPr>
      </w:pPr>
      <w:r>
        <w:rPr>
          <w:rFonts w:hint="eastAsia" w:ascii="仿宋" w:hAnsi="仿宋" w:eastAsia="仿宋"/>
          <w:sz w:val="32"/>
          <w:szCs w:val="30"/>
          <w:highlight w:val="none"/>
        </w:rPr>
        <w:t>4.</w:t>
      </w:r>
      <w:r>
        <w:rPr>
          <w:rFonts w:hint="eastAsia" w:ascii="仿宋" w:hAnsi="仿宋" w:eastAsia="仿宋"/>
          <w:sz w:val="32"/>
          <w:szCs w:val="30"/>
          <w:highlight w:val="none"/>
          <w:lang w:val="en-US" w:eastAsia="zh-CN"/>
        </w:rPr>
        <w:t>一般公共服务支出（类）审计事务（款）事业运行（项）。年初预算19.0万元，支出决算为18.84万元，完成年初预算的97.97%。</w:t>
      </w:r>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小</w:t>
      </w:r>
      <w:r>
        <w:rPr>
          <w:rFonts w:hint="eastAsia" w:ascii="仿宋" w:hAnsi="仿宋" w:eastAsia="仿宋"/>
          <w:sz w:val="32"/>
          <w:szCs w:val="30"/>
          <w:highlight w:val="none"/>
        </w:rPr>
        <w:t>于预算数的主要原因是</w:t>
      </w:r>
      <w:r>
        <w:rPr>
          <w:rFonts w:hint="eastAsia" w:ascii="仿宋" w:hAnsi="仿宋" w:eastAsia="仿宋"/>
          <w:sz w:val="32"/>
          <w:szCs w:val="30"/>
          <w:highlight w:val="none"/>
          <w:lang w:val="en-US" w:eastAsia="zh-CN"/>
        </w:rPr>
        <w:t>正常预算差额。</w:t>
      </w:r>
    </w:p>
    <w:p>
      <w:pPr>
        <w:ind w:firstLine="640" w:firstLineChars="200"/>
        <w:rPr>
          <w:rFonts w:hint="eastAsia" w:ascii="仿宋" w:hAnsi="仿宋" w:eastAsia="仿宋"/>
          <w:sz w:val="32"/>
          <w:szCs w:val="30"/>
          <w:highlight w:val="none"/>
          <w:lang w:val="en-US" w:eastAsia="zh-CN"/>
        </w:rPr>
      </w:pPr>
      <w:r>
        <w:rPr>
          <w:rFonts w:hint="eastAsia" w:ascii="仿宋" w:hAnsi="仿宋" w:eastAsia="仿宋"/>
          <w:sz w:val="32"/>
          <w:szCs w:val="30"/>
          <w:highlight w:val="none"/>
          <w:lang w:val="en-US" w:eastAsia="zh-CN"/>
        </w:rPr>
        <w:t>5.一般公共服务支出（类）审计事务（款）其他审计事务支出（项）。</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3.0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3.0</w:t>
      </w:r>
      <w:r>
        <w:rPr>
          <w:rFonts w:hint="eastAsia" w:ascii="仿宋" w:hAnsi="仿宋" w:eastAsia="仿宋"/>
          <w:sz w:val="32"/>
          <w:szCs w:val="30"/>
          <w:highlight w:val="none"/>
        </w:rPr>
        <w:t>万元，完成年初预算的</w:t>
      </w:r>
      <w:r>
        <w:rPr>
          <w:rFonts w:hint="eastAsia" w:ascii="仿宋" w:hAnsi="仿宋" w:eastAsia="仿宋"/>
          <w:sz w:val="32"/>
          <w:szCs w:val="30"/>
          <w:highlight w:val="none"/>
          <w:lang w:val="en-US" w:eastAsia="zh-CN"/>
        </w:rPr>
        <w:t>100.0</w:t>
      </w:r>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与</w:t>
      </w:r>
      <w:r>
        <w:rPr>
          <w:rFonts w:hint="eastAsia" w:ascii="仿宋" w:hAnsi="仿宋" w:eastAsia="仿宋"/>
          <w:sz w:val="32"/>
          <w:szCs w:val="30"/>
          <w:highlight w:val="none"/>
        </w:rPr>
        <w:t>预算数</w:t>
      </w:r>
      <w:r>
        <w:rPr>
          <w:rFonts w:hint="eastAsia" w:ascii="仿宋" w:hAnsi="仿宋" w:eastAsia="仿宋"/>
          <w:sz w:val="32"/>
          <w:szCs w:val="30"/>
          <w:highlight w:val="none"/>
          <w:lang w:val="en-US" w:eastAsia="zh-CN"/>
        </w:rPr>
        <w:t>持平</w:t>
      </w:r>
      <w:r>
        <w:rPr>
          <w:rFonts w:hint="eastAsia" w:ascii="仿宋" w:hAnsi="仿宋" w:eastAsia="仿宋"/>
          <w:sz w:val="32"/>
          <w:szCs w:val="30"/>
          <w:highlight w:val="none"/>
        </w:rPr>
        <w:t>。</w:t>
      </w:r>
    </w:p>
    <w:p>
      <w:pPr>
        <w:ind w:firstLine="640" w:firstLineChars="200"/>
        <w:rPr>
          <w:rFonts w:hint="default" w:ascii="仿宋" w:hAnsi="仿宋" w:eastAsia="仿宋"/>
          <w:sz w:val="32"/>
          <w:szCs w:val="30"/>
          <w:highlight w:val="none"/>
          <w:lang w:val="en-US" w:eastAsia="zh-CN"/>
        </w:rPr>
      </w:pPr>
      <w:r>
        <w:rPr>
          <w:rFonts w:hint="eastAsia" w:ascii="仿宋" w:hAnsi="仿宋" w:eastAsia="仿宋"/>
          <w:sz w:val="32"/>
          <w:szCs w:val="30"/>
          <w:highlight w:val="none"/>
          <w:lang w:val="en-US" w:eastAsia="zh-CN"/>
        </w:rPr>
        <w:t>6.住房保障支出（类）住房改革支出（款）住房公积金（项)。</w:t>
      </w:r>
      <w:r>
        <w:rPr>
          <w:rFonts w:hint="eastAsia" w:ascii="仿宋" w:hAnsi="仿宋" w:eastAsia="仿宋"/>
          <w:sz w:val="32"/>
          <w:szCs w:val="30"/>
          <w:highlight w:val="none"/>
        </w:rPr>
        <w:t>年初预算为</w:t>
      </w:r>
      <w:r>
        <w:rPr>
          <w:rFonts w:hint="eastAsia" w:ascii="仿宋" w:hAnsi="仿宋" w:eastAsia="仿宋"/>
          <w:sz w:val="32"/>
          <w:szCs w:val="30"/>
          <w:highlight w:val="none"/>
          <w:lang w:val="en-US" w:eastAsia="zh-CN"/>
        </w:rPr>
        <w:t>44.0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44.05</w:t>
      </w:r>
      <w:r>
        <w:rPr>
          <w:rFonts w:hint="eastAsia" w:ascii="仿宋" w:hAnsi="仿宋" w:eastAsia="仿宋"/>
          <w:sz w:val="32"/>
          <w:szCs w:val="30"/>
          <w:highlight w:val="none"/>
        </w:rPr>
        <w:t>万元，完成年初预算的</w:t>
      </w:r>
      <w:r>
        <w:rPr>
          <w:rFonts w:hint="eastAsia" w:ascii="仿宋" w:hAnsi="仿宋" w:eastAsia="仿宋"/>
          <w:sz w:val="32"/>
          <w:szCs w:val="30"/>
          <w:highlight w:val="none"/>
          <w:lang w:val="en-US" w:eastAsia="zh-CN"/>
        </w:rPr>
        <w:t>100.11</w:t>
      </w:r>
      <w:r>
        <w:rPr>
          <w:rFonts w:hint="eastAsia" w:ascii="仿宋" w:hAnsi="仿宋" w:eastAsia="仿宋"/>
          <w:sz w:val="32"/>
          <w:szCs w:val="30"/>
          <w:highlight w:val="none"/>
        </w:rPr>
        <w:t>%。决算数</w:t>
      </w:r>
      <w:r>
        <w:rPr>
          <w:rFonts w:hint="eastAsia" w:ascii="仿宋" w:hAnsi="仿宋" w:eastAsia="仿宋"/>
          <w:sz w:val="32"/>
          <w:szCs w:val="30"/>
          <w:highlight w:val="none"/>
          <w:lang w:val="en-US" w:eastAsia="zh-CN"/>
        </w:rPr>
        <w:t>大于</w:t>
      </w:r>
      <w:r>
        <w:rPr>
          <w:rFonts w:hint="eastAsia" w:ascii="仿宋" w:hAnsi="仿宋" w:eastAsia="仿宋"/>
          <w:sz w:val="32"/>
          <w:szCs w:val="30"/>
          <w:highlight w:val="none"/>
        </w:rPr>
        <w:t>预算数的主要原因是</w:t>
      </w:r>
      <w:r>
        <w:rPr>
          <w:rFonts w:hint="eastAsia" w:ascii="仿宋" w:hAnsi="仿宋" w:eastAsia="仿宋"/>
          <w:sz w:val="32"/>
          <w:szCs w:val="30"/>
          <w:highlight w:val="none"/>
          <w:lang w:val="en-US" w:eastAsia="zh-CN"/>
        </w:rPr>
        <w:t>正常预算差额</w:t>
      </w:r>
      <w:r>
        <w:rPr>
          <w:rFonts w:hint="eastAsia" w:ascii="仿宋" w:hAnsi="仿宋" w:eastAsia="仿宋"/>
          <w:sz w:val="32"/>
          <w:szCs w:val="30"/>
          <w:highlight w:val="none"/>
        </w:rPr>
        <w:t>。</w:t>
      </w:r>
    </w:p>
    <w:p>
      <w:pPr>
        <w:rPr>
          <w:rFonts w:hint="eastAsia" w:ascii="仿宋" w:hAnsi="仿宋" w:eastAsia="仿宋"/>
          <w:sz w:val="32"/>
          <w:highlight w:val="none"/>
        </w:rPr>
      </w:pPr>
      <w:r>
        <w:rPr>
          <w:rFonts w:hint="eastAsia" w:ascii="仿宋" w:hAnsi="仿宋" w:eastAsia="仿宋"/>
          <w:sz w:val="32"/>
          <w:highlight w:val="none"/>
        </w:rPr>
        <w:t xml:space="preserve">    </w:t>
      </w:r>
      <w:r>
        <w:rPr>
          <w:rFonts w:hint="eastAsia" w:ascii="黑体" w:hAnsi="黑体" w:eastAsia="黑体"/>
          <w:sz w:val="32"/>
          <w:highlight w:val="none"/>
        </w:rPr>
        <w:t>六、</w:t>
      </w:r>
      <w:r>
        <w:rPr>
          <w:rFonts w:hint="eastAsia" w:ascii="黑体" w:hAnsi="黑体" w:eastAsia="黑体"/>
          <w:sz w:val="32"/>
          <w:szCs w:val="30"/>
          <w:highlight w:val="none"/>
        </w:rPr>
        <w:t>一般公共预算财政拨款基本支出决算情况说明</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2021年度一般</w:t>
      </w:r>
      <w:r>
        <w:rPr>
          <w:rFonts w:ascii="仿宋" w:hAnsi="仿宋" w:eastAsia="仿宋"/>
          <w:sz w:val="32"/>
          <w:szCs w:val="30"/>
          <w:highlight w:val="none"/>
        </w:rPr>
        <w:t>公共预算</w:t>
      </w:r>
      <w:r>
        <w:rPr>
          <w:rFonts w:hint="eastAsia" w:ascii="仿宋" w:hAnsi="仿宋" w:eastAsia="仿宋"/>
          <w:sz w:val="32"/>
          <w:szCs w:val="30"/>
          <w:highlight w:val="none"/>
        </w:rPr>
        <w:t>财政拨款基本支出</w:t>
      </w:r>
      <w:r>
        <w:rPr>
          <w:rFonts w:hint="eastAsia" w:ascii="仿宋" w:hAnsi="仿宋" w:eastAsia="仿宋"/>
          <w:sz w:val="32"/>
          <w:szCs w:val="30"/>
          <w:highlight w:val="none"/>
          <w:lang w:val="en-US" w:eastAsia="zh-CN"/>
        </w:rPr>
        <w:t>348.64</w:t>
      </w:r>
      <w:r>
        <w:rPr>
          <w:rFonts w:hint="eastAsia" w:ascii="仿宋" w:hAnsi="仿宋" w:eastAsia="仿宋"/>
          <w:sz w:val="32"/>
          <w:szCs w:val="30"/>
          <w:highlight w:val="none"/>
        </w:rPr>
        <w:t>万元，其中：人员经费</w:t>
      </w:r>
      <w:r>
        <w:rPr>
          <w:rFonts w:hint="eastAsia" w:ascii="仿宋" w:hAnsi="仿宋" w:eastAsia="仿宋"/>
          <w:sz w:val="32"/>
          <w:szCs w:val="30"/>
          <w:highlight w:val="none"/>
          <w:lang w:val="en-US" w:eastAsia="zh-CN"/>
        </w:rPr>
        <w:t>342.27</w:t>
      </w:r>
      <w:r>
        <w:rPr>
          <w:rFonts w:hint="eastAsia" w:ascii="仿宋" w:hAnsi="仿宋" w:eastAsia="仿宋"/>
          <w:sz w:val="32"/>
          <w:szCs w:val="30"/>
          <w:highlight w:val="none"/>
        </w:rPr>
        <w:t>万元，主要包括：基本工资、津贴补贴、奖金、绩效工资、机关事业单位基本养老保险缴费、职业年金缴费、职工</w:t>
      </w:r>
      <w:r>
        <w:rPr>
          <w:rFonts w:ascii="仿宋" w:hAnsi="仿宋" w:eastAsia="仿宋"/>
          <w:sz w:val="32"/>
          <w:szCs w:val="30"/>
          <w:highlight w:val="none"/>
        </w:rPr>
        <w:t>基本医疗保险缴费、公务员医疗补助缴费、其他社会保障缴费、住房公积金、</w:t>
      </w:r>
      <w:r>
        <w:rPr>
          <w:rFonts w:hint="eastAsia" w:ascii="仿宋" w:hAnsi="仿宋" w:eastAsia="仿宋"/>
          <w:sz w:val="32"/>
          <w:szCs w:val="30"/>
          <w:highlight w:val="none"/>
        </w:rPr>
        <w:t>其他对个人和家庭的补助支出。</w:t>
      </w:r>
    </w:p>
    <w:p>
      <w:pPr>
        <w:rPr>
          <w:rFonts w:hint="eastAsia" w:ascii="仿宋" w:hAnsi="仿宋" w:eastAsia="仿宋"/>
          <w:sz w:val="32"/>
          <w:highlight w:val="none"/>
        </w:rPr>
      </w:pPr>
      <w:r>
        <w:rPr>
          <w:rFonts w:hint="eastAsia" w:ascii="仿宋" w:hAnsi="仿宋" w:eastAsia="仿宋"/>
          <w:sz w:val="32"/>
          <w:szCs w:val="30"/>
          <w:highlight w:val="none"/>
        </w:rPr>
        <w:t xml:space="preserve">    </w:t>
      </w:r>
      <w:r>
        <w:rPr>
          <w:rFonts w:hint="eastAsia" w:ascii="仿宋" w:hAnsi="仿宋" w:eastAsia="仿宋"/>
          <w:sz w:val="32"/>
          <w:highlight w:val="none"/>
        </w:rPr>
        <w:t>公用经费</w:t>
      </w:r>
      <w:r>
        <w:rPr>
          <w:rFonts w:hint="eastAsia" w:ascii="仿宋" w:hAnsi="仿宋" w:eastAsia="仿宋"/>
          <w:sz w:val="32"/>
          <w:highlight w:val="none"/>
          <w:lang w:val="en-US" w:eastAsia="zh-CN"/>
        </w:rPr>
        <w:t>6.37</w:t>
      </w:r>
      <w:r>
        <w:rPr>
          <w:rFonts w:hint="eastAsia" w:ascii="仿宋" w:hAnsi="仿宋" w:eastAsia="仿宋"/>
          <w:sz w:val="32"/>
          <w:highlight w:val="none"/>
        </w:rPr>
        <w:t>万元，主要包括：办公费、邮电费、差旅费、其他交通费用、办公设备购置。</w:t>
      </w:r>
    </w:p>
    <w:p>
      <w:pPr>
        <w:rPr>
          <w:rFonts w:hint="eastAsia" w:ascii="仿宋" w:hAnsi="仿宋" w:eastAsia="仿宋"/>
          <w:sz w:val="32"/>
          <w:highlight w:val="none"/>
        </w:rPr>
      </w:pPr>
      <w:r>
        <w:rPr>
          <w:rFonts w:hint="eastAsia" w:ascii="仿宋" w:hAnsi="仿宋" w:eastAsia="仿宋"/>
          <w:sz w:val="32"/>
          <w:highlight w:val="none"/>
        </w:rPr>
        <w:t xml:space="preserve">    </w:t>
      </w:r>
      <w:r>
        <w:rPr>
          <w:rFonts w:hint="eastAsia" w:ascii="黑体" w:hAnsi="黑体" w:eastAsia="黑体"/>
          <w:sz w:val="32"/>
          <w:highlight w:val="none"/>
        </w:rPr>
        <w:t>七、</w:t>
      </w:r>
      <w:r>
        <w:rPr>
          <w:rFonts w:hint="eastAsia" w:ascii="黑体" w:hAnsi="黑体" w:eastAsia="黑体"/>
          <w:sz w:val="32"/>
          <w:szCs w:val="30"/>
          <w:highlight w:val="none"/>
        </w:rPr>
        <w:t>一般公共预算财政拨款“三公”经费支出决算情况说明</w:t>
      </w:r>
    </w:p>
    <w:p>
      <w:pPr>
        <w:ind w:firstLine="640" w:firstLineChars="200"/>
        <w:rPr>
          <w:rFonts w:hint="eastAsia" w:ascii="楷体" w:hAnsi="楷体" w:eastAsia="楷体"/>
          <w:sz w:val="32"/>
          <w:highlight w:val="none"/>
        </w:rPr>
      </w:pPr>
      <w:r>
        <w:rPr>
          <w:rFonts w:hint="eastAsia" w:ascii="楷体" w:hAnsi="楷体" w:eastAsia="楷体"/>
          <w:sz w:val="32"/>
          <w:highlight w:val="none"/>
        </w:rPr>
        <w:t>（一）“三公”经费财政拨款支出决算总体情况说明</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2021年度“三公”经费财政拨款支出预算为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万元，支出决算为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万元，完成预算的</w:t>
      </w:r>
      <w:r>
        <w:rPr>
          <w:rFonts w:hint="eastAsia" w:ascii="仿宋" w:hAnsi="仿宋" w:eastAsia="仿宋"/>
          <w:sz w:val="32"/>
          <w:szCs w:val="30"/>
          <w:highlight w:val="none"/>
          <w:lang w:val="en-US" w:eastAsia="zh-CN"/>
        </w:rPr>
        <w:t>100.0</w:t>
      </w:r>
      <w:r>
        <w:rPr>
          <w:rFonts w:hint="eastAsia" w:ascii="仿宋" w:hAnsi="仿宋" w:eastAsia="仿宋"/>
          <w:sz w:val="32"/>
          <w:szCs w:val="30"/>
          <w:highlight w:val="none"/>
        </w:rPr>
        <w:t>%。</w:t>
      </w:r>
    </w:p>
    <w:p>
      <w:pPr>
        <w:ind w:firstLine="640" w:firstLineChars="200"/>
        <w:rPr>
          <w:rFonts w:hint="eastAsia" w:ascii="楷体" w:hAnsi="楷体" w:eastAsia="楷体"/>
          <w:sz w:val="32"/>
          <w:highlight w:val="none"/>
        </w:rPr>
      </w:pPr>
      <w:r>
        <w:rPr>
          <w:rFonts w:hint="eastAsia" w:ascii="楷体" w:hAnsi="楷体" w:eastAsia="楷体"/>
          <w:sz w:val="32"/>
          <w:highlight w:val="none"/>
        </w:rPr>
        <w:t>（二）“三公”经费财政拨款支出决算具体情况说明</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2021年度“三公”经费财政拨款支出决算中，因公出国（境）费支出决算为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%；公务用车购置及运行费支出决算为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%；公务接待费支出决算为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万元，占</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w:t>
      </w:r>
      <w:r>
        <w:rPr>
          <w:rFonts w:ascii="仿宋" w:hAnsi="仿宋" w:eastAsia="仿宋"/>
          <w:sz w:val="32"/>
          <w:szCs w:val="30"/>
          <w:highlight w:val="none"/>
        </w:rPr>
        <w:tab/>
      </w:r>
    </w:p>
    <w:p>
      <w:pPr>
        <w:ind w:firstLine="640" w:firstLineChars="200"/>
        <w:rPr>
          <w:rFonts w:hint="eastAsia" w:ascii="仿宋" w:hAnsi="仿宋" w:eastAsia="仿宋"/>
          <w:sz w:val="32"/>
          <w:szCs w:val="30"/>
          <w:highlight w:val="none"/>
        </w:rPr>
      </w:pPr>
      <w:r>
        <w:rPr>
          <w:rFonts w:ascii="仿宋" w:hAnsi="仿宋" w:eastAsia="仿宋"/>
          <w:sz w:val="32"/>
          <w:szCs w:val="30"/>
          <w:highlight w:val="none"/>
        </w:rPr>
        <w:t>1</w:t>
      </w:r>
      <w:r>
        <w:rPr>
          <w:rFonts w:hint="eastAsia" w:ascii="仿宋" w:hAnsi="仿宋" w:eastAsia="仿宋"/>
          <w:sz w:val="32"/>
          <w:szCs w:val="30"/>
          <w:highlight w:val="none"/>
        </w:rPr>
        <w:t>.因公出国（境）费预算为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万元,支出</w:t>
      </w:r>
      <w:r>
        <w:rPr>
          <w:rFonts w:ascii="仿宋" w:hAnsi="仿宋" w:eastAsia="仿宋"/>
          <w:sz w:val="32"/>
          <w:szCs w:val="30"/>
          <w:highlight w:val="none"/>
        </w:rPr>
        <w:t>决算为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hint="eastAsia" w:ascii="仿宋" w:hAnsi="仿宋" w:eastAsia="仿宋"/>
          <w:sz w:val="32"/>
          <w:szCs w:val="30"/>
          <w:highlight w:val="none"/>
          <w:lang w:val="en-US" w:eastAsia="zh-CN"/>
        </w:rPr>
        <w:t>主要原因：我单位无因公出国工作安排，年初无相关预算，无此项支出。</w:t>
      </w:r>
      <w:r>
        <w:rPr>
          <w:rFonts w:hint="eastAsia" w:ascii="仿宋" w:hAnsi="仿宋" w:eastAsia="仿宋"/>
          <w:sz w:val="32"/>
          <w:szCs w:val="30"/>
          <w:highlight w:val="none"/>
        </w:rPr>
        <w:t xml:space="preserve">全年安排因公出国（境）团组 </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 xml:space="preserve">个，累计 </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人次。</w:t>
      </w:r>
    </w:p>
    <w:p>
      <w:pPr>
        <w:rPr>
          <w:rFonts w:hint="eastAsia" w:ascii="仿宋" w:hAnsi="仿宋" w:eastAsia="仿宋"/>
          <w:sz w:val="32"/>
          <w:szCs w:val="30"/>
          <w:highlight w:val="none"/>
        </w:rPr>
      </w:pPr>
      <w:r>
        <w:rPr>
          <w:rFonts w:hint="eastAsia" w:ascii="仿宋" w:hAnsi="仿宋" w:eastAsia="仿宋"/>
          <w:sz w:val="32"/>
          <w:szCs w:val="30"/>
          <w:highlight w:val="none"/>
        </w:rPr>
        <w:t xml:space="preserve">   2.公务用车购置及运行费预算</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ascii="仿宋" w:hAnsi="仿宋" w:eastAsia="仿宋"/>
          <w:sz w:val="32"/>
          <w:szCs w:val="30"/>
          <w:highlight w:val="none"/>
        </w:rPr>
        <w:t>，</w:t>
      </w:r>
      <w:r>
        <w:rPr>
          <w:rFonts w:hint="eastAsia" w:ascii="仿宋" w:hAnsi="仿宋" w:eastAsia="仿宋"/>
          <w:sz w:val="32"/>
          <w:szCs w:val="30"/>
          <w:highlight w:val="none"/>
        </w:rPr>
        <w:t>支出决算</w:t>
      </w:r>
      <w:r>
        <w:rPr>
          <w:rFonts w:ascii="仿宋" w:hAnsi="仿宋" w:eastAsia="仿宋"/>
          <w:sz w:val="32"/>
          <w:szCs w:val="30"/>
          <w:highlight w:val="none"/>
        </w:rPr>
        <w:t>为</w:t>
      </w:r>
      <w:r>
        <w:rPr>
          <w:rFonts w:hint="eastAsia" w:ascii="仿宋" w:hAnsi="仿宋" w:eastAsia="仿宋"/>
          <w:sz w:val="32"/>
          <w:szCs w:val="30"/>
          <w:highlight w:val="none"/>
        </w:rPr>
        <w:t xml:space="preserve">   </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ascii="仿宋" w:hAnsi="仿宋" w:eastAsia="仿宋"/>
          <w:sz w:val="32"/>
          <w:szCs w:val="30"/>
          <w:highlight w:val="none"/>
        </w:rPr>
        <w:t>完成预算的</w:t>
      </w:r>
      <w:r>
        <w:rPr>
          <w:rFonts w:hint="eastAsia" w:ascii="仿宋" w:hAnsi="仿宋" w:eastAsia="仿宋"/>
          <w:sz w:val="32"/>
          <w:szCs w:val="30"/>
          <w:highlight w:val="none"/>
          <w:lang w:val="en-US" w:eastAsia="zh-CN"/>
        </w:rPr>
        <w:t>100.0</w:t>
      </w:r>
      <w:r>
        <w:rPr>
          <w:rFonts w:ascii="仿宋" w:hAnsi="仿宋" w:eastAsia="仿宋"/>
          <w:sz w:val="32"/>
          <w:szCs w:val="30"/>
          <w:highlight w:val="none"/>
        </w:rPr>
        <w:t>%</w:t>
      </w:r>
      <w:r>
        <w:rPr>
          <w:rFonts w:hint="eastAsia" w:ascii="仿宋" w:hAnsi="仿宋" w:eastAsia="仿宋"/>
          <w:sz w:val="32"/>
          <w:szCs w:val="30"/>
          <w:highlight w:val="none"/>
        </w:rPr>
        <w:t>。其中：</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公务用车购置支出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公务用车运行支出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hint="eastAsia" w:ascii="仿宋_GB2312" w:eastAsia="仿宋_GB2312" w:cs="仿宋_GB2312"/>
          <w:kern w:val="0"/>
          <w:sz w:val="32"/>
          <w:szCs w:val="32"/>
          <w:highlight w:val="none"/>
        </w:rPr>
        <w:t>截至</w:t>
      </w:r>
      <w:r>
        <w:rPr>
          <w:rFonts w:ascii="仿宋_GB2312" w:eastAsia="仿宋_GB2312" w:cs="仿宋_GB2312"/>
          <w:kern w:val="0"/>
          <w:sz w:val="32"/>
          <w:szCs w:val="32"/>
          <w:highlight w:val="none"/>
        </w:rPr>
        <w:t>2021年12</w:t>
      </w:r>
      <w:r>
        <w:rPr>
          <w:rFonts w:hint="eastAsia" w:ascii="仿宋_GB2312" w:eastAsia="仿宋_GB2312" w:cs="仿宋_GB2312"/>
          <w:kern w:val="0"/>
          <w:sz w:val="32"/>
          <w:szCs w:val="32"/>
          <w:highlight w:val="none"/>
        </w:rPr>
        <w:t>月</w:t>
      </w:r>
      <w:r>
        <w:rPr>
          <w:rFonts w:ascii="仿宋_GB2312" w:eastAsia="仿宋_GB2312" w:cs="仿宋_GB2312"/>
          <w:kern w:val="0"/>
          <w:sz w:val="32"/>
          <w:szCs w:val="32"/>
          <w:highlight w:val="none"/>
        </w:rPr>
        <w:t>31</w:t>
      </w:r>
      <w:r>
        <w:rPr>
          <w:rFonts w:hint="eastAsia" w:ascii="仿宋_GB2312" w:eastAsia="仿宋_GB2312" w:cs="仿宋_GB2312"/>
          <w:kern w:val="0"/>
          <w:sz w:val="32"/>
          <w:szCs w:val="32"/>
          <w:highlight w:val="none"/>
        </w:rPr>
        <w:t>日</w:t>
      </w:r>
      <w:r>
        <w:rPr>
          <w:rFonts w:hint="eastAsia" w:ascii="仿宋" w:hAnsi="仿宋" w:eastAsia="仿宋"/>
          <w:sz w:val="32"/>
          <w:szCs w:val="30"/>
          <w:highlight w:val="none"/>
        </w:rPr>
        <w:t>，开支财政拨款的公务用车保有量为</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辆,公务</w:t>
      </w:r>
      <w:r>
        <w:rPr>
          <w:rFonts w:ascii="仿宋" w:hAnsi="仿宋" w:eastAsia="仿宋"/>
          <w:sz w:val="32"/>
          <w:szCs w:val="30"/>
          <w:highlight w:val="none"/>
        </w:rPr>
        <w:t>用车购置数为</w:t>
      </w:r>
      <w:r>
        <w:rPr>
          <w:rFonts w:hint="eastAsia" w:ascii="仿宋" w:hAnsi="仿宋" w:eastAsia="仿宋"/>
          <w:sz w:val="32"/>
          <w:szCs w:val="30"/>
          <w:highlight w:val="none"/>
        </w:rPr>
        <w:t xml:space="preserve"> </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辆</w:t>
      </w:r>
      <w:r>
        <w:rPr>
          <w:rFonts w:ascii="仿宋" w:hAnsi="仿宋" w:eastAsia="仿宋"/>
          <w:sz w:val="32"/>
          <w:szCs w:val="30"/>
          <w:highlight w:val="none"/>
        </w:rPr>
        <w:t>。</w:t>
      </w:r>
      <w:r>
        <w:rPr>
          <w:rFonts w:hint="eastAsia" w:ascii="仿宋" w:hAnsi="仿宋" w:eastAsia="仿宋"/>
          <w:sz w:val="32"/>
          <w:szCs w:val="30"/>
          <w:highlight w:val="none"/>
        </w:rPr>
        <w:t xml:space="preserve"> </w:t>
      </w:r>
    </w:p>
    <w:p>
      <w:pPr>
        <w:numPr>
          <w:ilvl w:val="0"/>
          <w:numId w:val="3"/>
        </w:num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公务接待费</w:t>
      </w:r>
      <w:r>
        <w:rPr>
          <w:rFonts w:ascii="仿宋" w:hAnsi="仿宋" w:eastAsia="仿宋"/>
          <w:sz w:val="32"/>
          <w:szCs w:val="30"/>
          <w:highlight w:val="none"/>
        </w:rPr>
        <w:t>预算为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ascii="仿宋" w:hAnsi="仿宋" w:eastAsia="仿宋"/>
          <w:sz w:val="32"/>
          <w:szCs w:val="30"/>
          <w:highlight w:val="none"/>
        </w:rPr>
        <w:t>，</w:t>
      </w:r>
      <w:r>
        <w:rPr>
          <w:rFonts w:hint="eastAsia" w:ascii="仿宋" w:hAnsi="仿宋" w:eastAsia="仿宋"/>
          <w:sz w:val="32"/>
          <w:szCs w:val="30"/>
          <w:highlight w:val="none"/>
        </w:rPr>
        <w:t>支出决算</w:t>
      </w:r>
      <w:r>
        <w:rPr>
          <w:rFonts w:ascii="仿宋" w:hAnsi="仿宋" w:eastAsia="仿宋"/>
          <w:sz w:val="32"/>
          <w:szCs w:val="30"/>
          <w:highlight w:val="none"/>
        </w:rPr>
        <w:t>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w:t>
      </w:r>
      <w:r>
        <w:rPr>
          <w:rFonts w:ascii="仿宋" w:hAnsi="仿宋" w:eastAsia="仿宋"/>
          <w:sz w:val="32"/>
          <w:szCs w:val="30"/>
          <w:highlight w:val="none"/>
        </w:rPr>
        <w:t>完成预算的</w:t>
      </w:r>
      <w:r>
        <w:rPr>
          <w:rFonts w:hint="eastAsia" w:ascii="仿宋" w:hAnsi="仿宋" w:eastAsia="仿宋"/>
          <w:sz w:val="32"/>
          <w:szCs w:val="30"/>
          <w:highlight w:val="none"/>
          <w:lang w:val="en-US" w:eastAsia="zh-CN"/>
        </w:rPr>
        <w:t>100.0</w:t>
      </w:r>
      <w:r>
        <w:rPr>
          <w:rFonts w:ascii="仿宋" w:hAnsi="仿宋" w:eastAsia="仿宋"/>
          <w:sz w:val="32"/>
          <w:szCs w:val="30"/>
          <w:highlight w:val="none"/>
        </w:rPr>
        <w:t>%</w:t>
      </w:r>
      <w:r>
        <w:rPr>
          <w:rFonts w:hint="eastAsia" w:ascii="仿宋" w:hAnsi="仿宋" w:eastAsia="仿宋"/>
          <w:sz w:val="32"/>
          <w:szCs w:val="30"/>
          <w:highlight w:val="none"/>
        </w:rPr>
        <w:t>。</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外宾接待支出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万元。全年共接待国（境）外来访团组数</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个、来访外宾</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人次（不包括陪同人员）。</w:t>
      </w:r>
    </w:p>
    <w:p>
      <w:pPr>
        <w:ind w:firstLine="640" w:firstLineChars="200"/>
        <w:rPr>
          <w:rFonts w:hint="eastAsia" w:ascii="仿宋" w:hAnsi="仿宋" w:eastAsia="仿宋"/>
          <w:sz w:val="32"/>
          <w:szCs w:val="30"/>
          <w:highlight w:val="none"/>
        </w:rPr>
      </w:pPr>
      <w:r>
        <w:rPr>
          <w:rFonts w:hint="eastAsia" w:ascii="仿宋" w:hAnsi="仿宋" w:eastAsia="仿宋"/>
          <w:sz w:val="32"/>
          <w:szCs w:val="30"/>
          <w:highlight w:val="none"/>
        </w:rPr>
        <w:t>其他国内公务接待支出</w:t>
      </w:r>
      <w:r>
        <w:rPr>
          <w:rFonts w:hint="eastAsia" w:ascii="仿宋" w:hAnsi="仿宋" w:eastAsia="仿宋"/>
          <w:sz w:val="32"/>
          <w:szCs w:val="30"/>
          <w:highlight w:val="none"/>
          <w:lang w:val="en-US" w:eastAsia="zh-CN"/>
        </w:rPr>
        <w:t>0.0</w:t>
      </w:r>
      <w:r>
        <w:rPr>
          <w:rFonts w:hint="eastAsia" w:ascii="仿宋" w:hAnsi="仿宋" w:eastAsia="仿宋"/>
          <w:sz w:val="32"/>
          <w:szCs w:val="30"/>
          <w:highlight w:val="none"/>
        </w:rPr>
        <w:t>万元。全年共接待国内来访团组</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个、来宾</w:t>
      </w:r>
      <w:r>
        <w:rPr>
          <w:rFonts w:hint="eastAsia" w:ascii="仿宋" w:hAnsi="仿宋" w:eastAsia="仿宋"/>
          <w:sz w:val="32"/>
          <w:szCs w:val="30"/>
          <w:highlight w:val="none"/>
          <w:lang w:val="en-US" w:eastAsia="zh-CN"/>
        </w:rPr>
        <w:t>0</w:t>
      </w:r>
      <w:r>
        <w:rPr>
          <w:rFonts w:hint="eastAsia" w:ascii="仿宋" w:hAnsi="仿宋" w:eastAsia="仿宋"/>
          <w:sz w:val="32"/>
          <w:szCs w:val="30"/>
          <w:highlight w:val="none"/>
        </w:rPr>
        <w:t xml:space="preserve">人次（不包括陪同人员）。 </w:t>
      </w:r>
    </w:p>
    <w:p>
      <w:pPr>
        <w:ind w:firstLine="480" w:firstLineChars="150"/>
        <w:rPr>
          <w:rFonts w:hint="eastAsia" w:ascii="黑体" w:hAnsi="黑体" w:eastAsia="黑体"/>
          <w:sz w:val="32"/>
          <w:szCs w:val="30"/>
        </w:rPr>
      </w:pPr>
      <w:r>
        <w:rPr>
          <w:rFonts w:hint="eastAsia" w:ascii="黑体" w:hAnsi="黑体" w:eastAsia="黑体"/>
          <w:sz w:val="32"/>
        </w:rPr>
        <w:t>八、政府性基金预算财政拨款收入支出决算情况说明</w:t>
      </w:r>
    </w:p>
    <w:p>
      <w:pPr>
        <w:ind w:firstLine="640" w:firstLineChars="200"/>
        <w:rPr>
          <w:rFonts w:ascii="仿宋" w:hAnsi="仿宋" w:eastAsia="仿宋"/>
          <w:sz w:val="32"/>
          <w:szCs w:val="30"/>
        </w:rPr>
      </w:pPr>
      <w:r>
        <w:rPr>
          <w:rFonts w:hint="eastAsia" w:ascii="黑体" w:hAnsi="黑体" w:eastAsia="黑体"/>
          <w:sz w:val="32"/>
          <w:szCs w:val="30"/>
        </w:rPr>
        <w:t xml:space="preserve">  </w:t>
      </w:r>
      <w:r>
        <w:rPr>
          <w:rFonts w:hint="eastAsia" w:ascii="仿宋" w:hAnsi="仿宋" w:eastAsia="仿宋"/>
          <w:sz w:val="32"/>
          <w:szCs w:val="30"/>
        </w:rPr>
        <w:t xml:space="preserve"> 2021年度政府性基金预算财政拨款年初结转和结余   万元；本年收入</w:t>
      </w:r>
      <w:r>
        <w:rPr>
          <w:rFonts w:hint="eastAsia" w:ascii="仿宋" w:hAnsi="仿宋" w:eastAsia="仿宋"/>
          <w:sz w:val="32"/>
          <w:szCs w:val="30"/>
          <w:lang w:val="en-US" w:eastAsia="zh-CN"/>
        </w:rPr>
        <w:t>0.0</w:t>
      </w:r>
      <w:r>
        <w:rPr>
          <w:rFonts w:hint="eastAsia" w:ascii="仿宋" w:hAnsi="仿宋" w:eastAsia="仿宋"/>
          <w:sz w:val="32"/>
          <w:szCs w:val="30"/>
        </w:rPr>
        <w:t>万元；本年支出</w:t>
      </w:r>
      <w:r>
        <w:rPr>
          <w:rFonts w:hint="eastAsia" w:ascii="仿宋" w:hAnsi="仿宋" w:eastAsia="仿宋"/>
          <w:sz w:val="32"/>
          <w:szCs w:val="30"/>
          <w:lang w:val="en-US" w:eastAsia="zh-CN"/>
        </w:rPr>
        <w:t>0.0</w:t>
      </w:r>
      <w:r>
        <w:rPr>
          <w:rFonts w:hint="eastAsia" w:ascii="仿宋" w:hAnsi="仿宋" w:eastAsia="仿宋"/>
          <w:sz w:val="32"/>
          <w:szCs w:val="30"/>
        </w:rPr>
        <w:t>万元，年末结转和结余</w:t>
      </w:r>
      <w:r>
        <w:rPr>
          <w:rFonts w:hint="eastAsia" w:ascii="仿宋" w:hAnsi="仿宋" w:eastAsia="仿宋"/>
          <w:sz w:val="32"/>
          <w:szCs w:val="30"/>
          <w:lang w:val="en-US" w:eastAsia="zh-CN"/>
        </w:rPr>
        <w:t>0.0</w:t>
      </w:r>
      <w:r>
        <w:rPr>
          <w:rFonts w:hint="eastAsia" w:ascii="仿宋" w:hAnsi="仿宋" w:eastAsia="仿宋"/>
          <w:sz w:val="32"/>
          <w:szCs w:val="30"/>
        </w:rPr>
        <w:t>万元。</w:t>
      </w:r>
    </w:p>
    <w:p>
      <w:pPr>
        <w:ind w:firstLine="480" w:firstLineChars="150"/>
        <w:rPr>
          <w:rFonts w:ascii="黑体" w:hAnsi="黑体" w:eastAsia="黑体"/>
          <w:sz w:val="32"/>
        </w:rPr>
      </w:pPr>
      <w:r>
        <w:rPr>
          <w:rFonts w:hint="eastAsia" w:ascii="黑体" w:hAnsi="黑体" w:eastAsia="黑体"/>
          <w:sz w:val="32"/>
        </w:rPr>
        <w:t>九、国有</w:t>
      </w:r>
      <w:r>
        <w:rPr>
          <w:rFonts w:ascii="黑体" w:hAnsi="黑体" w:eastAsia="黑体"/>
          <w:sz w:val="32"/>
        </w:rPr>
        <w:t>资本经营预算</w:t>
      </w:r>
      <w:r>
        <w:rPr>
          <w:rFonts w:hint="eastAsia" w:ascii="黑体" w:hAnsi="黑体" w:eastAsia="黑体"/>
          <w:sz w:val="32"/>
        </w:rPr>
        <w:t>财政拨款支出</w:t>
      </w:r>
      <w:r>
        <w:rPr>
          <w:rFonts w:ascii="黑体" w:hAnsi="黑体" w:eastAsia="黑体"/>
          <w:sz w:val="32"/>
        </w:rPr>
        <w:t>决算</w:t>
      </w:r>
      <w:r>
        <w:rPr>
          <w:rFonts w:hint="eastAsia" w:ascii="黑体" w:hAnsi="黑体" w:eastAsia="黑体"/>
          <w:sz w:val="32"/>
        </w:rPr>
        <w:t>情况说明</w:t>
      </w:r>
    </w:p>
    <w:p>
      <w:pPr>
        <w:ind w:firstLine="640" w:firstLineChars="200"/>
        <w:rPr>
          <w:rFonts w:hint="eastAsia" w:ascii="仿宋" w:hAnsi="仿宋" w:eastAsia="仿宋"/>
          <w:sz w:val="32"/>
          <w:szCs w:val="30"/>
        </w:rPr>
      </w:pPr>
      <w:r>
        <w:rPr>
          <w:rFonts w:hint="eastAsia" w:ascii="仿宋" w:hAnsi="仿宋" w:eastAsia="仿宋"/>
          <w:sz w:val="32"/>
          <w:szCs w:val="30"/>
        </w:rPr>
        <w:t>2021年度国有资本</w:t>
      </w:r>
      <w:r>
        <w:rPr>
          <w:rFonts w:ascii="仿宋" w:hAnsi="仿宋" w:eastAsia="仿宋"/>
          <w:sz w:val="32"/>
          <w:szCs w:val="30"/>
        </w:rPr>
        <w:t>经营预算</w:t>
      </w:r>
      <w:r>
        <w:rPr>
          <w:rFonts w:hint="eastAsia" w:ascii="仿宋" w:hAnsi="仿宋" w:eastAsia="仿宋"/>
          <w:sz w:val="32"/>
          <w:szCs w:val="30"/>
        </w:rPr>
        <w:t>年初结转和结余</w:t>
      </w:r>
      <w:r>
        <w:rPr>
          <w:rFonts w:hint="eastAsia" w:ascii="仿宋" w:hAnsi="仿宋" w:eastAsia="仿宋"/>
          <w:sz w:val="32"/>
          <w:szCs w:val="30"/>
          <w:lang w:val="en-US" w:eastAsia="zh-CN"/>
        </w:rPr>
        <w:t>0.0</w:t>
      </w:r>
      <w:r>
        <w:rPr>
          <w:rFonts w:hint="eastAsia" w:ascii="仿宋" w:hAnsi="仿宋" w:eastAsia="仿宋"/>
          <w:sz w:val="32"/>
          <w:szCs w:val="30"/>
        </w:rPr>
        <w:t>万元；本年收入</w:t>
      </w:r>
      <w:r>
        <w:rPr>
          <w:rFonts w:hint="eastAsia" w:ascii="仿宋" w:hAnsi="仿宋" w:eastAsia="仿宋"/>
          <w:sz w:val="32"/>
          <w:szCs w:val="30"/>
          <w:lang w:val="en-US" w:eastAsia="zh-CN"/>
        </w:rPr>
        <w:t>0.0</w:t>
      </w:r>
      <w:r>
        <w:rPr>
          <w:rFonts w:hint="eastAsia" w:ascii="仿宋" w:hAnsi="仿宋" w:eastAsia="仿宋"/>
          <w:sz w:val="32"/>
          <w:szCs w:val="30"/>
        </w:rPr>
        <w:t>万元；本年支出</w:t>
      </w:r>
      <w:r>
        <w:rPr>
          <w:rFonts w:hint="eastAsia" w:ascii="仿宋" w:hAnsi="仿宋" w:eastAsia="仿宋"/>
          <w:sz w:val="32"/>
          <w:szCs w:val="30"/>
          <w:lang w:val="en-US" w:eastAsia="zh-CN"/>
        </w:rPr>
        <w:t>0.0</w:t>
      </w:r>
      <w:r>
        <w:rPr>
          <w:rFonts w:hint="eastAsia" w:ascii="仿宋" w:hAnsi="仿宋" w:eastAsia="仿宋"/>
          <w:sz w:val="32"/>
          <w:szCs w:val="30"/>
        </w:rPr>
        <w:t>万元，年末结转和结余 万元。</w:t>
      </w:r>
    </w:p>
    <w:p>
      <w:pPr>
        <w:ind w:firstLine="480" w:firstLineChars="150"/>
        <w:rPr>
          <w:rFonts w:hint="eastAsia" w:ascii="黑体" w:hAnsi="黑体" w:eastAsia="黑体"/>
          <w:sz w:val="32"/>
        </w:rPr>
      </w:pPr>
      <w:r>
        <w:rPr>
          <w:rFonts w:hint="eastAsia" w:ascii="黑体" w:hAnsi="黑体" w:eastAsia="黑体"/>
          <w:sz w:val="32"/>
        </w:rPr>
        <w:t>十、关于2021年度预算绩效管理情况的说明</w:t>
      </w:r>
    </w:p>
    <w:p>
      <w:pPr>
        <w:spacing w:line="580" w:lineRule="exact"/>
        <w:ind w:firstLine="640" w:firstLineChars="200"/>
        <w:rPr>
          <w:rFonts w:eastAsia="楷体"/>
          <w:sz w:val="32"/>
          <w:szCs w:val="32"/>
        </w:rPr>
      </w:pPr>
      <w:r>
        <w:rPr>
          <w:rFonts w:eastAsia="楷体"/>
          <w:sz w:val="32"/>
          <w:szCs w:val="32"/>
        </w:rPr>
        <w:t>（一）绩效评价工作开展情况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1.组织对2021年度部门预算</w:t>
      </w:r>
      <w:r>
        <w:rPr>
          <w:rFonts w:hint="eastAsia" w:ascii="仿宋_GB2312" w:hAnsi="仿宋_GB2312" w:eastAsia="仿宋_GB2312" w:cs="仿宋_GB2312"/>
          <w:sz w:val="32"/>
          <w:szCs w:val="32"/>
          <w:lang w:val="en-US" w:eastAsia="zh-CN"/>
        </w:rPr>
        <w:t>南关区平阳街土地整理成本复核审计</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个项目进行了绩效自评，共涉及资金</w:t>
      </w:r>
      <w:r>
        <w:rPr>
          <w:rFonts w:hint="eastAsia" w:ascii="仿宋_GB2312" w:hAnsi="仿宋_GB2312" w:eastAsia="仿宋_GB2312" w:cs="仿宋_GB2312"/>
          <w:sz w:val="32"/>
          <w:szCs w:val="32"/>
          <w:lang w:val="en-US" w:eastAsia="zh-CN"/>
        </w:rPr>
        <w:t>100.4</w:t>
      </w:r>
      <w:r>
        <w:rPr>
          <w:rFonts w:hint="eastAsia" w:ascii="仿宋_GB2312" w:hAnsi="仿宋_GB2312" w:eastAsia="仿宋_GB2312" w:cs="仿宋_GB2312"/>
          <w:sz w:val="32"/>
          <w:szCs w:val="32"/>
        </w:rPr>
        <w:t>万元，绩效自评率为</w:t>
      </w:r>
      <w:r>
        <w:rPr>
          <w:rFonts w:hint="eastAsia" w:ascii="仿宋_GB2312" w:hAnsi="仿宋_GB2312" w:eastAsia="仿宋_GB2312" w:cs="仿宋_GB2312"/>
          <w:sz w:val="32"/>
          <w:szCs w:val="32"/>
          <w:lang w:val="en-US" w:eastAsia="zh-CN"/>
        </w:rPr>
        <w:t>57.14</w:t>
      </w:r>
      <w:r>
        <w:rPr>
          <w:rFonts w:hint="eastAsia" w:ascii="仿宋_GB2312" w:hAnsi="仿宋_GB2312" w:eastAsia="仿宋_GB2312" w:cs="仿宋_GB2312"/>
          <w:sz w:val="32"/>
          <w:szCs w:val="32"/>
        </w:rPr>
        <w:t>%。</w:t>
      </w:r>
    </w:p>
    <w:p>
      <w:pPr>
        <w:ind w:firstLine="640" w:firstLineChars="200"/>
        <w:rPr>
          <w:rFonts w:ascii="楷体" w:hAnsi="楷体" w:eastAsia="楷体" w:cs="楷体"/>
          <w:sz w:val="32"/>
          <w:szCs w:val="32"/>
        </w:rPr>
      </w:pPr>
      <w:r>
        <w:rPr>
          <w:rFonts w:hint="eastAsia" w:ascii="楷体" w:hAnsi="楷体" w:eastAsia="楷体" w:cs="楷体"/>
          <w:sz w:val="32"/>
          <w:szCs w:val="32"/>
        </w:rPr>
        <w:t>（二）绩效评价结果应用</w:t>
      </w:r>
    </w:p>
    <w:p>
      <w:pPr>
        <w:ind w:firstLine="640" w:firstLineChars="200"/>
        <w:rPr>
          <w:rFonts w:hint="default" w:eastAsia="仿宋_GB2312"/>
          <w:sz w:val="32"/>
          <w:szCs w:val="32"/>
          <w:lang w:val="en-US"/>
        </w:rPr>
      </w:pPr>
      <w:r>
        <w:rPr>
          <w:rFonts w:hint="eastAsia" w:ascii="仿宋_GB2312" w:hAnsi="仿宋_GB2312" w:eastAsia="仿宋_GB2312" w:cs="仿宋_GB2312"/>
          <w:sz w:val="32"/>
          <w:szCs w:val="32"/>
          <w:lang w:val="en-US" w:eastAsia="zh-CN"/>
        </w:rPr>
        <w:t>南关区审计局</w:t>
      </w:r>
      <w:r>
        <w:rPr>
          <w:rFonts w:hint="eastAsia" w:ascii="仿宋_GB2312" w:hAnsi="仿宋_GB2312" w:eastAsia="仿宋_GB2312" w:cs="仿宋_GB2312"/>
          <w:sz w:val="32"/>
          <w:szCs w:val="32"/>
        </w:rPr>
        <w:t>绩效评价结果应用情况如下：</w:t>
      </w:r>
      <w:r>
        <w:rPr>
          <w:rFonts w:hint="eastAsia" w:eastAsia="仿宋_GB2312"/>
          <w:sz w:val="32"/>
          <w:szCs w:val="32"/>
          <w:lang w:val="en-US" w:eastAsia="zh-CN"/>
        </w:rPr>
        <w:t>南关区平阳街土地整理成本复核审计项目</w:t>
      </w:r>
      <w:r>
        <w:rPr>
          <w:rFonts w:hint="eastAsia" w:eastAsia="仿宋_GB2312"/>
          <w:sz w:val="32"/>
          <w:szCs w:val="32"/>
        </w:rPr>
        <w:t>绩效自评综述。根据年初设定的绩效目标，该项目自评得分</w:t>
      </w:r>
      <w:r>
        <w:rPr>
          <w:rFonts w:hint="eastAsia" w:eastAsia="仿宋_GB2312"/>
          <w:sz w:val="32"/>
          <w:szCs w:val="32"/>
          <w:lang w:val="en-US" w:eastAsia="zh-CN"/>
        </w:rPr>
        <w:t>10</w:t>
      </w:r>
      <w:r>
        <w:rPr>
          <w:rFonts w:hint="eastAsia" w:eastAsia="仿宋_GB2312"/>
          <w:sz w:val="32"/>
          <w:szCs w:val="32"/>
        </w:rPr>
        <w:t>分。项目全年预算数</w:t>
      </w:r>
      <w:r>
        <w:rPr>
          <w:rFonts w:hint="eastAsia" w:eastAsia="仿宋_GB2312"/>
          <w:sz w:val="32"/>
          <w:szCs w:val="32"/>
          <w:lang w:val="en-US" w:eastAsia="zh-CN"/>
        </w:rPr>
        <w:t>44.0</w:t>
      </w:r>
      <w:r>
        <w:rPr>
          <w:rFonts w:hint="eastAsia" w:eastAsia="仿宋_GB2312"/>
          <w:sz w:val="32"/>
          <w:szCs w:val="32"/>
        </w:rPr>
        <w:t>万元，执行数</w:t>
      </w:r>
      <w:r>
        <w:rPr>
          <w:rFonts w:hint="eastAsia" w:eastAsia="仿宋_GB2312"/>
          <w:sz w:val="32"/>
          <w:szCs w:val="32"/>
          <w:lang w:val="en-US" w:eastAsia="zh-CN"/>
        </w:rPr>
        <w:t>42.0</w:t>
      </w:r>
      <w:r>
        <w:rPr>
          <w:rFonts w:hint="eastAsia" w:eastAsia="仿宋_GB2312"/>
          <w:sz w:val="32"/>
          <w:szCs w:val="32"/>
        </w:rPr>
        <w:t>万元，执行率为</w:t>
      </w:r>
      <w:r>
        <w:rPr>
          <w:rFonts w:hint="eastAsia" w:eastAsia="仿宋_GB2312"/>
          <w:sz w:val="32"/>
          <w:szCs w:val="32"/>
          <w:lang w:val="en-US" w:eastAsia="zh-CN"/>
        </w:rPr>
        <w:t>95.45</w:t>
      </w:r>
      <w:r>
        <w:rPr>
          <w:rFonts w:hint="eastAsia" w:eastAsia="仿宋_GB2312"/>
          <w:sz w:val="32"/>
          <w:szCs w:val="32"/>
        </w:rPr>
        <w:t>%。该项目绩效目标完成情况如下：</w:t>
      </w:r>
      <w:r>
        <w:rPr>
          <w:rFonts w:hint="eastAsia" w:eastAsia="仿宋_GB2312"/>
          <w:sz w:val="32"/>
          <w:szCs w:val="32"/>
          <w:lang w:val="en-US" w:eastAsia="zh-CN"/>
        </w:rPr>
        <w:t>乙方按照约定时间了审核工作，出具审计报告，并保证平阳街地块及地上物整理成本时形成的全部审计工作底稿以及专项审计报告的真实性、准确性和完整性；同时严格按照政策要求进行土地成本核算，对资金进行合理分配。甲方对长春红岩会计师事务所已执行的南关区平阳街地块及地上物整理成本审计程序及审计结论进行审核并发表了审核意见，整体项目按时保质保量完成，明确土地及地上物价值的同时，为南关区政府提供土地相关决策依据，推动了南关区经济社会高质量发展。</w:t>
      </w:r>
    </w:p>
    <w:p>
      <w:pPr>
        <w:ind w:firstLine="640"/>
        <w:rPr>
          <w:rFonts w:hint="eastAsia" w:ascii="仿宋" w:hAnsi="仿宋" w:eastAsia="仿宋"/>
          <w:sz w:val="32"/>
        </w:rPr>
      </w:pPr>
      <w:r>
        <w:rPr>
          <w:rFonts w:hint="eastAsia" w:ascii="黑体" w:hAnsi="黑体" w:eastAsia="黑体"/>
          <w:sz w:val="32"/>
        </w:rPr>
        <w:t>十一、其他重要事项的情况说明</w:t>
      </w:r>
    </w:p>
    <w:p>
      <w:pPr>
        <w:ind w:firstLine="640" w:firstLineChars="200"/>
        <w:rPr>
          <w:rFonts w:hint="eastAsia" w:ascii="楷体" w:hAnsi="楷体" w:eastAsia="楷体"/>
          <w:sz w:val="32"/>
          <w:highlight w:val="none"/>
        </w:rPr>
      </w:pPr>
      <w:r>
        <w:rPr>
          <w:rFonts w:hint="eastAsia" w:ascii="楷体" w:hAnsi="楷体" w:eastAsia="楷体"/>
          <w:sz w:val="32"/>
          <w:highlight w:val="none"/>
        </w:rPr>
        <w:t>（一）机关运行经费支出情况</w:t>
      </w:r>
    </w:p>
    <w:p>
      <w:pPr>
        <w:autoSpaceDE w:val="0"/>
        <w:autoSpaceDN w:val="0"/>
        <w:adjustRightInd w:val="0"/>
        <w:ind w:firstLine="640" w:firstLineChars="200"/>
        <w:jc w:val="left"/>
        <w:rPr>
          <w:rFonts w:hint="eastAsia" w:ascii="仿宋" w:hAnsi="仿宋" w:eastAsia="仿宋"/>
          <w:sz w:val="32"/>
          <w:szCs w:val="30"/>
          <w:highlight w:val="none"/>
        </w:rPr>
      </w:pPr>
      <w:r>
        <w:rPr>
          <w:rFonts w:hint="eastAsia" w:ascii="仿宋_GB2312" w:eastAsia="仿宋_GB2312" w:cs="仿宋_GB2312"/>
          <w:kern w:val="0"/>
          <w:sz w:val="32"/>
          <w:szCs w:val="32"/>
          <w:highlight w:val="none"/>
          <w:lang w:val="en-US" w:eastAsia="zh-CN"/>
        </w:rPr>
        <w:t>2021</w:t>
      </w:r>
      <w:r>
        <w:rPr>
          <w:rFonts w:hint="eastAsia" w:ascii="仿宋" w:hAnsi="仿宋" w:eastAsia="仿宋"/>
          <w:sz w:val="32"/>
          <w:highlight w:val="none"/>
        </w:rPr>
        <w:t>年度，机关运行经费支出</w:t>
      </w:r>
      <w:r>
        <w:rPr>
          <w:rFonts w:hint="eastAsia" w:ascii="仿宋_GB2312" w:eastAsia="仿宋_GB2312" w:cs="仿宋_GB2312"/>
          <w:kern w:val="0"/>
          <w:sz w:val="32"/>
          <w:szCs w:val="32"/>
          <w:highlight w:val="none"/>
          <w:lang w:val="en-US" w:eastAsia="zh-CN"/>
        </w:rPr>
        <w:t>7.37</w:t>
      </w:r>
      <w:r>
        <w:rPr>
          <w:rFonts w:hint="eastAsia" w:ascii="仿宋" w:hAnsi="仿宋" w:eastAsia="仿宋"/>
          <w:sz w:val="32"/>
          <w:highlight w:val="none"/>
        </w:rPr>
        <w:t>万元，</w:t>
      </w:r>
      <w:r>
        <w:rPr>
          <w:rFonts w:hint="eastAsia" w:ascii="仿宋_GB2312" w:eastAsia="仿宋_GB2312" w:cs="仿宋_GB2312"/>
          <w:kern w:val="0"/>
          <w:sz w:val="32"/>
          <w:szCs w:val="32"/>
          <w:highlight w:val="none"/>
        </w:rPr>
        <w:t>比年初预算数</w:t>
      </w:r>
      <w:r>
        <w:rPr>
          <w:rFonts w:hint="eastAsia" w:ascii="仿宋_GB2312" w:eastAsia="仿宋_GB2312" w:cs="仿宋_GB2312"/>
          <w:kern w:val="0"/>
          <w:sz w:val="32"/>
          <w:szCs w:val="32"/>
          <w:highlight w:val="none"/>
          <w:lang w:val="en-US" w:eastAsia="zh-CN"/>
        </w:rPr>
        <w:t>增加0.37</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val="en-US" w:eastAsia="zh-CN"/>
        </w:rPr>
        <w:t>增加5.29%</w:t>
      </w:r>
      <w:r>
        <w:rPr>
          <w:rFonts w:hint="eastAsia" w:ascii="仿宋" w:hAnsi="仿宋" w:eastAsia="仿宋"/>
          <w:sz w:val="32"/>
          <w:highlight w:val="none"/>
        </w:rPr>
        <w:t>，主要是</w:t>
      </w:r>
      <w:r>
        <w:rPr>
          <w:rFonts w:hint="eastAsia" w:ascii="仿宋_GB2312" w:eastAsia="仿宋_GB2312" w:cs="仿宋_GB2312"/>
          <w:kern w:val="0"/>
          <w:sz w:val="32"/>
          <w:szCs w:val="32"/>
          <w:highlight w:val="none"/>
          <w:lang w:val="en-US" w:eastAsia="zh-CN"/>
        </w:rPr>
        <w:t>2021</w:t>
      </w:r>
      <w:r>
        <w:rPr>
          <w:rFonts w:hint="eastAsia" w:ascii="仿宋" w:hAnsi="仿宋" w:eastAsia="仿宋"/>
          <w:sz w:val="32"/>
          <w:szCs w:val="30"/>
          <w:highlight w:val="none"/>
          <w:lang w:val="en-US" w:eastAsia="zh-CN"/>
        </w:rPr>
        <w:t>年度领导经济责任离任审计项目增加导致</w:t>
      </w:r>
      <w:r>
        <w:rPr>
          <w:rFonts w:hint="eastAsia" w:ascii="仿宋" w:hAnsi="仿宋" w:eastAsia="仿宋"/>
          <w:sz w:val="32"/>
          <w:szCs w:val="30"/>
          <w:highlight w:val="none"/>
        </w:rPr>
        <w:t>。</w:t>
      </w:r>
    </w:p>
    <w:p>
      <w:pPr>
        <w:rPr>
          <w:rFonts w:hint="eastAsia" w:ascii="楷体" w:hAnsi="楷体" w:eastAsia="楷体"/>
          <w:sz w:val="32"/>
          <w:highlight w:val="none"/>
        </w:rPr>
      </w:pPr>
      <w:r>
        <w:rPr>
          <w:rFonts w:hint="eastAsia" w:ascii="楷体" w:hAnsi="楷体" w:eastAsia="楷体"/>
          <w:sz w:val="32"/>
          <w:highlight w:val="none"/>
        </w:rPr>
        <w:t xml:space="preserve">    （二）政府采购支出情况</w:t>
      </w:r>
    </w:p>
    <w:p>
      <w:pPr>
        <w:ind w:firstLine="640" w:firstLineChars="200"/>
        <w:rPr>
          <w:rFonts w:hint="eastAsia" w:ascii="仿宋" w:hAnsi="仿宋" w:eastAsia="仿宋"/>
          <w:sz w:val="32"/>
          <w:highlight w:val="none"/>
        </w:rPr>
      </w:pPr>
      <w:r>
        <w:rPr>
          <w:rFonts w:hint="eastAsia" w:ascii="仿宋_GB2312" w:eastAsia="仿宋_GB2312" w:cs="仿宋_GB2312"/>
          <w:kern w:val="0"/>
          <w:sz w:val="32"/>
          <w:szCs w:val="32"/>
          <w:highlight w:val="none"/>
          <w:lang w:val="en-US" w:eastAsia="zh-CN"/>
        </w:rPr>
        <w:t>2021</w:t>
      </w:r>
      <w:r>
        <w:rPr>
          <w:rFonts w:hint="eastAsia" w:ascii="仿宋" w:hAnsi="仿宋" w:eastAsia="仿宋"/>
          <w:sz w:val="32"/>
          <w:highlight w:val="none"/>
        </w:rPr>
        <w:t>年度，政府采购支出总额</w:t>
      </w:r>
      <w:r>
        <w:rPr>
          <w:rFonts w:hint="eastAsia" w:ascii="仿宋_GB2312" w:hAnsi="仿宋_GB2312" w:eastAsia="仿宋_GB2312" w:cs="仿宋_GB2312"/>
          <w:sz w:val="32"/>
          <w:highlight w:val="none"/>
          <w:lang w:val="en-US" w:eastAsia="zh-CN"/>
        </w:rPr>
        <w:t>153.64</w:t>
      </w:r>
      <w:r>
        <w:rPr>
          <w:rFonts w:hint="eastAsia" w:ascii="仿宋" w:hAnsi="仿宋" w:eastAsia="仿宋"/>
          <w:sz w:val="32"/>
          <w:highlight w:val="none"/>
        </w:rPr>
        <w:t>万元，其中：政府采购货物支出</w:t>
      </w:r>
      <w:r>
        <w:rPr>
          <w:rFonts w:hint="eastAsia" w:ascii="仿宋_GB2312" w:hAnsi="仿宋_GB2312" w:eastAsia="仿宋_GB2312" w:cs="仿宋_GB2312"/>
          <w:sz w:val="32"/>
          <w:highlight w:val="none"/>
          <w:lang w:val="en-US" w:eastAsia="zh-CN"/>
        </w:rPr>
        <w:t>7.37</w:t>
      </w:r>
      <w:r>
        <w:rPr>
          <w:rFonts w:hint="eastAsia" w:ascii="仿宋" w:hAnsi="仿宋" w:eastAsia="仿宋"/>
          <w:sz w:val="32"/>
          <w:highlight w:val="none"/>
        </w:rPr>
        <w:t>万元、政府采购服务支出</w:t>
      </w:r>
      <w:r>
        <w:rPr>
          <w:rFonts w:hint="eastAsia" w:ascii="仿宋_GB2312" w:hAnsi="仿宋_GB2312" w:eastAsia="仿宋_GB2312" w:cs="仿宋_GB2312"/>
          <w:sz w:val="32"/>
          <w:highlight w:val="none"/>
          <w:lang w:val="en-US" w:eastAsia="zh-CN"/>
        </w:rPr>
        <w:t>146.27</w:t>
      </w:r>
      <w:r>
        <w:rPr>
          <w:rFonts w:hint="eastAsia" w:ascii="仿宋" w:hAnsi="仿宋" w:eastAsia="仿宋"/>
          <w:sz w:val="32"/>
          <w:highlight w:val="none"/>
        </w:rPr>
        <w:t>万元。授予中小企业合同金额</w:t>
      </w:r>
      <w:r>
        <w:rPr>
          <w:rFonts w:hint="eastAsia" w:ascii="仿宋_GB2312" w:hAnsi="仿宋_GB2312" w:eastAsia="仿宋_GB2312" w:cs="仿宋_GB2312"/>
          <w:sz w:val="32"/>
          <w:highlight w:val="none"/>
          <w:lang w:val="en-US" w:eastAsia="zh-CN"/>
        </w:rPr>
        <w:t>153.64</w:t>
      </w:r>
      <w:r>
        <w:rPr>
          <w:rFonts w:hint="eastAsia" w:ascii="仿宋" w:hAnsi="仿宋" w:eastAsia="仿宋"/>
          <w:sz w:val="32"/>
          <w:highlight w:val="none"/>
        </w:rPr>
        <w:t>万元，占政府采购支出总额的</w:t>
      </w:r>
      <w:r>
        <w:rPr>
          <w:rFonts w:hint="eastAsia" w:ascii="仿宋_GB2312" w:hAnsi="仿宋_GB2312" w:eastAsia="仿宋_GB2312" w:cs="仿宋_GB2312"/>
          <w:sz w:val="32"/>
          <w:highlight w:val="none"/>
          <w:lang w:val="en-US" w:eastAsia="zh-CN"/>
        </w:rPr>
        <w:t>100.0</w:t>
      </w:r>
      <w:r>
        <w:rPr>
          <w:rFonts w:hint="eastAsia" w:ascii="仿宋" w:hAnsi="仿宋" w:eastAsia="仿宋"/>
          <w:sz w:val="32"/>
          <w:highlight w:val="none"/>
        </w:rPr>
        <w:t>%，其中：授予小微企业合同金额</w:t>
      </w:r>
      <w:r>
        <w:rPr>
          <w:rFonts w:hint="eastAsia" w:ascii="仿宋_GB2312" w:hAnsi="仿宋_GB2312" w:eastAsia="仿宋_GB2312" w:cs="仿宋_GB2312"/>
          <w:sz w:val="32"/>
          <w:highlight w:val="none"/>
          <w:lang w:val="en-US" w:eastAsia="zh-CN"/>
        </w:rPr>
        <w:t>153.64</w:t>
      </w:r>
      <w:r>
        <w:rPr>
          <w:rFonts w:hint="eastAsia" w:ascii="仿宋" w:hAnsi="仿宋" w:eastAsia="仿宋"/>
          <w:sz w:val="32"/>
          <w:highlight w:val="none"/>
        </w:rPr>
        <w:t>万元，占授予中小</w:t>
      </w:r>
      <w:r>
        <w:rPr>
          <w:rFonts w:ascii="仿宋" w:hAnsi="仿宋" w:eastAsia="仿宋"/>
          <w:sz w:val="32"/>
          <w:highlight w:val="none"/>
        </w:rPr>
        <w:t>企业合同金额的</w:t>
      </w:r>
      <w:r>
        <w:rPr>
          <w:rFonts w:hint="eastAsia" w:ascii="仿宋_GB2312" w:hAnsi="仿宋" w:eastAsia="仿宋_GB2312"/>
          <w:sz w:val="32"/>
          <w:szCs w:val="30"/>
          <w:highlight w:val="none"/>
          <w:lang w:val="en-US" w:eastAsia="zh-CN"/>
        </w:rPr>
        <w:t>100.0</w:t>
      </w:r>
      <w:r>
        <w:rPr>
          <w:rFonts w:hint="eastAsia" w:ascii="仿宋" w:hAnsi="仿宋" w:eastAsia="仿宋"/>
          <w:sz w:val="32"/>
          <w:highlight w:val="none"/>
        </w:rPr>
        <w:t>%；</w:t>
      </w:r>
      <w:r>
        <w:rPr>
          <w:rFonts w:ascii="仿宋" w:hAnsi="仿宋" w:eastAsia="仿宋"/>
          <w:sz w:val="32"/>
          <w:highlight w:val="none"/>
        </w:rPr>
        <w:t>货物采购</w:t>
      </w:r>
      <w:r>
        <w:rPr>
          <w:rFonts w:ascii="仿宋_GB2312" w:hAnsi="仿宋" w:eastAsia="仿宋_GB2312"/>
          <w:sz w:val="32"/>
          <w:szCs w:val="30"/>
          <w:highlight w:val="none"/>
        </w:rPr>
        <w:t>授予中小企业合同金额占货物支出金额的</w:t>
      </w:r>
      <w:r>
        <w:rPr>
          <w:rFonts w:hint="eastAsia" w:ascii="仿宋_GB2312" w:hAnsi="仿宋" w:eastAsia="仿宋_GB2312"/>
          <w:sz w:val="32"/>
          <w:szCs w:val="30"/>
          <w:highlight w:val="none"/>
          <w:lang w:val="en-US" w:eastAsia="zh-CN"/>
        </w:rPr>
        <w:t>100.0</w:t>
      </w:r>
      <w:r>
        <w:rPr>
          <w:rFonts w:ascii="仿宋_GB2312" w:hAnsi="仿宋" w:eastAsia="仿宋_GB2312"/>
          <w:sz w:val="32"/>
          <w:szCs w:val="30"/>
          <w:highlight w:val="none"/>
        </w:rPr>
        <w:t>%，服务采购授予中小企业合同金额占服务支出金额的</w:t>
      </w:r>
      <w:r>
        <w:rPr>
          <w:rFonts w:hint="eastAsia" w:ascii="仿宋_GB2312" w:hAnsi="仿宋" w:eastAsia="仿宋_GB2312"/>
          <w:sz w:val="32"/>
          <w:szCs w:val="30"/>
          <w:highlight w:val="none"/>
          <w:lang w:val="en-US" w:eastAsia="zh-CN"/>
        </w:rPr>
        <w:t>100.0</w:t>
      </w:r>
      <w:r>
        <w:rPr>
          <w:rFonts w:ascii="仿宋_GB2312" w:hAnsi="仿宋" w:eastAsia="仿宋_GB2312"/>
          <w:sz w:val="32"/>
          <w:szCs w:val="30"/>
          <w:highlight w:val="none"/>
        </w:rPr>
        <w:t>%。</w:t>
      </w:r>
    </w:p>
    <w:p>
      <w:pPr>
        <w:rPr>
          <w:rFonts w:hint="eastAsia" w:ascii="楷体" w:hAnsi="楷体" w:eastAsia="楷体"/>
          <w:sz w:val="32"/>
          <w:highlight w:val="none"/>
        </w:rPr>
      </w:pPr>
      <w:r>
        <w:rPr>
          <w:rFonts w:hint="eastAsia" w:ascii="楷体" w:hAnsi="楷体" w:eastAsia="楷体"/>
          <w:sz w:val="32"/>
          <w:highlight w:val="none"/>
        </w:rPr>
        <w:t xml:space="preserve">    （三）国有资产占用情况</w:t>
      </w:r>
    </w:p>
    <w:p>
      <w:pPr>
        <w:spacing w:line="580" w:lineRule="exact"/>
        <w:ind w:firstLine="602"/>
        <w:rPr>
          <w:rFonts w:ascii="仿宋_GB2312" w:eastAsia="仿宋_GB2312" w:cs="仿宋_GB2312"/>
          <w:kern w:val="0"/>
          <w:sz w:val="32"/>
          <w:szCs w:val="32"/>
          <w:highlight w:val="none"/>
        </w:rPr>
      </w:pPr>
      <w:r>
        <w:rPr>
          <w:rFonts w:hint="eastAsia" w:ascii="仿宋" w:hAnsi="仿宋" w:eastAsia="仿宋"/>
          <w:sz w:val="32"/>
          <w:highlight w:val="none"/>
        </w:rPr>
        <w:t>截至</w:t>
      </w:r>
      <w:r>
        <w:rPr>
          <w:rFonts w:hint="eastAsia" w:ascii="仿宋_GB2312" w:hAnsi="仿宋_GB2312" w:eastAsia="仿宋_GB2312" w:cs="仿宋_GB2312"/>
          <w:sz w:val="32"/>
          <w:highlight w:val="none"/>
        </w:rPr>
        <w:t>2021</w:t>
      </w:r>
      <w:r>
        <w:rPr>
          <w:rFonts w:hint="eastAsia" w:ascii="仿宋" w:hAnsi="仿宋" w:eastAsia="仿宋"/>
          <w:sz w:val="32"/>
          <w:highlight w:val="none"/>
        </w:rPr>
        <w:t>年</w:t>
      </w:r>
      <w:r>
        <w:rPr>
          <w:rFonts w:hint="eastAsia" w:ascii="仿宋_GB2312" w:hAnsi="仿宋_GB2312" w:eastAsia="仿宋_GB2312" w:cs="仿宋_GB2312"/>
          <w:sz w:val="32"/>
          <w:highlight w:val="none"/>
        </w:rPr>
        <w:t>12</w:t>
      </w:r>
      <w:r>
        <w:rPr>
          <w:rFonts w:hint="eastAsia" w:ascii="仿宋" w:hAnsi="仿宋" w:eastAsia="仿宋"/>
          <w:sz w:val="32"/>
          <w:highlight w:val="none"/>
        </w:rPr>
        <w:t>月</w:t>
      </w:r>
      <w:r>
        <w:rPr>
          <w:rFonts w:hint="eastAsia" w:ascii="仿宋_GB2312" w:hAnsi="仿宋_GB2312" w:eastAsia="仿宋_GB2312" w:cs="仿宋_GB2312"/>
          <w:sz w:val="32"/>
          <w:highlight w:val="none"/>
        </w:rPr>
        <w:t>31</w:t>
      </w:r>
      <w:r>
        <w:rPr>
          <w:rFonts w:hint="eastAsia" w:ascii="仿宋" w:hAnsi="仿宋" w:eastAsia="仿宋"/>
          <w:sz w:val="32"/>
          <w:highlight w:val="none"/>
        </w:rPr>
        <w:t>日，</w:t>
      </w:r>
      <w:r>
        <w:rPr>
          <w:rFonts w:hint="eastAsia" w:ascii="仿宋" w:hAnsi="仿宋" w:eastAsia="仿宋"/>
          <w:sz w:val="32"/>
          <w:highlight w:val="none"/>
          <w:lang w:val="en-US" w:eastAsia="zh-CN"/>
        </w:rPr>
        <w:t>长春市南关区审计局</w:t>
      </w:r>
      <w:r>
        <w:rPr>
          <w:rFonts w:hint="eastAsia" w:ascii="仿宋" w:hAnsi="仿宋" w:eastAsia="仿宋"/>
          <w:sz w:val="32"/>
          <w:highlight w:val="none"/>
        </w:rPr>
        <w:t>共有车辆</w:t>
      </w:r>
      <w:r>
        <w:rPr>
          <w:rFonts w:hint="eastAsia" w:ascii="仿宋_GB2312" w:hAnsi="仿宋_GB2312" w:eastAsia="仿宋_GB2312" w:cs="仿宋_GB2312"/>
          <w:sz w:val="32"/>
          <w:highlight w:val="none"/>
          <w:lang w:val="en-US" w:eastAsia="zh-CN"/>
        </w:rPr>
        <w:t>0</w:t>
      </w:r>
      <w:r>
        <w:rPr>
          <w:rFonts w:hint="eastAsia" w:ascii="仿宋" w:hAnsi="仿宋" w:eastAsia="仿宋"/>
          <w:sz w:val="32"/>
          <w:highlight w:val="none"/>
        </w:rPr>
        <w:t>辆，</w:t>
      </w:r>
      <w:r>
        <w:rPr>
          <w:rFonts w:hint="eastAsia" w:ascii="仿宋" w:hAnsi="仿宋" w:eastAsia="仿宋"/>
          <w:sz w:val="32"/>
          <w:szCs w:val="30"/>
          <w:highlight w:val="none"/>
        </w:rPr>
        <w:t>其中，</w:t>
      </w:r>
      <w:r>
        <w:rPr>
          <w:rFonts w:hint="eastAsia" w:ascii="仿宋_GB2312" w:eastAsia="仿宋_GB2312" w:cs="仿宋_GB2312"/>
          <w:kern w:val="0"/>
          <w:sz w:val="32"/>
          <w:szCs w:val="32"/>
          <w:highlight w:val="none"/>
        </w:rPr>
        <w:t>副</w:t>
      </w:r>
      <w:r>
        <w:rPr>
          <w:rFonts w:hint="eastAsia" w:ascii="仿宋_GB2312" w:hAnsi="等线" w:eastAsia="仿宋_GB2312" w:cs="仿宋_GB2312"/>
          <w:kern w:val="0"/>
          <w:sz w:val="32"/>
          <w:szCs w:val="32"/>
          <w:highlight w:val="none"/>
        </w:rPr>
        <w:t>部</w:t>
      </w:r>
      <w:r>
        <w:rPr>
          <w:rFonts w:hint="eastAsia" w:ascii="仿宋_GB2312" w:eastAsia="仿宋_GB2312" w:cs="仿宋_GB2312"/>
          <w:kern w:val="0"/>
          <w:sz w:val="32"/>
          <w:szCs w:val="32"/>
          <w:highlight w:val="none"/>
        </w:rPr>
        <w:t>（省）</w:t>
      </w:r>
      <w:r>
        <w:rPr>
          <w:rFonts w:hint="eastAsia" w:ascii="仿宋_GB2312" w:hAnsi="等线" w:eastAsia="仿宋_GB2312" w:cs="仿宋_GB2312"/>
          <w:kern w:val="0"/>
          <w:sz w:val="32"/>
          <w:szCs w:val="32"/>
          <w:highlight w:val="none"/>
        </w:rPr>
        <w:t>级</w:t>
      </w:r>
      <w:r>
        <w:rPr>
          <w:rFonts w:hint="eastAsia" w:ascii="仿宋_GB2312" w:eastAsia="仿宋_GB2312" w:cs="仿宋_GB2312"/>
          <w:kern w:val="0"/>
          <w:sz w:val="32"/>
          <w:szCs w:val="32"/>
          <w:highlight w:val="none"/>
        </w:rPr>
        <w:t>及以上</w:t>
      </w:r>
      <w:r>
        <w:rPr>
          <w:rFonts w:hint="eastAsia" w:ascii="仿宋_GB2312" w:hAnsi="等线" w:eastAsia="仿宋_GB2312" w:cs="仿宋_GB2312"/>
          <w:kern w:val="0"/>
          <w:sz w:val="32"/>
          <w:szCs w:val="32"/>
          <w:highlight w:val="none"/>
        </w:rPr>
        <w:t>领导用车</w:t>
      </w:r>
      <w:r>
        <w:rPr>
          <w:rFonts w:hint="eastAsia" w:ascii="仿宋_GB2312" w:hAnsi="仿宋_GB2312"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辆、主要领导干部用车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辆、机要通信用车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辆、应急保障用车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辆、执法执勤用车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辆、特种专业技术用车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辆、离退休干部用车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辆、其他用车</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辆；单位价值</w:t>
      </w:r>
      <w:r>
        <w:rPr>
          <w:rFonts w:ascii="仿宋_GB2312" w:hAnsi="等线" w:eastAsia="仿宋_GB2312" w:cs="仿宋_GB2312"/>
          <w:kern w:val="0"/>
          <w:sz w:val="32"/>
          <w:szCs w:val="32"/>
          <w:highlight w:val="none"/>
        </w:rPr>
        <w:t>50</w:t>
      </w:r>
      <w:r>
        <w:rPr>
          <w:rFonts w:hint="eastAsia" w:ascii="仿宋_GB2312" w:hAnsi="等线" w:eastAsia="仿宋_GB2312" w:cs="仿宋_GB2312"/>
          <w:kern w:val="0"/>
          <w:sz w:val="32"/>
          <w:szCs w:val="32"/>
          <w:highlight w:val="none"/>
        </w:rPr>
        <w:t>万元以上通用设备</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台（套）；单位价值</w:t>
      </w:r>
      <w:r>
        <w:rPr>
          <w:rFonts w:ascii="仿宋_GB2312" w:hAnsi="等线" w:eastAsia="仿宋_GB2312" w:cs="仿宋_GB2312"/>
          <w:kern w:val="0"/>
          <w:sz w:val="32"/>
          <w:szCs w:val="32"/>
          <w:highlight w:val="none"/>
        </w:rPr>
        <w:t>100</w:t>
      </w:r>
      <w:r>
        <w:rPr>
          <w:rFonts w:hint="eastAsia" w:ascii="仿宋_GB2312" w:hAnsi="等线" w:eastAsia="仿宋_GB2312" w:cs="仿宋_GB2312"/>
          <w:kern w:val="0"/>
          <w:sz w:val="32"/>
          <w:szCs w:val="32"/>
          <w:highlight w:val="none"/>
        </w:rPr>
        <w:t>万元以上专用设备</w:t>
      </w:r>
      <w:r>
        <w:rPr>
          <w:rFonts w:hint="eastAsia" w:ascii="仿宋_GB2312" w:hAnsi="等线" w:eastAsia="仿宋_GB2312" w:cs="仿宋_GB2312"/>
          <w:kern w:val="0"/>
          <w:sz w:val="32"/>
          <w:szCs w:val="32"/>
          <w:highlight w:val="none"/>
          <w:lang w:val="en-US" w:eastAsia="zh-CN"/>
        </w:rPr>
        <w:t>0</w:t>
      </w:r>
      <w:r>
        <w:rPr>
          <w:rFonts w:hint="eastAsia" w:ascii="仿宋_GB2312" w:hAnsi="等线" w:eastAsia="仿宋_GB2312" w:cs="仿宋_GB2312"/>
          <w:kern w:val="0"/>
          <w:sz w:val="32"/>
          <w:szCs w:val="32"/>
          <w:highlight w:val="none"/>
        </w:rPr>
        <w:t>台（套）</w:t>
      </w:r>
      <w:r>
        <w:rPr>
          <w:rFonts w:hint="eastAsia" w:ascii="仿宋_GB2312" w:eastAsia="仿宋_GB2312" w:cs="仿宋_GB2312"/>
          <w:kern w:val="0"/>
          <w:sz w:val="32"/>
          <w:szCs w:val="32"/>
          <w:highlight w:val="none"/>
        </w:rPr>
        <w:t>。</w:t>
      </w: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pPr>
        <w:ind w:firstLine="640" w:firstLineChars="200"/>
        <w:rPr>
          <w:rFonts w:hint="eastAsia" w:ascii="仿宋" w:hAnsi="仿宋" w:eastAsia="仿宋"/>
          <w:sz w:val="32"/>
        </w:rPr>
      </w:pPr>
    </w:p>
    <w:p>
      <w:pPr>
        <w:ind w:firstLine="643" w:firstLineChars="200"/>
        <w:rPr>
          <w:rFonts w:hint="eastAsia"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二</w:t>
      </w:r>
      <w:r>
        <w:rPr>
          <w:rFonts w:hint="eastAsia" w:ascii="仿宋" w:hAnsi="仿宋" w:eastAsia="仿宋"/>
          <w:b/>
          <w:bCs/>
          <w:sz w:val="32"/>
        </w:rPr>
        <w:t>、其他收入：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三</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四</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五</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七</w:t>
      </w:r>
      <w:r>
        <w:rPr>
          <w:rFonts w:hint="eastAsia" w:ascii="仿宋" w:hAnsi="仿宋" w:eastAsia="仿宋"/>
          <w:b/>
          <w:bCs/>
          <w:sz w:val="32"/>
        </w:rPr>
        <w:t>、“三公”经费：</w:t>
      </w:r>
      <w:r>
        <w:rPr>
          <w:rFonts w:hint="eastAsia" w:ascii="仿宋" w:hAnsi="仿宋" w:eastAsia="仿宋"/>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autoSpaceDN w:val="0"/>
        <w:spacing w:line="360" w:lineRule="auto"/>
        <w:rPr>
          <w:rFonts w:hint="eastAsia" w:ascii="仿宋" w:hAnsi="仿宋" w:eastAsia="仿宋"/>
          <w:b/>
          <w:bCs/>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DECD"/>
    <w:multiLevelType w:val="singleLevel"/>
    <w:tmpl w:val="597FDECD"/>
    <w:lvl w:ilvl="0" w:tentative="0">
      <w:start w:val="1"/>
      <w:numFmt w:val="chineseCounting"/>
      <w:suff w:val="nothing"/>
      <w:lvlText w:val="%1、"/>
      <w:lvlJc w:val="left"/>
    </w:lvl>
  </w:abstractNum>
  <w:abstractNum w:abstractNumId="1">
    <w:nsid w:val="5981A2F5"/>
    <w:multiLevelType w:val="singleLevel"/>
    <w:tmpl w:val="5981A2F5"/>
    <w:lvl w:ilvl="0" w:tentative="0">
      <w:start w:val="2"/>
      <w:numFmt w:val="chineseCounting"/>
      <w:suff w:val="nothing"/>
      <w:lvlText w:val="%1、"/>
      <w:lvlJc w:val="left"/>
    </w:lvl>
  </w:abstractNum>
  <w:abstractNum w:abstractNumId="2">
    <w:nsid w:val="5B5FFFD8"/>
    <w:multiLevelType w:val="singleLevel"/>
    <w:tmpl w:val="5B5FFFD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zYzNmE3ZmVmNDJkZDkyM2NkYTVhNWU4ZmY1NGUifQ=="/>
  </w:docVars>
  <w:rsids>
    <w:rsidRoot w:val="00172A27"/>
    <w:rsid w:val="0003327A"/>
    <w:rsid w:val="0004549D"/>
    <w:rsid w:val="00047CE0"/>
    <w:rsid w:val="0006372F"/>
    <w:rsid w:val="00077103"/>
    <w:rsid w:val="0008356C"/>
    <w:rsid w:val="000B328C"/>
    <w:rsid w:val="000C03D5"/>
    <w:rsid w:val="000C21F2"/>
    <w:rsid w:val="000D4CF2"/>
    <w:rsid w:val="0011688D"/>
    <w:rsid w:val="00117E36"/>
    <w:rsid w:val="001226CF"/>
    <w:rsid w:val="001264B5"/>
    <w:rsid w:val="00140A6B"/>
    <w:rsid w:val="001635CE"/>
    <w:rsid w:val="001A0649"/>
    <w:rsid w:val="001B0926"/>
    <w:rsid w:val="001B144F"/>
    <w:rsid w:val="001C4B44"/>
    <w:rsid w:val="002022DE"/>
    <w:rsid w:val="002264A4"/>
    <w:rsid w:val="002C2730"/>
    <w:rsid w:val="002E7A9A"/>
    <w:rsid w:val="00303A54"/>
    <w:rsid w:val="00305FC6"/>
    <w:rsid w:val="003278D8"/>
    <w:rsid w:val="003405DB"/>
    <w:rsid w:val="003425BC"/>
    <w:rsid w:val="003A39C7"/>
    <w:rsid w:val="003C2237"/>
    <w:rsid w:val="003C2728"/>
    <w:rsid w:val="00445D02"/>
    <w:rsid w:val="004477D7"/>
    <w:rsid w:val="0045724A"/>
    <w:rsid w:val="004922D3"/>
    <w:rsid w:val="004C1D40"/>
    <w:rsid w:val="004E1B38"/>
    <w:rsid w:val="00502032"/>
    <w:rsid w:val="00552D11"/>
    <w:rsid w:val="00587513"/>
    <w:rsid w:val="00593840"/>
    <w:rsid w:val="005A7848"/>
    <w:rsid w:val="005C3EFC"/>
    <w:rsid w:val="005C6473"/>
    <w:rsid w:val="005D420A"/>
    <w:rsid w:val="005E131A"/>
    <w:rsid w:val="00613C24"/>
    <w:rsid w:val="00633860"/>
    <w:rsid w:val="00652E45"/>
    <w:rsid w:val="00671591"/>
    <w:rsid w:val="00682CD9"/>
    <w:rsid w:val="00683BEC"/>
    <w:rsid w:val="006951EE"/>
    <w:rsid w:val="006A729C"/>
    <w:rsid w:val="006D4085"/>
    <w:rsid w:val="006F18F5"/>
    <w:rsid w:val="007041F5"/>
    <w:rsid w:val="007376D0"/>
    <w:rsid w:val="00747CD1"/>
    <w:rsid w:val="007826B8"/>
    <w:rsid w:val="00786916"/>
    <w:rsid w:val="007A7776"/>
    <w:rsid w:val="007C4AB8"/>
    <w:rsid w:val="00803989"/>
    <w:rsid w:val="00804332"/>
    <w:rsid w:val="00810078"/>
    <w:rsid w:val="00814FD0"/>
    <w:rsid w:val="00846256"/>
    <w:rsid w:val="0085070B"/>
    <w:rsid w:val="008C4FC2"/>
    <w:rsid w:val="0090403A"/>
    <w:rsid w:val="00915519"/>
    <w:rsid w:val="00920A16"/>
    <w:rsid w:val="0092302E"/>
    <w:rsid w:val="00931C2B"/>
    <w:rsid w:val="00936F17"/>
    <w:rsid w:val="009519C2"/>
    <w:rsid w:val="0099060F"/>
    <w:rsid w:val="00A40A7B"/>
    <w:rsid w:val="00A53409"/>
    <w:rsid w:val="00A816B1"/>
    <w:rsid w:val="00A943EC"/>
    <w:rsid w:val="00AA4948"/>
    <w:rsid w:val="00AB0A7A"/>
    <w:rsid w:val="00AB5C2B"/>
    <w:rsid w:val="00AC4905"/>
    <w:rsid w:val="00AD39D9"/>
    <w:rsid w:val="00AD5EE9"/>
    <w:rsid w:val="00B131A9"/>
    <w:rsid w:val="00B453C4"/>
    <w:rsid w:val="00B55436"/>
    <w:rsid w:val="00B77953"/>
    <w:rsid w:val="00BE2F51"/>
    <w:rsid w:val="00C05D3E"/>
    <w:rsid w:val="00C95845"/>
    <w:rsid w:val="00CA0906"/>
    <w:rsid w:val="00CB6AF0"/>
    <w:rsid w:val="00CC24B1"/>
    <w:rsid w:val="00D21B92"/>
    <w:rsid w:val="00D307DD"/>
    <w:rsid w:val="00D56EEF"/>
    <w:rsid w:val="00D65B9D"/>
    <w:rsid w:val="00D71A73"/>
    <w:rsid w:val="00D94D7D"/>
    <w:rsid w:val="00DA0EF4"/>
    <w:rsid w:val="00DD0315"/>
    <w:rsid w:val="00DE37B1"/>
    <w:rsid w:val="00E002F7"/>
    <w:rsid w:val="00E004C9"/>
    <w:rsid w:val="00E31020"/>
    <w:rsid w:val="00E4602A"/>
    <w:rsid w:val="00E57F91"/>
    <w:rsid w:val="00E67C51"/>
    <w:rsid w:val="00EA6FB0"/>
    <w:rsid w:val="00EB293D"/>
    <w:rsid w:val="00ED0C42"/>
    <w:rsid w:val="00EF3AF1"/>
    <w:rsid w:val="00F036BB"/>
    <w:rsid w:val="00F14E68"/>
    <w:rsid w:val="00F4669D"/>
    <w:rsid w:val="00F6416E"/>
    <w:rsid w:val="00F71100"/>
    <w:rsid w:val="00FF644D"/>
    <w:rsid w:val="01291CF3"/>
    <w:rsid w:val="013836B1"/>
    <w:rsid w:val="01C17C29"/>
    <w:rsid w:val="01D25F7D"/>
    <w:rsid w:val="02631927"/>
    <w:rsid w:val="02935584"/>
    <w:rsid w:val="039950F2"/>
    <w:rsid w:val="03AF0195"/>
    <w:rsid w:val="03EB5A73"/>
    <w:rsid w:val="045B3430"/>
    <w:rsid w:val="050474A7"/>
    <w:rsid w:val="051B5087"/>
    <w:rsid w:val="052D7500"/>
    <w:rsid w:val="056D7D0D"/>
    <w:rsid w:val="06BA67ED"/>
    <w:rsid w:val="078D0265"/>
    <w:rsid w:val="07BA0FF2"/>
    <w:rsid w:val="07D74041"/>
    <w:rsid w:val="08461F91"/>
    <w:rsid w:val="08E14DC5"/>
    <w:rsid w:val="099D2019"/>
    <w:rsid w:val="09ED7D19"/>
    <w:rsid w:val="09FC0338"/>
    <w:rsid w:val="0B365A8D"/>
    <w:rsid w:val="0B4C5D40"/>
    <w:rsid w:val="0C455F50"/>
    <w:rsid w:val="0C48384D"/>
    <w:rsid w:val="0DA93E4C"/>
    <w:rsid w:val="0E82019F"/>
    <w:rsid w:val="0E913F8C"/>
    <w:rsid w:val="0EC042D8"/>
    <w:rsid w:val="0EFA5D2F"/>
    <w:rsid w:val="0F4150F8"/>
    <w:rsid w:val="0FD54E0B"/>
    <w:rsid w:val="10057FFD"/>
    <w:rsid w:val="10C74779"/>
    <w:rsid w:val="10DE2F25"/>
    <w:rsid w:val="115F0793"/>
    <w:rsid w:val="11690123"/>
    <w:rsid w:val="11E8486E"/>
    <w:rsid w:val="12277E38"/>
    <w:rsid w:val="12A612BB"/>
    <w:rsid w:val="12B83979"/>
    <w:rsid w:val="12CE5DDA"/>
    <w:rsid w:val="13281E39"/>
    <w:rsid w:val="13E87B2A"/>
    <w:rsid w:val="14424B64"/>
    <w:rsid w:val="1451667D"/>
    <w:rsid w:val="149A7217"/>
    <w:rsid w:val="15C422A6"/>
    <w:rsid w:val="16215284"/>
    <w:rsid w:val="16BA16A6"/>
    <w:rsid w:val="17A9728B"/>
    <w:rsid w:val="17B3432A"/>
    <w:rsid w:val="18785C35"/>
    <w:rsid w:val="18BD2904"/>
    <w:rsid w:val="18D2447F"/>
    <w:rsid w:val="18DD2B55"/>
    <w:rsid w:val="190350A8"/>
    <w:rsid w:val="19503578"/>
    <w:rsid w:val="19FB6DA2"/>
    <w:rsid w:val="1A011720"/>
    <w:rsid w:val="1A3056D8"/>
    <w:rsid w:val="1ABD4924"/>
    <w:rsid w:val="1B4C26D6"/>
    <w:rsid w:val="1B6A01A5"/>
    <w:rsid w:val="1B704521"/>
    <w:rsid w:val="1BBD09F3"/>
    <w:rsid w:val="1BF264AC"/>
    <w:rsid w:val="1C811E8C"/>
    <w:rsid w:val="1C833AB3"/>
    <w:rsid w:val="1CE741A3"/>
    <w:rsid w:val="1CF35D0C"/>
    <w:rsid w:val="1D5B5A38"/>
    <w:rsid w:val="1DCC0726"/>
    <w:rsid w:val="1DF24545"/>
    <w:rsid w:val="1E1160FD"/>
    <w:rsid w:val="1E9D4136"/>
    <w:rsid w:val="1EA81C47"/>
    <w:rsid w:val="1EB43A3C"/>
    <w:rsid w:val="1ED7600F"/>
    <w:rsid w:val="1F4D411B"/>
    <w:rsid w:val="1F7A571D"/>
    <w:rsid w:val="208A259E"/>
    <w:rsid w:val="216E09DF"/>
    <w:rsid w:val="21786EFC"/>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6178BC"/>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A9194B"/>
    <w:rsid w:val="2FDC43A0"/>
    <w:rsid w:val="2FE41633"/>
    <w:rsid w:val="2FF16D2E"/>
    <w:rsid w:val="303B6D52"/>
    <w:rsid w:val="30404DA3"/>
    <w:rsid w:val="311B2DB5"/>
    <w:rsid w:val="31200E48"/>
    <w:rsid w:val="312F40AC"/>
    <w:rsid w:val="31696AB3"/>
    <w:rsid w:val="3212787A"/>
    <w:rsid w:val="333E5CF6"/>
    <w:rsid w:val="338A0ECC"/>
    <w:rsid w:val="33CE6DF1"/>
    <w:rsid w:val="33D2753F"/>
    <w:rsid w:val="33D5291B"/>
    <w:rsid w:val="34A343A7"/>
    <w:rsid w:val="34B67240"/>
    <w:rsid w:val="34BC093C"/>
    <w:rsid w:val="34DE5E1D"/>
    <w:rsid w:val="34ED4416"/>
    <w:rsid w:val="35720CEF"/>
    <w:rsid w:val="35A61CEB"/>
    <w:rsid w:val="360B58E8"/>
    <w:rsid w:val="36447551"/>
    <w:rsid w:val="368A773C"/>
    <w:rsid w:val="36B47E29"/>
    <w:rsid w:val="36EE7B2A"/>
    <w:rsid w:val="38D416BA"/>
    <w:rsid w:val="38F74948"/>
    <w:rsid w:val="3922614F"/>
    <w:rsid w:val="394D22AB"/>
    <w:rsid w:val="395E7574"/>
    <w:rsid w:val="3A201838"/>
    <w:rsid w:val="3A207555"/>
    <w:rsid w:val="3ABA6DAF"/>
    <w:rsid w:val="3B007FD0"/>
    <w:rsid w:val="3B60095D"/>
    <w:rsid w:val="3B824694"/>
    <w:rsid w:val="3BAA4295"/>
    <w:rsid w:val="3BAD419B"/>
    <w:rsid w:val="3BF86E47"/>
    <w:rsid w:val="3C1C2D73"/>
    <w:rsid w:val="3C5926B5"/>
    <w:rsid w:val="3CBA7FA6"/>
    <w:rsid w:val="3D257AE9"/>
    <w:rsid w:val="3D4D1962"/>
    <w:rsid w:val="3D561BE0"/>
    <w:rsid w:val="3EAB28E4"/>
    <w:rsid w:val="3EBF597A"/>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6125131"/>
    <w:rsid w:val="46952593"/>
    <w:rsid w:val="46D949EB"/>
    <w:rsid w:val="475F4668"/>
    <w:rsid w:val="47E07977"/>
    <w:rsid w:val="484B52B5"/>
    <w:rsid w:val="48626CF9"/>
    <w:rsid w:val="48700F9E"/>
    <w:rsid w:val="487A58C4"/>
    <w:rsid w:val="48951DA6"/>
    <w:rsid w:val="495F4397"/>
    <w:rsid w:val="4A432D80"/>
    <w:rsid w:val="4AF84FA0"/>
    <w:rsid w:val="4AFC450A"/>
    <w:rsid w:val="4B6A1F48"/>
    <w:rsid w:val="4B8240C1"/>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A04F4E"/>
    <w:rsid w:val="50A31D1F"/>
    <w:rsid w:val="50C44111"/>
    <w:rsid w:val="50CA3EFF"/>
    <w:rsid w:val="50D90943"/>
    <w:rsid w:val="51595B90"/>
    <w:rsid w:val="524B622E"/>
    <w:rsid w:val="525C2AAA"/>
    <w:rsid w:val="527F60E4"/>
    <w:rsid w:val="52DE564C"/>
    <w:rsid w:val="52EB63A4"/>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AC562C"/>
    <w:rsid w:val="58AF1FE4"/>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C54BBE"/>
    <w:rsid w:val="62FA2958"/>
    <w:rsid w:val="63647DB9"/>
    <w:rsid w:val="637C576C"/>
    <w:rsid w:val="639A23F6"/>
    <w:rsid w:val="63BC5735"/>
    <w:rsid w:val="640259CE"/>
    <w:rsid w:val="642D57E6"/>
    <w:rsid w:val="64617F46"/>
    <w:rsid w:val="652265CC"/>
    <w:rsid w:val="65362C76"/>
    <w:rsid w:val="65F94CB9"/>
    <w:rsid w:val="660C161A"/>
    <w:rsid w:val="661A28ED"/>
    <w:rsid w:val="675454F2"/>
    <w:rsid w:val="67B71265"/>
    <w:rsid w:val="67CA0752"/>
    <w:rsid w:val="688A2E32"/>
    <w:rsid w:val="6993314E"/>
    <w:rsid w:val="69F720E4"/>
    <w:rsid w:val="6A442FBD"/>
    <w:rsid w:val="6AE30D66"/>
    <w:rsid w:val="6BFF74D5"/>
    <w:rsid w:val="6C252800"/>
    <w:rsid w:val="6CC84C24"/>
    <w:rsid w:val="6D31535F"/>
    <w:rsid w:val="6D42284E"/>
    <w:rsid w:val="6D524684"/>
    <w:rsid w:val="6D8C1501"/>
    <w:rsid w:val="6E3E660A"/>
    <w:rsid w:val="6E5D1A99"/>
    <w:rsid w:val="6E5F0718"/>
    <w:rsid w:val="6F7B7AD6"/>
    <w:rsid w:val="6F92352B"/>
    <w:rsid w:val="6FC1378E"/>
    <w:rsid w:val="70230478"/>
    <w:rsid w:val="702E5BFE"/>
    <w:rsid w:val="704065EA"/>
    <w:rsid w:val="70832C98"/>
    <w:rsid w:val="709A3939"/>
    <w:rsid w:val="70AF34C1"/>
    <w:rsid w:val="71117BB3"/>
    <w:rsid w:val="712B0162"/>
    <w:rsid w:val="71352AEB"/>
    <w:rsid w:val="713D0D36"/>
    <w:rsid w:val="723A078F"/>
    <w:rsid w:val="72707695"/>
    <w:rsid w:val="738417E2"/>
    <w:rsid w:val="73BB3104"/>
    <w:rsid w:val="74C22D11"/>
    <w:rsid w:val="75104AF8"/>
    <w:rsid w:val="75371AAF"/>
    <w:rsid w:val="75E90F54"/>
    <w:rsid w:val="75EE2704"/>
    <w:rsid w:val="76D014C1"/>
    <w:rsid w:val="76E05FD5"/>
    <w:rsid w:val="76EB228A"/>
    <w:rsid w:val="77631423"/>
    <w:rsid w:val="777504D5"/>
    <w:rsid w:val="77790C26"/>
    <w:rsid w:val="778710F1"/>
    <w:rsid w:val="78060FB9"/>
    <w:rsid w:val="781435EA"/>
    <w:rsid w:val="78AC16A3"/>
    <w:rsid w:val="791C36F8"/>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795243"/>
    <w:rsid w:val="7CD44B80"/>
    <w:rsid w:val="7CFC1341"/>
    <w:rsid w:val="7D2A758A"/>
    <w:rsid w:val="7D4B685C"/>
    <w:rsid w:val="7DBA3A42"/>
    <w:rsid w:val="7DBC1B5A"/>
    <w:rsid w:val="7DF4058D"/>
    <w:rsid w:val="7DF5646B"/>
    <w:rsid w:val="7DFC3DAC"/>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rPr>
      <w:rFonts w:eastAsia="宋体"/>
      <w:sz w:val="21"/>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9">
    <w:name w:val="正文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0">
    <w:name w:val="页眉 New New New New New New New New New New New New New New New New New New New New"/>
    <w:basedOn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2">
    <w:name w:val="页眉 New New New New New New New New New New New New New New New New"/>
    <w:basedOn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4">
    <w:name w:val="页脚 New New New New New New New New New New New New New New New New New New New New New New New New"/>
    <w:basedOn w:val="15"/>
    <w:qFormat/>
    <w:uiPriority w:val="0"/>
    <w:pPr>
      <w:tabs>
        <w:tab w:val="center" w:pos="4153"/>
        <w:tab w:val="right" w:pos="8306"/>
      </w:tabs>
      <w:snapToGrid w:val="0"/>
      <w:jc w:val="left"/>
    </w:pPr>
    <w:rPr>
      <w:sz w:val="18"/>
      <w:szCs w:val="18"/>
    </w:rPr>
  </w:style>
  <w:style w:type="paragraph" w:customStyle="1" w:styleId="15">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7">
    <w:name w:val="页眉 New New New"/>
    <w:basedOn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9">
    <w:name w:val="页脚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页脚 New New New New New New New New New New New New New New New New New New New New New New"/>
    <w:basedOn w:val="9"/>
    <w:qFormat/>
    <w:uiPriority w:val="0"/>
    <w:pPr>
      <w:tabs>
        <w:tab w:val="center" w:pos="4153"/>
        <w:tab w:val="right" w:pos="8306"/>
      </w:tabs>
      <w:snapToGrid w:val="0"/>
      <w:jc w:val="left"/>
    </w:pPr>
    <w:rPr>
      <w:sz w:val="18"/>
      <w:szCs w:val="18"/>
    </w:rPr>
  </w:style>
  <w:style w:type="paragraph" w:customStyle="1" w:styleId="22">
    <w:name w:val="页脚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脚 New New New New"/>
    <w:basedOn w:val="25"/>
    <w:qFormat/>
    <w:uiPriority w:val="0"/>
    <w:pPr>
      <w:tabs>
        <w:tab w:val="center" w:pos="4153"/>
        <w:tab w:val="right" w:pos="8306"/>
      </w:tabs>
      <w:snapToGrid w:val="0"/>
      <w:jc w:val="left"/>
    </w:pPr>
    <w:rPr>
      <w:rFonts w:eastAsia="仿宋_GB2312"/>
      <w:kern w:val="2"/>
      <w:sz w:val="18"/>
    </w:rPr>
  </w:style>
  <w:style w:type="paragraph" w:customStyle="1" w:styleId="25">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页眉 New New New New New New New New New New New New New New New New New New New New New New New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w:basedOn w:val="28"/>
    <w:qFormat/>
    <w:uiPriority w:val="0"/>
    <w:pPr>
      <w:tabs>
        <w:tab w:val="center" w:pos="4153"/>
        <w:tab w:val="right" w:pos="8306"/>
      </w:tabs>
      <w:snapToGrid w:val="0"/>
      <w:jc w:val="left"/>
    </w:pPr>
    <w:rPr>
      <w:sz w:val="18"/>
      <w:szCs w:val="18"/>
    </w:rPr>
  </w:style>
  <w:style w:type="paragraph" w:customStyle="1" w:styleId="28">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眉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2">
    <w:name w:val="页脚 New New New New New"/>
    <w:basedOn w:val="33"/>
    <w:qFormat/>
    <w:uiPriority w:val="0"/>
    <w:pPr>
      <w:tabs>
        <w:tab w:val="center" w:pos="4153"/>
        <w:tab w:val="right" w:pos="8306"/>
      </w:tabs>
      <w:snapToGrid w:val="0"/>
      <w:jc w:val="left"/>
    </w:pPr>
    <w:rPr>
      <w:sz w:val="18"/>
      <w:szCs w:val="18"/>
    </w:rPr>
  </w:style>
  <w:style w:type="paragraph" w:customStyle="1" w:styleId="33">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4">
    <w:name w:val="页眉 New New New New New New New New"/>
    <w:basedOn w:val="16"/>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 Char"/>
    <w:basedOn w:val="1"/>
    <w:qFormat/>
    <w:uiPriority w:val="0"/>
    <w:pPr>
      <w:widowControl/>
      <w:spacing w:after="160" w:line="240" w:lineRule="exact"/>
      <w:jc w:val="left"/>
    </w:pPr>
    <w:rPr>
      <w:rFonts w:eastAsia="宋体"/>
      <w:sz w:val="21"/>
      <w:szCs w:val="20"/>
    </w:rPr>
  </w:style>
  <w:style w:type="paragraph" w:customStyle="1" w:styleId="36">
    <w:name w:val="页眉 New New New New New New New New New New New New New New New"/>
    <w:basedOn w:val="8"/>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w:basedOn w:val="38"/>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9">
    <w:name w:val="页脚 New New New New New New New New New New"/>
    <w:basedOn w:val="40"/>
    <w:qFormat/>
    <w:uiPriority w:val="0"/>
    <w:pPr>
      <w:tabs>
        <w:tab w:val="center" w:pos="4153"/>
        <w:tab w:val="right" w:pos="8306"/>
      </w:tabs>
      <w:snapToGrid w:val="0"/>
      <w:jc w:val="left"/>
    </w:pPr>
    <w:rPr>
      <w:sz w:val="18"/>
      <w:szCs w:val="18"/>
    </w:rPr>
  </w:style>
  <w:style w:type="paragraph" w:customStyle="1" w:styleId="40">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2">
    <w:name w:val="页脚 New New New New New New New New New New New New New New New New New New New New New"/>
    <w:basedOn w:val="43"/>
    <w:qFormat/>
    <w:uiPriority w:val="0"/>
    <w:pPr>
      <w:tabs>
        <w:tab w:val="center" w:pos="4153"/>
        <w:tab w:val="right" w:pos="8306"/>
      </w:tabs>
      <w:snapToGrid w:val="0"/>
      <w:jc w:val="left"/>
    </w:pPr>
    <w:rPr>
      <w:sz w:val="18"/>
      <w:szCs w:val="18"/>
    </w:rPr>
  </w:style>
  <w:style w:type="paragraph" w:customStyle="1" w:styleId="4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4">
    <w:name w:val="页脚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脚 New New New New New New New New New New New New New New New New"/>
    <w:basedOn w:val="13"/>
    <w:qFormat/>
    <w:uiPriority w:val="0"/>
    <w:pPr>
      <w:tabs>
        <w:tab w:val="center" w:pos="4153"/>
        <w:tab w:val="right" w:pos="8306"/>
      </w:tabs>
      <w:snapToGrid w:val="0"/>
      <w:jc w:val="left"/>
    </w:pPr>
    <w:rPr>
      <w:sz w:val="18"/>
      <w:szCs w:val="18"/>
    </w:rPr>
  </w:style>
  <w:style w:type="paragraph" w:customStyle="1" w:styleId="47">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页眉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脚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53">
    <w:name w:val="p0"/>
    <w:basedOn w:val="25"/>
    <w:qFormat/>
    <w:uiPriority w:val="0"/>
    <w:pPr>
      <w:widowControl/>
    </w:pPr>
    <w:rPr>
      <w:rFonts w:eastAsia="宋体"/>
      <w:kern w:val="0"/>
      <w:szCs w:val="32"/>
    </w:rPr>
  </w:style>
  <w:style w:type="paragraph" w:customStyle="1" w:styleId="54">
    <w:name w:val="页眉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New New New New New New New New"/>
    <w:basedOn w:val="20"/>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眉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w:basedOn w:val="33"/>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w:basedOn w:val="59"/>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0">
    <w:name w:val="页眉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脚 New New New New New New New New New New New New New New New New New"/>
    <w:basedOn w:val="62"/>
    <w:qFormat/>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3">
    <w:name w:val="页脚 New New New New New New New New New New New New New New"/>
    <w:basedOn w:val="64"/>
    <w:qFormat/>
    <w:uiPriority w:val="0"/>
    <w:pPr>
      <w:tabs>
        <w:tab w:val="center" w:pos="4153"/>
        <w:tab w:val="right" w:pos="8306"/>
      </w:tabs>
      <w:snapToGrid w:val="0"/>
      <w:jc w:val="left"/>
    </w:pPr>
    <w:rPr>
      <w:rFonts w:eastAsia="仿宋_GB2312"/>
      <w:kern w:val="2"/>
      <w:sz w:val="18"/>
    </w:rPr>
  </w:style>
  <w:style w:type="paragraph" w:customStyle="1" w:styleId="64">
    <w:name w:val="正文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页脚 New New New New New New New New"/>
    <w:basedOn w:val="16"/>
    <w:uiPriority w:val="0"/>
    <w:pPr>
      <w:tabs>
        <w:tab w:val="center" w:pos="4153"/>
        <w:tab w:val="right" w:pos="8306"/>
      </w:tabs>
      <w:snapToGrid w:val="0"/>
      <w:jc w:val="left"/>
    </w:pPr>
    <w:rPr>
      <w:sz w:val="18"/>
      <w:szCs w:val="18"/>
    </w:rPr>
  </w:style>
  <w:style w:type="paragraph" w:customStyle="1" w:styleId="66">
    <w:name w:val="正文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7">
    <w:name w:val="页眉 New New New New New New New New New New New New New New New New New New New New New"/>
    <w:basedOn w:val="43"/>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w:basedOn w:val="31"/>
    <w:uiPriority w:val="0"/>
    <w:pPr>
      <w:tabs>
        <w:tab w:val="center" w:pos="4153"/>
        <w:tab w:val="right" w:pos="8306"/>
      </w:tabs>
      <w:snapToGrid w:val="0"/>
      <w:jc w:val="left"/>
    </w:pPr>
    <w:rPr>
      <w:sz w:val="18"/>
      <w:szCs w:val="18"/>
    </w:rPr>
  </w:style>
  <w:style w:type="paragraph" w:customStyle="1" w:styleId="69">
    <w:name w:val="页脚 New New New New New New New New New New New New New New New New New New New New"/>
    <w:basedOn w:val="11"/>
    <w:uiPriority w:val="0"/>
    <w:pPr>
      <w:tabs>
        <w:tab w:val="center" w:pos="4153"/>
        <w:tab w:val="right" w:pos="8306"/>
      </w:tabs>
      <w:snapToGrid w:val="0"/>
      <w:jc w:val="left"/>
    </w:pPr>
    <w:rPr>
      <w:sz w:val="18"/>
      <w:szCs w:val="18"/>
    </w:rPr>
  </w:style>
  <w:style w:type="paragraph" w:customStyle="1" w:styleId="70">
    <w:name w:val="页眉 New New New New New New New New New"/>
    <w:basedOn w:val="45"/>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w:basedOn w:val="4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页脚 New New New"/>
    <w:basedOn w:val="18"/>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w:basedOn w:val="66"/>
    <w:uiPriority w:val="0"/>
    <w:pPr>
      <w:tabs>
        <w:tab w:val="center" w:pos="4153"/>
        <w:tab w:val="right" w:pos="8306"/>
      </w:tabs>
      <w:snapToGrid w:val="0"/>
      <w:jc w:val="left"/>
    </w:pPr>
    <w:rPr>
      <w:sz w:val="18"/>
      <w:szCs w:val="18"/>
    </w:rPr>
  </w:style>
  <w:style w:type="paragraph" w:customStyle="1" w:styleId="76">
    <w:name w:val="页眉 New New New New New New New New New New New New New New New New New New New New New New"/>
    <w:basedOn w:val="9"/>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New New New New New New New New New New New New New New New New New"/>
    <w:basedOn w:val="73"/>
    <w:uiPriority w:val="0"/>
    <w:pPr>
      <w:tabs>
        <w:tab w:val="center" w:pos="4153"/>
        <w:tab w:val="right" w:pos="8306"/>
      </w:tabs>
      <w:snapToGrid w:val="0"/>
      <w:jc w:val="left"/>
    </w:pPr>
    <w:rPr>
      <w:rFonts w:eastAsia="仿宋_GB2312"/>
      <w:kern w:val="2"/>
      <w:sz w:val="18"/>
    </w:rPr>
  </w:style>
  <w:style w:type="paragraph" w:customStyle="1" w:styleId="78">
    <w:name w:val="页眉 New New New New New New New New New New New"/>
    <w:basedOn w:val="3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w:basedOn w:val="64"/>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w:basedOn w:val="66"/>
    <w:uiPriority w:val="0"/>
    <w:pPr>
      <w:pBdr>
        <w:bottom w:val="single" w:color="auto" w:sz="6" w:space="1"/>
      </w:pBdr>
      <w:tabs>
        <w:tab w:val="center" w:pos="4153"/>
        <w:tab w:val="right" w:pos="8306"/>
      </w:tabs>
      <w:snapToGrid w:val="0"/>
      <w:jc w:val="center"/>
    </w:pPr>
    <w:rPr>
      <w:sz w:val="18"/>
      <w:szCs w:val="18"/>
    </w:rPr>
  </w:style>
  <w:style w:type="paragraph" w:customStyle="1" w:styleId="81">
    <w:name w:val="页眉 New New New New New New New New New New New New New New New New New"/>
    <w:basedOn w:val="62"/>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w:basedOn w:val="8"/>
    <w:uiPriority w:val="0"/>
    <w:pPr>
      <w:tabs>
        <w:tab w:val="center" w:pos="4153"/>
        <w:tab w:val="right" w:pos="8306"/>
      </w:tabs>
      <w:snapToGrid w:val="0"/>
      <w:jc w:val="left"/>
    </w:pPr>
    <w:rPr>
      <w:sz w:val="18"/>
      <w:szCs w:val="18"/>
    </w:rPr>
  </w:style>
  <w:style w:type="paragraph" w:customStyle="1" w:styleId="83">
    <w:name w:val="页眉 New New New New New New"/>
    <w:basedOn w:val="23"/>
    <w:uiPriority w:val="0"/>
    <w:pPr>
      <w:pBdr>
        <w:bottom w:val="single" w:color="auto" w:sz="6" w:space="1"/>
      </w:pBdr>
      <w:tabs>
        <w:tab w:val="center" w:pos="4153"/>
        <w:tab w:val="right" w:pos="8306"/>
      </w:tabs>
      <w:snapToGrid w:val="0"/>
      <w:jc w:val="center"/>
    </w:pPr>
    <w:rPr>
      <w:sz w:val="18"/>
      <w:szCs w:val="18"/>
    </w:rPr>
  </w:style>
  <w:style w:type="paragraph" w:customStyle="1" w:styleId="84">
    <w:name w:val="页脚 New New"/>
    <w:basedOn w:val="41"/>
    <w:uiPriority w:val="0"/>
    <w:pPr>
      <w:tabs>
        <w:tab w:val="center" w:pos="4153"/>
        <w:tab w:val="right" w:pos="8306"/>
      </w:tabs>
      <w:snapToGrid w:val="0"/>
      <w:jc w:val="left"/>
    </w:pPr>
    <w:rPr>
      <w:rFonts w:eastAsia="仿宋_GB2312"/>
      <w:kern w:val="2"/>
      <w:sz w:val="18"/>
    </w:rPr>
  </w:style>
  <w:style w:type="paragraph" w:customStyle="1" w:styleId="85">
    <w:name w:val="页脚 New"/>
    <w:basedOn w:val="47"/>
    <w:uiPriority w:val="0"/>
    <w:pPr>
      <w:tabs>
        <w:tab w:val="center" w:pos="4153"/>
        <w:tab w:val="right" w:pos="8306"/>
      </w:tabs>
      <w:snapToGrid w:val="0"/>
      <w:jc w:val="left"/>
    </w:pPr>
    <w:rPr>
      <w:rFonts w:eastAsia="仿宋_GB2312"/>
      <w:kern w:val="2"/>
      <w:sz w:val="18"/>
    </w:rPr>
  </w:style>
  <w:style w:type="paragraph" w:customStyle="1" w:styleId="86">
    <w:name w:val="页脚 New New New New New New New"/>
    <w:basedOn w:val="59"/>
    <w:uiPriority w:val="0"/>
    <w:pPr>
      <w:tabs>
        <w:tab w:val="center" w:pos="4153"/>
        <w:tab w:val="right" w:pos="8306"/>
      </w:tabs>
      <w:snapToGrid w:val="0"/>
      <w:jc w:val="left"/>
    </w:pPr>
    <w:rPr>
      <w:sz w:val="18"/>
      <w:szCs w:val="18"/>
    </w:rPr>
  </w:style>
  <w:style w:type="paragraph" w:customStyle="1" w:styleId="87">
    <w:name w:val="页脚 New New New New New New New New New New New New New"/>
    <w:basedOn w:val="38"/>
    <w:uiPriority w:val="0"/>
    <w:pPr>
      <w:tabs>
        <w:tab w:val="center" w:pos="4153"/>
        <w:tab w:val="right" w:pos="8306"/>
      </w:tabs>
      <w:snapToGrid w:val="0"/>
      <w:jc w:val="left"/>
    </w:pPr>
    <w:rPr>
      <w:sz w:val="18"/>
      <w:szCs w:val="18"/>
    </w:rPr>
  </w:style>
  <w:style w:type="character" w:customStyle="1" w:styleId="88">
    <w:name w:val="批注框文本 字符"/>
    <w:link w:val="2"/>
    <w:qFormat/>
    <w:uiPriority w:val="0"/>
    <w:rPr>
      <w:rFonts w:eastAsia="宋体"/>
      <w:kern w:val="2"/>
      <w:sz w:val="18"/>
      <w:szCs w:val="18"/>
    </w:rPr>
  </w:style>
  <w:style w:type="character" w:customStyle="1" w:styleId="89">
    <w:name w:val="font41"/>
    <w:uiPriority w:val="0"/>
    <w:rPr>
      <w:rFonts w:hint="eastAsia" w:ascii="宋体" w:hAnsi="宋体" w:eastAsia="宋体" w:cs="宋体"/>
      <w:color w:val="000000"/>
      <w:sz w:val="20"/>
      <w:szCs w:val="20"/>
      <w:u w:val="none"/>
    </w:rPr>
  </w:style>
  <w:style w:type="character" w:customStyle="1" w:styleId="90">
    <w:name w:val="页码 New"/>
    <w:basedOn w:val="6"/>
    <w:uiPriority w:val="0"/>
  </w:style>
  <w:style w:type="character" w:customStyle="1" w:styleId="91">
    <w:name w:val="页码 New New New New New New"/>
    <w:basedOn w:val="6"/>
    <w:uiPriority w:val="0"/>
  </w:style>
  <w:style w:type="character" w:customStyle="1" w:styleId="92">
    <w:name w:val="页码 New New New"/>
    <w:basedOn w:val="6"/>
    <w:uiPriority w:val="0"/>
  </w:style>
  <w:style w:type="character" w:customStyle="1" w:styleId="93">
    <w:name w:val="页码 New New New New"/>
    <w:basedOn w:val="6"/>
    <w:uiPriority w:val="0"/>
  </w:style>
  <w:style w:type="character" w:customStyle="1" w:styleId="94">
    <w:name w:val="页码 New New"/>
    <w:basedOn w:val="6"/>
    <w:uiPriority w:val="0"/>
  </w:style>
  <w:style w:type="character" w:customStyle="1" w:styleId="95">
    <w:name w:val="页码 New New New New New"/>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Y\&#21150;&#20844;&#2346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20</Pages>
  <Words>5707</Words>
  <Characters>5937</Characters>
  <Lines>46</Lines>
  <Paragraphs>12</Paragraphs>
  <TotalTime>6</TotalTime>
  <ScaleCrop>false</ScaleCrop>
  <LinksUpToDate>false</LinksUpToDate>
  <CharactersWithSpaces>6286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2022-07-26T01:03:00Z</dcterms:created>
  <dc:creator>王志强</dc:creator>
  <cp:lastModifiedBy>Luella</cp:lastModifiedBy>
  <cp:lastPrinted>2022-07-29T02:56:00Z</cp:lastPrinted>
  <dcterms:modified xsi:type="dcterms:W3CDTF">2022-09-29T06:45:06Z</dcterms:modified>
  <dc:title>2015年度部门决算公开模板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20D6FE2265C7481287D1B6713B1FC8D7</vt:lpwstr>
  </property>
</Properties>
</file>