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5FC9C">
      <w:pPr>
        <w:pStyle w:val="2"/>
        <w:ind w:left="0" w:leftChars="0" w:firstLine="0" w:firstLineChars="0"/>
        <w:jc w:val="center"/>
        <w:rPr>
          <w:rFonts w:hint="eastAsia"/>
          <w:b/>
          <w:bCs/>
          <w:sz w:val="44"/>
          <w:szCs w:val="44"/>
          <w:lang w:val="en-US" w:eastAsia="zh-CN"/>
        </w:rPr>
      </w:pPr>
      <w:r>
        <w:rPr>
          <w:rFonts w:hint="eastAsia"/>
          <w:b/>
          <w:bCs/>
          <w:sz w:val="44"/>
          <w:szCs w:val="44"/>
          <w:lang w:val="en-US" w:eastAsia="zh-CN"/>
        </w:rPr>
        <w:t>南关区城中村改造项目富裕村地块土地</w:t>
      </w:r>
    </w:p>
    <w:p w14:paraId="55627773">
      <w:pPr>
        <w:pStyle w:val="2"/>
        <w:ind w:left="0" w:leftChars="0" w:firstLine="0" w:firstLineChars="0"/>
        <w:jc w:val="center"/>
        <w:rPr>
          <w:rFonts w:hint="eastAsia"/>
          <w:b/>
          <w:bCs/>
          <w:sz w:val="44"/>
          <w:szCs w:val="44"/>
          <w:lang w:val="en-US" w:eastAsia="zh-CN"/>
        </w:rPr>
      </w:pPr>
      <w:r>
        <w:rPr>
          <w:rFonts w:hint="default"/>
          <w:b/>
          <w:bCs/>
          <w:sz w:val="44"/>
          <w:szCs w:val="44"/>
          <w:u w:val="none"/>
          <w:lang w:eastAsia="zh-CN"/>
        </w:rPr>
        <w:t>预</w:t>
      </w:r>
      <w:r>
        <w:rPr>
          <w:rFonts w:hint="eastAsia"/>
          <w:b/>
          <w:bCs/>
          <w:sz w:val="44"/>
          <w:szCs w:val="44"/>
          <w:lang w:val="en-US" w:eastAsia="zh-CN"/>
        </w:rPr>
        <w:t>征收公告</w:t>
      </w:r>
    </w:p>
    <w:p w14:paraId="47450495">
      <w:pPr>
        <w:pStyle w:val="3"/>
        <w:ind w:firstLine="0" w:firstLineChars="0"/>
        <w:rPr>
          <w:rFonts w:hint="eastAsia"/>
          <w:sz w:val="32"/>
          <w:szCs w:val="32"/>
          <w:lang w:val="en-US" w:eastAsia="zh-CN"/>
        </w:rPr>
      </w:pPr>
    </w:p>
    <w:p w14:paraId="3C12912E">
      <w:pPr>
        <w:pStyle w:val="3"/>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eastAsia="zh-CN"/>
        </w:rPr>
        <w:t>依据</w:t>
      </w:r>
      <w:r>
        <w:rPr>
          <w:rFonts w:hint="eastAsia" w:ascii="方正仿宋_GB2312" w:hAnsi="方正仿宋_GB2312" w:eastAsia="方正仿宋_GB2312" w:cs="方正仿宋_GB2312"/>
          <w:b w:val="0"/>
          <w:bCs w:val="0"/>
          <w:sz w:val="32"/>
          <w:szCs w:val="32"/>
          <w:lang w:val="en-US" w:eastAsia="zh-CN"/>
        </w:rPr>
        <w:t>国务院办公厅印发《关于在超大特大城市积极稳步推进城中村改造的指导意见》（国办发2023）25号）文件</w:t>
      </w:r>
      <w:r>
        <w:rPr>
          <w:rFonts w:hint="eastAsia" w:ascii="方正仿宋_GB2312" w:hAnsi="方正仿宋_GB2312" w:eastAsia="方正仿宋_GB2312" w:cs="方正仿宋_GB2312"/>
          <w:b w:val="0"/>
          <w:bCs w:val="0"/>
          <w:sz w:val="32"/>
          <w:szCs w:val="32"/>
          <w:lang w:eastAsia="zh-CN"/>
        </w:rPr>
        <w:t>，根据《中华人民共和国土地管理法》《中华人民共和国土地管理法实施条例》</w:t>
      </w:r>
      <w:r>
        <w:rPr>
          <w:rFonts w:hint="eastAsia" w:ascii="方正仿宋_GB2312" w:hAnsi="方正仿宋_GB2312" w:eastAsia="方正仿宋_GB2312" w:cs="方正仿宋_GB2312"/>
          <w:b w:val="0"/>
          <w:bCs w:val="0"/>
          <w:sz w:val="32"/>
          <w:szCs w:val="32"/>
          <w:lang w:val="en-US" w:eastAsia="zh-CN"/>
        </w:rPr>
        <w:t>《长春市集体土地房屋征收与补偿实施办法》等相关文件要求，</w:t>
      </w:r>
      <w:r>
        <w:rPr>
          <w:rFonts w:hint="eastAsia" w:ascii="方正仿宋_GB2312" w:hAnsi="方正仿宋_GB2312" w:eastAsia="方正仿宋_GB2312" w:cs="方正仿宋_GB2312"/>
          <w:b w:val="0"/>
          <w:bCs w:val="0"/>
          <w:sz w:val="32"/>
          <w:szCs w:val="32"/>
          <w:lang w:eastAsia="zh-CN"/>
        </w:rPr>
        <w:t>参照</w:t>
      </w:r>
      <w:r>
        <w:rPr>
          <w:rFonts w:hint="eastAsia" w:ascii="方正仿宋_GB2312" w:hAnsi="方正仿宋_GB2312" w:eastAsia="方正仿宋_GB2312" w:cs="方正仿宋_GB2312"/>
          <w:b w:val="0"/>
          <w:bCs w:val="0"/>
          <w:sz w:val="32"/>
          <w:szCs w:val="32"/>
          <w:lang w:val="en-US" w:eastAsia="zh-CN"/>
        </w:rPr>
        <w:t>《吉林省国有土地上房屋征收与补偿办法》《长春市国有土地上房屋征收与补偿条例》</w:t>
      </w:r>
      <w:r>
        <w:rPr>
          <w:rFonts w:hint="eastAsia" w:ascii="方正仿宋_GB2312" w:hAnsi="方正仿宋_GB2312" w:eastAsia="方正仿宋_GB2312" w:cs="方正仿宋_GB2312"/>
          <w:b w:val="0"/>
          <w:bCs w:val="0"/>
          <w:sz w:val="32"/>
          <w:szCs w:val="32"/>
          <w:lang w:eastAsia="zh-CN"/>
        </w:rPr>
        <w:t>的规定，南关区政府</w:t>
      </w:r>
      <w:r>
        <w:rPr>
          <w:rFonts w:hint="eastAsia" w:ascii="方正仿宋_GB2312" w:hAnsi="方正仿宋_GB2312" w:eastAsia="方正仿宋_GB2312" w:cs="方正仿宋_GB2312"/>
          <w:b w:val="0"/>
          <w:bCs w:val="0"/>
          <w:sz w:val="32"/>
          <w:szCs w:val="32"/>
          <w:lang w:val="en-US" w:eastAsia="zh-CN"/>
        </w:rPr>
        <w:t>拟对伊通河流域城中村改造项目富裕村地块范围内的房屋及地上附着物实施征收，现将有关事项公告如下：</w:t>
      </w:r>
    </w:p>
    <w:p w14:paraId="1EB739CA">
      <w:pPr>
        <w:pStyle w:val="4"/>
        <w:keepNext w:val="0"/>
        <w:keepLines w:val="0"/>
        <w:pageBreakBefore w:val="0"/>
        <w:numPr>
          <w:ilvl w:val="0"/>
          <w:numId w:val="1"/>
        </w:numPr>
        <w:kinsoku/>
        <w:overflowPunct/>
        <w:topLinePunct w:val="0"/>
        <w:autoSpaceDE/>
        <w:autoSpaceDN/>
        <w:bidi w:val="0"/>
        <w:adjustRightInd/>
        <w:snapToGrid/>
        <w:spacing w:after="0" w:line="560" w:lineRule="exact"/>
        <w:ind w:left="0" w:leftChars="0"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黑体" w:hAnsi="黑体" w:eastAsia="黑体" w:cs="黑体"/>
          <w:b w:val="0"/>
          <w:bCs w:val="0"/>
          <w:sz w:val="32"/>
          <w:szCs w:val="32"/>
          <w:lang w:val="en-US" w:eastAsia="zh-CN"/>
        </w:rPr>
        <w:t>土地征收范围</w:t>
      </w:r>
      <w:r>
        <w:rPr>
          <w:rFonts w:hint="eastAsia" w:ascii="方正仿宋_GB2312" w:hAnsi="方正仿宋_GB2312" w:eastAsia="方正仿宋_GB2312" w:cs="方正仿宋_GB2312"/>
          <w:b/>
          <w:bCs/>
          <w:sz w:val="32"/>
          <w:szCs w:val="32"/>
          <w:lang w:val="en-US" w:eastAsia="zh-CN"/>
        </w:rPr>
        <w:t>：</w:t>
      </w:r>
      <w:r>
        <w:rPr>
          <w:rFonts w:hint="eastAsia" w:ascii="方正仿宋_GB2312" w:hAnsi="方正仿宋_GB2312" w:eastAsia="方正仿宋_GB2312" w:cs="方正仿宋_GB2312"/>
          <w:b w:val="0"/>
          <w:bCs w:val="0"/>
          <w:sz w:val="32"/>
          <w:szCs w:val="32"/>
          <w:lang w:val="en-US" w:eastAsia="zh-CN"/>
        </w:rPr>
        <w:t>南关区富裕村，北至绕城高速、南至地铁车辆段、西至河堤东路、东至现状荒地</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以长春市测绘院出具并由南关区人民政府确认边界的地形图为准</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b w:val="0"/>
          <w:bCs w:val="0"/>
          <w:sz w:val="32"/>
          <w:szCs w:val="32"/>
          <w:lang w:val="en-US" w:eastAsia="zh-CN"/>
        </w:rPr>
        <w:t>。</w:t>
      </w:r>
    </w:p>
    <w:p w14:paraId="4C919AA8">
      <w:pPr>
        <w:pStyle w:val="5"/>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b w:val="0"/>
          <w:bCs w:val="0"/>
          <w:sz w:val="32"/>
          <w:szCs w:val="32"/>
          <w:lang w:val="en-US" w:eastAsia="zh-CN"/>
        </w:rPr>
        <w:t>征收</w:t>
      </w:r>
      <w:r>
        <w:rPr>
          <w:rFonts w:hint="eastAsia" w:ascii="黑体" w:hAnsi="黑体" w:eastAsia="黑体" w:cs="黑体"/>
          <w:b w:val="0"/>
          <w:bCs w:val="0"/>
          <w:sz w:val="32"/>
          <w:szCs w:val="32"/>
          <w:lang w:eastAsia="zh-CN"/>
        </w:rPr>
        <w:t>目的：</w:t>
      </w:r>
      <w:r>
        <w:rPr>
          <w:rFonts w:hint="eastAsia" w:ascii="方正仿宋_GB2312" w:hAnsi="方正仿宋_GB2312" w:eastAsia="方正仿宋_GB2312" w:cs="方正仿宋_GB2312"/>
          <w:sz w:val="32"/>
          <w:szCs w:val="32"/>
          <w:lang w:val="en-US" w:eastAsia="zh-CN"/>
        </w:rPr>
        <w:t>改善群众的居住条件，兼顾完善城市功能、改善城市环境。</w:t>
      </w:r>
    </w:p>
    <w:p w14:paraId="4C336490">
      <w:pPr>
        <w:pStyle w:val="5"/>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b w:val="0"/>
          <w:bCs w:val="0"/>
          <w:sz w:val="32"/>
          <w:szCs w:val="32"/>
          <w:lang w:eastAsia="zh-CN"/>
        </w:rPr>
        <w:t>征收</w:t>
      </w:r>
      <w:r>
        <w:rPr>
          <w:rFonts w:hint="eastAsia" w:ascii="黑体" w:hAnsi="黑体" w:eastAsia="黑体" w:cs="黑体"/>
          <w:b w:val="0"/>
          <w:bCs w:val="0"/>
          <w:sz w:val="32"/>
          <w:szCs w:val="32"/>
          <w:lang w:val="en-US" w:eastAsia="zh-CN"/>
        </w:rPr>
        <w:t>部门：</w:t>
      </w:r>
      <w:r>
        <w:rPr>
          <w:rFonts w:hint="eastAsia" w:ascii="方正仿宋_GB2312" w:hAnsi="方正仿宋_GB2312" w:eastAsia="方正仿宋_GB2312" w:cs="方正仿宋_GB2312"/>
          <w:sz w:val="32"/>
          <w:szCs w:val="32"/>
          <w:lang w:val="en-US" w:eastAsia="zh-CN"/>
        </w:rPr>
        <w:t>长春市南关区房屋征收经办中心</w:t>
      </w:r>
    </w:p>
    <w:p w14:paraId="77D00853">
      <w:pPr>
        <w:pStyle w:val="5"/>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b w:val="0"/>
          <w:bCs w:val="0"/>
          <w:sz w:val="32"/>
          <w:szCs w:val="32"/>
          <w:lang w:val="en-US" w:eastAsia="zh-CN"/>
        </w:rPr>
        <w:t>暂停办理：</w:t>
      </w:r>
      <w:r>
        <w:rPr>
          <w:rFonts w:hint="eastAsia" w:ascii="方正仿宋_GB2312" w:hAnsi="方正仿宋_GB2312" w:eastAsia="方正仿宋_GB2312" w:cs="方正仿宋_GB2312"/>
          <w:sz w:val="32"/>
          <w:szCs w:val="32"/>
          <w:lang w:val="en-US" w:eastAsia="zh-CN"/>
        </w:rPr>
        <w:t>自本公告公布之日起至2026年  月   日止，有关部门暂停办理征收范围内房屋新建、扩建、改建以及改变房屋用途；迁入户口或分户；办理企业和个体工商业户经营许可；土地的更名、抵押及变更土地用途；广告牌匾等相关审批手续。</w:t>
      </w:r>
    </w:p>
    <w:p w14:paraId="410B4062">
      <w:pPr>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b w:val="0"/>
          <w:bCs w:val="0"/>
          <w:sz w:val="32"/>
          <w:szCs w:val="32"/>
          <w:lang w:val="en-US" w:eastAsia="zh-CN"/>
        </w:rPr>
        <w:t>禁止事项</w:t>
      </w:r>
      <w:r>
        <w:rPr>
          <w:rFonts w:hint="eastAsia" w:ascii="方正仿宋_GB2312" w:hAnsi="方正仿宋_GB2312" w:eastAsia="方正仿宋_GB2312" w:cs="方正仿宋_GB2312"/>
          <w:b/>
          <w:bCs/>
          <w:sz w:val="32"/>
          <w:szCs w:val="32"/>
          <w:lang w:val="en-US" w:eastAsia="zh-CN"/>
        </w:rPr>
        <w:t>：</w:t>
      </w:r>
      <w:r>
        <w:rPr>
          <w:rFonts w:hint="eastAsia" w:ascii="方正仿宋_GB2312" w:hAnsi="方正仿宋_GB2312" w:eastAsia="方正仿宋_GB2312" w:cs="方正仿宋_GB2312"/>
          <w:sz w:val="32"/>
          <w:szCs w:val="32"/>
          <w:lang w:val="en-US" w:eastAsia="zh-CN"/>
        </w:rPr>
        <w:t>征收范围确定后，不得在征收范围内实施兴建、扩建、改建和改变房屋用途等增加补偿费用的行为。违反规定实施的，不予补偿。</w:t>
      </w:r>
    </w:p>
    <w:p w14:paraId="7E1634F9">
      <w:pPr>
        <w:pStyle w:val="2"/>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b w:val="0"/>
          <w:bCs w:val="0"/>
          <w:sz w:val="32"/>
          <w:szCs w:val="32"/>
          <w:lang w:val="en-US" w:eastAsia="zh-CN"/>
        </w:rPr>
        <w:t>房屋调查登记</w:t>
      </w:r>
      <w:r>
        <w:rPr>
          <w:rFonts w:hint="eastAsia" w:ascii="方正仿宋_GB2312" w:hAnsi="方正仿宋_GB2312" w:eastAsia="方正仿宋_GB2312" w:cs="方正仿宋_GB2312"/>
          <w:b/>
          <w:bCs/>
          <w:sz w:val="32"/>
          <w:szCs w:val="32"/>
          <w:lang w:val="en-US" w:eastAsia="zh-CN"/>
        </w:rPr>
        <w:t>：</w:t>
      </w:r>
      <w:r>
        <w:rPr>
          <w:rFonts w:hint="eastAsia" w:ascii="方正仿宋_GB2312" w:hAnsi="方正仿宋_GB2312" w:eastAsia="方正仿宋_GB2312" w:cs="方正仿宋_GB2312"/>
          <w:sz w:val="32"/>
          <w:szCs w:val="32"/>
          <w:lang w:val="en-US" w:eastAsia="zh-CN"/>
        </w:rPr>
        <w:t>自本公告公布之日起，征收部门对房屋征收范围内房屋及地上附着物的权属、区位、用途、建筑面积等情况组织调查登记，被征收人应当予以配合。</w:t>
      </w:r>
    </w:p>
    <w:p w14:paraId="6247C853">
      <w:pPr>
        <w:pStyle w:val="4"/>
        <w:keepNext w:val="0"/>
        <w:keepLines w:val="0"/>
        <w:pageBreakBefore w:val="0"/>
        <w:numPr>
          <w:ilvl w:val="0"/>
          <w:numId w:val="1"/>
        </w:numPr>
        <w:kinsoku/>
        <w:overflowPunct/>
        <w:topLinePunct w:val="0"/>
        <w:autoSpaceDE/>
        <w:autoSpaceDN/>
        <w:bidi w:val="0"/>
        <w:adjustRightInd/>
        <w:snapToGrid/>
        <w:spacing w:after="0" w:line="560" w:lineRule="exact"/>
        <w:ind w:left="0"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b w:val="0"/>
          <w:bCs w:val="0"/>
          <w:sz w:val="32"/>
          <w:szCs w:val="32"/>
          <w:lang w:val="en-US" w:eastAsia="zh-CN"/>
        </w:rPr>
        <w:t>其他事项：</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eastAsia="zh-CN"/>
        </w:rPr>
        <w:t>征地补偿安置</w:t>
      </w:r>
      <w:r>
        <w:rPr>
          <w:rFonts w:hint="eastAsia" w:ascii="方正仿宋_GB2312" w:hAnsi="方正仿宋_GB2312" w:eastAsia="方正仿宋_GB2312" w:cs="方正仿宋_GB2312"/>
          <w:sz w:val="32"/>
          <w:szCs w:val="32"/>
          <w:lang w:val="en-US" w:eastAsia="zh-CN"/>
        </w:rPr>
        <w:t>方案》</w:t>
      </w:r>
      <w:r>
        <w:rPr>
          <w:rFonts w:hint="eastAsia" w:ascii="方正仿宋_GB2312" w:hAnsi="方正仿宋_GB2312" w:eastAsia="方正仿宋_GB2312" w:cs="方正仿宋_GB2312"/>
          <w:sz w:val="32"/>
          <w:szCs w:val="32"/>
          <w:lang w:eastAsia="zh-CN"/>
        </w:rPr>
        <w:t>和《征收土地公告》</w:t>
      </w:r>
      <w:r>
        <w:rPr>
          <w:rFonts w:hint="eastAsia" w:ascii="方正仿宋_GB2312" w:hAnsi="方正仿宋_GB2312" w:eastAsia="方正仿宋_GB2312" w:cs="方正仿宋_GB2312"/>
          <w:sz w:val="32"/>
          <w:szCs w:val="32"/>
          <w:lang w:val="en-US" w:eastAsia="zh-CN"/>
        </w:rPr>
        <w:t>将依据法定程序另行公布。</w:t>
      </w:r>
    </w:p>
    <w:p w14:paraId="125FA9B7">
      <w:pPr>
        <w:pStyle w:val="4"/>
        <w:rPr>
          <w:rFonts w:hint="eastAsia" w:ascii="方正仿宋_GB2312" w:hAnsi="方正仿宋_GB2312" w:eastAsia="方正仿宋_GB2312" w:cs="方正仿宋_GB2312"/>
          <w:sz w:val="32"/>
          <w:szCs w:val="32"/>
          <w:lang w:val="en-US" w:eastAsia="zh-CN"/>
        </w:rPr>
      </w:pPr>
    </w:p>
    <w:p w14:paraId="31902798">
      <w:pPr>
        <w:pStyle w:val="5"/>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 xml:space="preserve">                  </w:t>
      </w:r>
    </w:p>
    <w:p w14:paraId="5C3C2BF4">
      <w:pPr>
        <w:pStyle w:val="5"/>
        <w:rPr>
          <w:rFonts w:hint="eastAsia" w:ascii="方正仿宋_GB2312" w:hAnsi="方正仿宋_GB2312" w:eastAsia="方正仿宋_GB2312" w:cs="方正仿宋_GB2312"/>
          <w:sz w:val="32"/>
          <w:szCs w:val="32"/>
          <w:u w:val="none"/>
          <w:lang w:val="en-US" w:eastAsia="zh-CN"/>
        </w:rPr>
      </w:pPr>
      <w:bookmarkStart w:id="0" w:name="_GoBack"/>
      <w:bookmarkEnd w:id="0"/>
    </w:p>
    <w:p w14:paraId="20D610D0">
      <w:pPr>
        <w:pStyle w:val="5"/>
        <w:rPr>
          <w:rFonts w:hint="eastAsia" w:ascii="方正仿宋_GB2312" w:hAnsi="方正仿宋_GB2312" w:eastAsia="方正仿宋_GB2312" w:cs="方正仿宋_GB2312"/>
          <w:sz w:val="32"/>
          <w:szCs w:val="32"/>
          <w:u w:val="none"/>
          <w:lang w:val="en-US" w:eastAsia="zh-CN"/>
        </w:rPr>
      </w:pPr>
    </w:p>
    <w:p w14:paraId="32C295DD">
      <w:pPr>
        <w:pStyle w:val="5"/>
        <w:rPr>
          <w:rFonts w:hint="default"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 xml:space="preserve">          </w:t>
      </w:r>
    </w:p>
    <w:p w14:paraId="2B5CA374">
      <w:pPr>
        <w:pStyle w:val="5"/>
        <w:ind w:firstLine="4800" w:firstLineChars="1500"/>
        <w:rPr>
          <w:rFonts w:hint="eastAsia" w:ascii="方正仿宋_GB2312" w:hAnsi="方正仿宋_GB2312" w:eastAsia="方正仿宋_GB2312" w:cs="方正仿宋_GB2312"/>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 xml:space="preserve">      长春市南关区人民政府</w:t>
      </w:r>
    </w:p>
    <w:p w14:paraId="31653465">
      <w:pPr>
        <w:rPr>
          <w:rFonts w:hint="default" w:ascii="Times New Roman" w:hAnsi="Times New Roman" w:eastAsia="方正仿宋_GB2312" w:cs="Times New Roman"/>
          <w:sz w:val="32"/>
          <w:szCs w:val="32"/>
          <w:u w:val="none"/>
          <w:lang w:val="en-US" w:eastAsia="zh-CN"/>
        </w:rPr>
      </w:pPr>
      <w:r>
        <w:rPr>
          <w:rFonts w:hint="eastAsia" w:ascii="方正仿宋_GB2312" w:hAnsi="方正仿宋_GB2312" w:eastAsia="方正仿宋_GB2312" w:cs="方正仿宋_GB2312"/>
          <w:sz w:val="32"/>
          <w:szCs w:val="32"/>
          <w:u w:val="none"/>
          <w:lang w:val="en-US" w:eastAsia="zh-CN"/>
        </w:rPr>
        <w:t xml:space="preserve">                          </w:t>
      </w:r>
      <w:r>
        <w:rPr>
          <w:rFonts w:hint="eastAsia" w:ascii="方正仿宋_GB2312" w:hAnsi="方正仿宋_GB2312" w:eastAsia="方正仿宋_GB2312" w:cs="方正仿宋_GB2312"/>
          <w:color w:val="auto"/>
          <w:sz w:val="32"/>
          <w:szCs w:val="32"/>
          <w:u w:val="none"/>
          <w:lang w:val="en-US" w:eastAsia="zh-CN"/>
        </w:rPr>
        <w:t xml:space="preserve">            </w:t>
      </w:r>
      <w:r>
        <w:rPr>
          <w:rFonts w:hint="default" w:ascii="Times New Roman" w:hAnsi="Times New Roman" w:eastAsia="方正仿宋_GB2312" w:cs="Times New Roman"/>
          <w:color w:val="auto"/>
          <w:sz w:val="32"/>
          <w:szCs w:val="32"/>
          <w:u w:val="none"/>
          <w:lang w:val="en-US" w:eastAsia="zh-CN"/>
        </w:rPr>
        <w:t xml:space="preserve"> 2025年 月  日</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E5A17C-96C6-4C07-8AE0-E80E64F1CB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CB8A7AA-6A21-419B-91E4-FE0302F0CCA2}"/>
  </w:font>
  <w:font w:name="方正仿宋_GB2312">
    <w:panose1 w:val="02000000000000000000"/>
    <w:charset w:val="86"/>
    <w:family w:val="auto"/>
    <w:pitch w:val="default"/>
    <w:sig w:usb0="A00002BF" w:usb1="184F6CFA" w:usb2="00000012" w:usb3="00000000" w:csb0="00040001" w:csb1="00000000"/>
    <w:embedRegular r:id="rId3" w:fontKey="{06BB84C7-CFB8-47E6-AD48-3E5FC380448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7C37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0945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00945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7EF78"/>
    <w:multiLevelType w:val="singleLevel"/>
    <w:tmpl w:val="DBD7EF78"/>
    <w:lvl w:ilvl="0" w:tentative="0">
      <w:start w:val="1"/>
      <w:numFmt w:val="chineseCounting"/>
      <w:suff w:val="nothing"/>
      <w:lvlText w:val="%1、"/>
      <w:lvlJc w:val="left"/>
      <w:pPr>
        <w:ind w:left="450" w:leftChars="0" w:firstLine="0" w:firstLineChars="0"/>
      </w:pPr>
      <w:rPr>
        <w:rFonts w:hint="eastAsia" w:ascii="仿宋" w:hAnsi="仿宋" w:eastAsia="仿宋" w:cs="仿宋"/>
        <w:b/>
        <w:bCs/>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C4706"/>
    <w:rsid w:val="0E6FA111"/>
    <w:rsid w:val="104C3D7D"/>
    <w:rsid w:val="10AF6D11"/>
    <w:rsid w:val="10C46589"/>
    <w:rsid w:val="112071DE"/>
    <w:rsid w:val="150F5D61"/>
    <w:rsid w:val="1756356C"/>
    <w:rsid w:val="217B628D"/>
    <w:rsid w:val="306377B8"/>
    <w:rsid w:val="35F43DCB"/>
    <w:rsid w:val="40DB02C4"/>
    <w:rsid w:val="4D8D54ED"/>
    <w:rsid w:val="53545909"/>
    <w:rsid w:val="583D0FEE"/>
    <w:rsid w:val="5E09153B"/>
    <w:rsid w:val="631767FA"/>
    <w:rsid w:val="71E20BB2"/>
    <w:rsid w:val="7435777A"/>
    <w:rsid w:val="752F6BEC"/>
    <w:rsid w:val="766F3739"/>
    <w:rsid w:val="7EAA79D7"/>
    <w:rsid w:val="FC1E3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Normal Indent"/>
    <w:basedOn w:val="1"/>
    <w:next w:val="4"/>
    <w:qFormat/>
    <w:uiPriority w:val="0"/>
    <w:pPr>
      <w:ind w:firstLine="420" w:firstLineChars="200"/>
    </w:pPr>
  </w:style>
  <w:style w:type="paragraph" w:styleId="4">
    <w:name w:val="Body Text"/>
    <w:basedOn w:val="1"/>
    <w:next w:val="5"/>
    <w:qFormat/>
    <w:uiPriority w:val="0"/>
    <w:pPr>
      <w:spacing w:after="120"/>
    </w:pPr>
    <w:rPr>
      <w:rFonts w:ascii="Calibri" w:hAnsi="Calibri"/>
    </w:rPr>
  </w:style>
  <w:style w:type="paragraph" w:customStyle="1" w:styleId="5">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641</Words>
  <Characters>651</Characters>
  <Lines>0</Lines>
  <Paragraphs>0</Paragraphs>
  <TotalTime>6</TotalTime>
  <ScaleCrop>false</ScaleCrop>
  <LinksUpToDate>false</LinksUpToDate>
  <CharactersWithSpaces>718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2025-03-25T14:06:00Z</dcterms:created>
  <dc:creator>Administrator</dc:creator>
  <cp:lastModifiedBy>曲显林</cp:lastModifiedBy>
  <dcterms:modified xsi:type="dcterms:W3CDTF">2025-06-20T04:08:45Z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eyJoZGlkIjoiNjY4MTU0OTkzNTJiNzhlNDc4ZGViMjJkOTY4ZGEzYTIiLCJ1c2VySWQiOiI0MzY2MjA5OTEifQ==</vt:lpwstr>
  </property>
  <property fmtid="{D5CDD505-2E9C-101B-9397-08002B2CF9AE}" pid="4" name="ICV">
    <vt:lpwstr>77CA8E9103A54E3D9F84E1531F431485_13</vt:lpwstr>
  </property>
</Properties>
</file>