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kern w:val="0"/>
          <w:sz w:val="72"/>
          <w:szCs w:val="72"/>
        </w:rPr>
      </w:pPr>
    </w:p>
    <w:p>
      <w:pPr>
        <w:widowControl/>
        <w:jc w:val="center"/>
        <w:rPr>
          <w:rFonts w:ascii="黑体" w:hAnsi="黑体" w:eastAsia="黑体" w:cs="宋体"/>
          <w:b/>
          <w:kern w:val="0"/>
          <w:sz w:val="72"/>
          <w:szCs w:val="72"/>
        </w:rPr>
      </w:pPr>
      <w:r>
        <w:rPr>
          <w:rFonts w:ascii="黑体" w:hAnsi="黑体" w:eastAsia="黑体" w:cs="宋体"/>
          <w:b/>
          <w:kern w:val="0"/>
          <w:sz w:val="72"/>
          <w:szCs w:val="72"/>
        </w:rPr>
        <w:t>长春市财政局文件</w:t>
      </w:r>
    </w:p>
    <w:p>
      <w:pPr>
        <w:widowControl/>
        <w:jc w:val="center"/>
        <w:rPr>
          <w:rFonts w:ascii="宋体" w:hAnsi="宋体" w:cs="宋体"/>
          <w:kern w:val="0"/>
          <w:sz w:val="24"/>
          <w:szCs w:val="24"/>
        </w:rPr>
      </w:pPr>
    </w:p>
    <w:p>
      <w:pPr>
        <w:widowControl/>
        <w:jc w:val="center"/>
        <w:rPr>
          <w:rFonts w:ascii="宋体" w:hAnsi="宋体" w:cs="宋体"/>
          <w:kern w:val="0"/>
          <w:sz w:val="24"/>
          <w:szCs w:val="24"/>
        </w:rPr>
      </w:pPr>
      <w:r>
        <w:rPr>
          <w:rFonts w:ascii="宋体" w:hAnsi="宋体" w:cs="宋体"/>
          <w:kern w:val="0"/>
          <w:sz w:val="24"/>
          <w:szCs w:val="24"/>
        </w:rPr>
        <w:t>长财</w:t>
      </w:r>
      <w:r>
        <w:rPr>
          <w:rFonts w:hint="eastAsia" w:ascii="宋体" w:hAnsi="宋体" w:cs="宋体"/>
          <w:kern w:val="0"/>
          <w:sz w:val="24"/>
          <w:szCs w:val="24"/>
          <w:lang w:eastAsia="zh-CN"/>
        </w:rPr>
        <w:t>教</w:t>
      </w:r>
      <w:r>
        <w:rPr>
          <w:rFonts w:ascii="宋体" w:hAnsi="宋体" w:cs="宋体"/>
          <w:kern w:val="0"/>
          <w:sz w:val="24"/>
          <w:szCs w:val="24"/>
        </w:rPr>
        <w:t>指[202</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kern w:val="0"/>
          <w:sz w:val="24"/>
          <w:szCs w:val="24"/>
          <w:lang w:val="en-US" w:eastAsia="zh-CN"/>
        </w:rPr>
        <w:t>894</w:t>
      </w:r>
      <w:r>
        <w:rPr>
          <w:rFonts w:hint="eastAsia" w:ascii="宋体" w:hAnsi="宋体" w:cs="宋体"/>
          <w:kern w:val="0"/>
          <w:sz w:val="24"/>
          <w:szCs w:val="24"/>
        </w:rPr>
        <w:t>号</w:t>
      </w:r>
    </w:p>
    <w:p>
      <w:pPr>
        <w:widowControl/>
        <w:jc w:val="center"/>
        <w:rPr>
          <w:rFonts w:ascii="宋体" w:hAnsi="宋体" w:cs="宋体"/>
          <w:kern w:val="0"/>
          <w:sz w:val="24"/>
          <w:szCs w:val="24"/>
        </w:rPr>
      </w:pP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长春市财政局关于下达2024年城乡义务教育</w:t>
      </w:r>
    </w:p>
    <w:p>
      <w:pPr>
        <w:jc w:val="center"/>
        <w:rPr>
          <w:rFonts w:hint="eastAsia" w:ascii="黑体" w:hAnsi="黑体" w:eastAsia="黑体" w:cs="宋体"/>
          <w:kern w:val="0"/>
          <w:sz w:val="36"/>
          <w:szCs w:val="44"/>
          <w:lang w:eastAsia="zh-CN"/>
        </w:rPr>
      </w:pPr>
      <w:r>
        <w:rPr>
          <w:rFonts w:hint="eastAsia" w:ascii="黑体" w:hAnsi="黑体" w:eastAsia="黑体" w:cs="宋体"/>
          <w:kern w:val="0"/>
          <w:sz w:val="36"/>
          <w:szCs w:val="44"/>
          <w:lang w:eastAsia="zh-CN"/>
        </w:rPr>
        <w:t>补助经费省级、市级资金的通知</w:t>
      </w:r>
    </w:p>
    <w:p>
      <w:pPr>
        <w:jc w:val="center"/>
        <w:rPr>
          <w:rFonts w:hint="eastAsia" w:ascii="黑体" w:hAnsi="黑体" w:eastAsia="黑体" w:cs="宋体"/>
          <w:kern w:val="0"/>
          <w:sz w:val="36"/>
          <w:szCs w:val="44"/>
          <w:lang w:eastAsia="zh-CN"/>
        </w:rPr>
      </w:pPr>
    </w:p>
    <w:p>
      <w:pPr>
        <w:jc w:val="center"/>
        <w:rPr>
          <w:rFonts w:hint="eastAsia" w:ascii="黑体" w:hAnsi="黑体" w:eastAsia="黑体" w:cs="宋体"/>
          <w:kern w:val="0"/>
          <w:sz w:val="36"/>
          <w:szCs w:val="44"/>
          <w:lang w:eastAsia="zh-CN"/>
        </w:rPr>
      </w:pPr>
    </w:p>
    <w:p>
      <w:pPr>
        <w:jc w:val="center"/>
        <w:rPr>
          <w:rFonts w:hint="eastAsia" w:ascii="黑体" w:hAnsi="黑体" w:eastAsia="黑体" w:cs="宋体"/>
          <w:kern w:val="0"/>
          <w:sz w:val="36"/>
          <w:szCs w:val="44"/>
          <w:lang w:eastAsia="zh-CN"/>
        </w:rPr>
      </w:pPr>
    </w:p>
    <w:p>
      <w:pPr>
        <w:jc w:val="center"/>
        <w:rPr>
          <w:rFonts w:hint="eastAsia" w:ascii="黑体" w:hAnsi="黑体" w:eastAsia="黑体" w:cs="宋体"/>
          <w:kern w:val="0"/>
          <w:sz w:val="36"/>
          <w:szCs w:val="44"/>
        </w:rPr>
      </w:pPr>
    </w:p>
    <w:p>
      <w:pPr>
        <w:jc w:val="center"/>
        <w:rPr>
          <w:rFonts w:hint="eastAsia" w:ascii="黑体" w:hAnsi="黑体" w:eastAsia="黑体" w:cs="宋体"/>
          <w:kern w:val="0"/>
          <w:sz w:val="36"/>
          <w:szCs w:val="44"/>
        </w:rPr>
      </w:pPr>
    </w:p>
    <w:p>
      <w:pPr>
        <w:jc w:val="center"/>
        <w:rPr>
          <w:rFonts w:ascii="黑体" w:hAnsi="黑体" w:eastAsia="黑体" w:cs="宋体"/>
          <w:kern w:val="0"/>
          <w:sz w:val="36"/>
          <w:szCs w:val="44"/>
        </w:rPr>
      </w:pPr>
    </w:p>
    <w:p>
      <w:pPr>
        <w:jc w:val="center"/>
        <w:rPr>
          <w:rFonts w:ascii="黑体" w:hAnsi="黑体" w:eastAsia="黑体" w:cs="宋体"/>
          <w:kern w:val="0"/>
          <w:sz w:val="36"/>
          <w:szCs w:val="44"/>
        </w:rPr>
      </w:pPr>
      <w:r>
        <w:rPr>
          <w:rFonts w:ascii="黑体" w:hAnsi="黑体" w:eastAsia="黑体" w:cs="宋体"/>
          <w:kern w:val="0"/>
          <w:sz w:val="36"/>
          <w:szCs w:val="44"/>
        </w:rPr>
        <w:br w:type="textWrapping"/>
      </w:r>
      <w:r>
        <w:rPr>
          <w:rFonts w:ascii="黑体" w:hAnsi="黑体" w:eastAsia="黑体" w:cs="宋体"/>
          <w:kern w:val="0"/>
          <w:sz w:val="36"/>
          <w:szCs w:val="44"/>
        </w:rPr>
        <w:br w:type="textWrapping"/>
      </w:r>
    </w:p>
    <w:p>
      <w:pPr>
        <w:rPr>
          <w:rFonts w:hint="eastAsia" w:ascii="仿宋_GB2312" w:hAnsi="宋体" w:eastAsia="仿宋_GB2312" w:cs="宋体"/>
          <w:kern w:val="0"/>
          <w:sz w:val="30"/>
          <w:szCs w:val="30"/>
        </w:rPr>
      </w:pPr>
      <w:r>
        <w:rPr>
          <w:rFonts w:hint="eastAsia" w:ascii="仿宋_GB2312" w:hAnsi="宋体" w:eastAsia="仿宋_GB2312" w:cs="宋体"/>
          <w:kern w:val="0"/>
          <w:sz w:val="30"/>
          <w:szCs w:val="30"/>
        </w:rPr>
        <w:t>南关区财政局：</w:t>
      </w:r>
    </w:p>
    <w:p>
      <w:p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为提高预算的完整性，加快预算执行进度，按照《关于下达2024年城乡义务教育补助经费省级资金的通知（吉财教指</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2024</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268号)要求，现下达你单位2024年城乡义务教育补助经费省级和市级资金434万元。市本级支出功能分类科目，支出功能分类科目列“20502普通教育”相关支出科目，政府预算支出经济分类科目列“50502商品和服务支出”，部门预算支出经济分类科目列“30299其他商品和服务支出”。区级支出功能分类科目列“20502普通教育”相关支出科目，政府预算支出经济分类科目列“513</w:t>
      </w:r>
      <w:r>
        <w:rPr>
          <w:rFonts w:hint="eastAsia" w:ascii="仿宋_GB2312" w:hAnsi="宋体" w:eastAsia="仿宋_GB2312" w:cs="宋体"/>
          <w:kern w:val="0"/>
          <w:sz w:val="30"/>
          <w:szCs w:val="30"/>
          <w:lang w:val="en-US" w:eastAsia="zh-CN"/>
        </w:rPr>
        <w:t>0</w:t>
      </w:r>
      <w:r>
        <w:rPr>
          <w:rFonts w:hint="eastAsia" w:ascii="仿宋_GB2312" w:hAnsi="宋体" w:eastAsia="仿宋_GB2312" w:cs="宋体"/>
          <w:kern w:val="0"/>
          <w:sz w:val="30"/>
          <w:szCs w:val="30"/>
          <w:lang w:eastAsia="zh-CN"/>
        </w:rPr>
        <w:t>1上下级政府间</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转移性支出”。现就有关事项通知如下：</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提高义务教育家庭经济困难学生生活补助标准。按照国家规定，从2024年春季学期起提高家庭经济困难寄宿生生活补助国家基础标准，年生均小学由1000元提高到1250元，初中由1250元提高到1500元；家庭经济困难非寄宿生生活补助标准继续按寄宿生生活补助国家基础标准的50%核定。</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落实好学生“两免一补”和营养膳食补助政策。各区教育、财政部门要按规定对义务教育学生（含民办学校学生）落实“两免一补”政策，对义务教育学校（含民办学校）按照不低于生均公用经费基准定额的标准补助公用经费。在安排学校公用经费时，要向寄宿制学校、规模较小学校等薄弱学校倾斜。各区财政、教育部门按规定及时足额拨付义务教育学校公用经费和营养膳食补助等资金，规范政府采购行为，严禁滞拨缓拨、虚报冒领、挤占挪用经费；统筹解决学校自主经营食堂(伙房)供餐增加的聘用人员待遇等开支。</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加强农村学校校舍安全保障。各区要科学谋划年度项目计划和实施工作，提高工作质量，加快预算执行，支持公办学校维修改造、抗震加固、改扩建校舍及其附属设施。做好与发展改革部门安排基本建设项目等各渠道资金的统筹和对接，防止资金、项目安排重复交叉或缺位。</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提高特岗教师工资性补助标准。从2024年1月1日起，特岗教师工资性补助标准由年入均3.52万元提高到3.88万元。各区要进一步强化主体责任，确保特岗教师工资按时足额发放，按规定参加社会保险并及时缴纳养老保险、医疗保险等社会保险费用。同等条件下特岗教师在职称评聘、评先评优、年度考核等方面享受与当地公办学校在编教师同等待遇。市财政局、市教育局在核定2025年特岗教师工资性补助时，将根据2024年实际到岗人数据实结算。</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持续做好义务教育有保障工作。各区教育、财政部门要认真落实《中共中央</w:t>
      </w:r>
      <w:r>
        <w:rPr>
          <w:rFonts w:hint="eastAsia" w:ascii="仿宋_GB2312" w:hAnsi="宋体" w:eastAsia="仿宋_GB2312" w:cs="宋体"/>
          <w:kern w:val="0"/>
          <w:sz w:val="30"/>
          <w:szCs w:val="30"/>
          <w:lang w:val="en-US" w:eastAsia="zh-CN"/>
        </w:rPr>
        <w:t xml:space="preserve"> </w:t>
      </w:r>
      <w:r>
        <w:rPr>
          <w:rFonts w:hint="eastAsia" w:ascii="仿宋_GB2312" w:hAnsi="宋体" w:eastAsia="仿宋_GB2312" w:cs="宋体"/>
          <w:kern w:val="0"/>
          <w:sz w:val="30"/>
          <w:szCs w:val="30"/>
          <w:lang w:eastAsia="zh-CN"/>
        </w:rPr>
        <w:t>国务院关于实现巩固拓展脱贫攻坚成果同乡村振兴有效衔接的意见》部署，巩固义务教育有保障成果。在分配补助经费时，结合本区义务教育重点工作和本级财政安排的义务教育经费，加大向困难和薄弱学校倾斜。</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强化资金使用管理。各区要落实《吉林省人民政府办公厅关于印发吉林省教育领域财政事权和支出责任划分改革方案的通知》（吉政办发</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2020</w:t>
      </w:r>
      <w:r>
        <w:rPr>
          <w:rFonts w:hint="eastAsia" w:ascii="仿宋_GB2312" w:hAnsi="宋体" w:eastAsia="仿宋_GB2312" w:cs="宋体"/>
          <w:kern w:val="0"/>
          <w:sz w:val="30"/>
          <w:szCs w:val="30"/>
          <w:lang w:val="en-US" w:eastAsia="zh-CN"/>
        </w:rPr>
        <w:t>]</w:t>
      </w:r>
      <w:r>
        <w:rPr>
          <w:rFonts w:hint="eastAsia" w:ascii="仿宋_GB2312" w:hAnsi="宋体" w:eastAsia="仿宋_GB2312" w:cs="宋体"/>
          <w:kern w:val="0"/>
          <w:sz w:val="30"/>
          <w:szCs w:val="30"/>
          <w:lang w:eastAsia="zh-CN"/>
        </w:rPr>
        <w:t>4号）有关要求部署，结合本区实际足额安排应承担的资金预算，确保政策落实到位。各区财政、教育部门应当落实经费管理的主体责任，切实加强相关教育经费的统筹安排和使用，兼顾学校不同规模实际，确保学校正常运转；要进一步强化资金使用管理，按规定及时足额拨付资金，严禁滞拨缓拨，严禁挤占、挪用、截留、虚列、套取资金，严禁将中央和地方共担的义务教育学校公用经费用于发放临时聘用人员工资。</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落实直达资金相关要求。各区财政部门要加强对本区城乡义务教育补助经费的管理和监督，要在指标管理系统中及时录入有关指标和直达资金标识，并导入直达资金监控系统，确保数据真实、账目清晰、流向明确。财政部门将直达资金分解落实到单位和具体项目时，对资金来源既包含中央直达资金又包含地方对应安排资金的，应在预算指标文件、信息管理系统中按资金明细来源分别列示和录入预算指标。</w:t>
      </w:r>
    </w:p>
    <w:p>
      <w:pPr>
        <w:numPr>
          <w:ilvl w:val="0"/>
          <w:numId w:val="1"/>
        </w:numPr>
        <w:ind w:firstLine="600" w:firstLineChars="200"/>
        <w:rPr>
          <w:rFonts w:hint="eastAsia" w:ascii="仿宋_GB2312" w:hAnsi="宋体" w:eastAsia="仿宋_GB2312" w:cs="宋体"/>
          <w:kern w:val="0"/>
          <w:sz w:val="30"/>
          <w:szCs w:val="30"/>
          <w:lang w:eastAsia="zh-CN"/>
        </w:rPr>
      </w:pPr>
      <w:r>
        <w:rPr>
          <w:rFonts w:hint="eastAsia" w:ascii="仿宋_GB2312" w:hAnsi="宋体" w:eastAsia="仿宋_GB2312" w:cs="宋体"/>
          <w:kern w:val="0"/>
          <w:sz w:val="30"/>
          <w:szCs w:val="30"/>
          <w:lang w:eastAsia="zh-CN"/>
        </w:rPr>
        <w:t>加强预算绩效管理。各区要进一步健全全过程预算绩效管理机制，主管部门和资金使用单位要随同预算资金同步填报绩效目标，同级财政部门要加强绩效目标审核，切实提高资金使用效益。</w:t>
      </w:r>
    </w:p>
    <w:p>
      <w:pPr>
        <w:numPr>
          <w:ilvl w:val="0"/>
          <w:numId w:val="0"/>
        </w:numPr>
        <w:rPr>
          <w:rFonts w:hint="eastAsia" w:ascii="仿宋_GB2312" w:hAnsi="宋体" w:eastAsia="仿宋_GB2312" w:cs="宋体"/>
          <w:kern w:val="0"/>
          <w:sz w:val="30"/>
          <w:szCs w:val="30"/>
          <w:lang w:eastAsia="zh-CN"/>
        </w:rPr>
      </w:pPr>
    </w:p>
    <w:p>
      <w:pPr>
        <w:rPr>
          <w:rFonts w:ascii="仿宋_GB2312" w:hAnsi="宋体" w:eastAsia="仿宋_GB2312" w:cs="宋体"/>
          <w:kern w:val="0"/>
          <w:sz w:val="30"/>
          <w:szCs w:val="30"/>
        </w:rPr>
      </w:pPr>
    </w:p>
    <w:p>
      <w:pPr>
        <w:ind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长春市财政局    </w:t>
      </w:r>
    </w:p>
    <w:p>
      <w:pPr>
        <w:widowControl/>
        <w:ind w:firstLine="600" w:firstLineChars="200"/>
        <w:jc w:val="right"/>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4</w:t>
      </w:r>
      <w:r>
        <w:rPr>
          <w:rFonts w:hint="eastAsia" w:ascii="仿宋_GB2312" w:hAnsi="宋体" w:eastAsia="仿宋_GB2312" w:cs="宋体"/>
          <w:kern w:val="0"/>
          <w:sz w:val="30"/>
          <w:szCs w:val="30"/>
        </w:rPr>
        <w:t>年</w:t>
      </w:r>
      <w:r>
        <w:rPr>
          <w:rFonts w:hint="eastAsia" w:ascii="仿宋_GB2312" w:hAnsi="宋体" w:eastAsia="仿宋_GB2312" w:cs="宋体"/>
          <w:kern w:val="0"/>
          <w:sz w:val="30"/>
          <w:szCs w:val="30"/>
          <w:lang w:val="en-US" w:eastAsia="zh-CN"/>
        </w:rPr>
        <w:t>8</w:t>
      </w:r>
      <w:r>
        <w:rPr>
          <w:rFonts w:hint="eastAsia" w:ascii="仿宋_GB2312" w:hAnsi="宋体" w:eastAsia="仿宋_GB2312" w:cs="宋体"/>
          <w:kern w:val="0"/>
          <w:sz w:val="30"/>
          <w:szCs w:val="30"/>
        </w:rPr>
        <w:t>月</w:t>
      </w:r>
      <w:r>
        <w:rPr>
          <w:rFonts w:hint="eastAsia" w:ascii="仿宋_GB2312" w:hAnsi="宋体" w:eastAsia="仿宋_GB2312" w:cs="宋体"/>
          <w:kern w:val="0"/>
          <w:sz w:val="30"/>
          <w:szCs w:val="30"/>
          <w:lang w:val="en-US" w:eastAsia="zh-CN"/>
        </w:rPr>
        <w:t>12</w:t>
      </w:r>
      <w:bookmarkStart w:id="0" w:name="_GoBack"/>
      <w:bookmarkEnd w:id="0"/>
      <w:r>
        <w:rPr>
          <w:rFonts w:hint="eastAsia" w:ascii="仿宋_GB2312" w:hAnsi="宋体" w:eastAsia="仿宋_GB2312" w:cs="宋体"/>
          <w:kern w:val="0"/>
          <w:sz w:val="30"/>
          <w:szCs w:val="30"/>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CA2EE"/>
    <w:multiLevelType w:val="singleLevel"/>
    <w:tmpl w:val="976CA2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mZkMzNkM2FkMTFiN2E1YzZiYmJjYTNmMzk3OWEifQ=="/>
  </w:docVars>
  <w:rsids>
    <w:rsidRoot w:val="00172A27"/>
    <w:rsid w:val="00001DBD"/>
    <w:rsid w:val="00007D99"/>
    <w:rsid w:val="0001572F"/>
    <w:rsid w:val="00027643"/>
    <w:rsid w:val="0004105C"/>
    <w:rsid w:val="00041DF5"/>
    <w:rsid w:val="00063A5A"/>
    <w:rsid w:val="00063F6B"/>
    <w:rsid w:val="00066690"/>
    <w:rsid w:val="00072343"/>
    <w:rsid w:val="000764D0"/>
    <w:rsid w:val="00076C7A"/>
    <w:rsid w:val="00083C96"/>
    <w:rsid w:val="00087F44"/>
    <w:rsid w:val="0009417E"/>
    <w:rsid w:val="000943CE"/>
    <w:rsid w:val="000971B3"/>
    <w:rsid w:val="000A5175"/>
    <w:rsid w:val="000B1152"/>
    <w:rsid w:val="000B53BC"/>
    <w:rsid w:val="000B7A52"/>
    <w:rsid w:val="000C059A"/>
    <w:rsid w:val="000D36B5"/>
    <w:rsid w:val="000D6008"/>
    <w:rsid w:val="000D76E7"/>
    <w:rsid w:val="000F3054"/>
    <w:rsid w:val="000F6ACD"/>
    <w:rsid w:val="0011417F"/>
    <w:rsid w:val="0012755E"/>
    <w:rsid w:val="001350C8"/>
    <w:rsid w:val="00144B27"/>
    <w:rsid w:val="0014663D"/>
    <w:rsid w:val="001471BF"/>
    <w:rsid w:val="00152EC8"/>
    <w:rsid w:val="00153D1E"/>
    <w:rsid w:val="00155874"/>
    <w:rsid w:val="00156E37"/>
    <w:rsid w:val="0016135F"/>
    <w:rsid w:val="00170B65"/>
    <w:rsid w:val="00172A27"/>
    <w:rsid w:val="00176848"/>
    <w:rsid w:val="00176EDE"/>
    <w:rsid w:val="001910EC"/>
    <w:rsid w:val="001A139B"/>
    <w:rsid w:val="001A20BC"/>
    <w:rsid w:val="001A795F"/>
    <w:rsid w:val="001A7ABC"/>
    <w:rsid w:val="001B251F"/>
    <w:rsid w:val="001B4571"/>
    <w:rsid w:val="001C2212"/>
    <w:rsid w:val="001D0F13"/>
    <w:rsid w:val="001D4F23"/>
    <w:rsid w:val="001F134C"/>
    <w:rsid w:val="001F20C6"/>
    <w:rsid w:val="001F2659"/>
    <w:rsid w:val="001F3469"/>
    <w:rsid w:val="001F3547"/>
    <w:rsid w:val="001F6C66"/>
    <w:rsid w:val="00202D0F"/>
    <w:rsid w:val="00203A26"/>
    <w:rsid w:val="00211580"/>
    <w:rsid w:val="002174EB"/>
    <w:rsid w:val="002226BD"/>
    <w:rsid w:val="0022502A"/>
    <w:rsid w:val="002250FB"/>
    <w:rsid w:val="00234692"/>
    <w:rsid w:val="002428FF"/>
    <w:rsid w:val="00254BA3"/>
    <w:rsid w:val="00257468"/>
    <w:rsid w:val="00265B3F"/>
    <w:rsid w:val="0026685B"/>
    <w:rsid w:val="0027437A"/>
    <w:rsid w:val="0027547D"/>
    <w:rsid w:val="00277540"/>
    <w:rsid w:val="00285AAF"/>
    <w:rsid w:val="00286460"/>
    <w:rsid w:val="0028674F"/>
    <w:rsid w:val="00290EEC"/>
    <w:rsid w:val="00291BFF"/>
    <w:rsid w:val="0029311B"/>
    <w:rsid w:val="002A262B"/>
    <w:rsid w:val="002B2D93"/>
    <w:rsid w:val="002B6ACB"/>
    <w:rsid w:val="002C79FB"/>
    <w:rsid w:val="002D02D0"/>
    <w:rsid w:val="002D3272"/>
    <w:rsid w:val="002D3B53"/>
    <w:rsid w:val="002D59B3"/>
    <w:rsid w:val="002D6699"/>
    <w:rsid w:val="002F1193"/>
    <w:rsid w:val="002F6CEE"/>
    <w:rsid w:val="00305A0B"/>
    <w:rsid w:val="00306EAD"/>
    <w:rsid w:val="003139C3"/>
    <w:rsid w:val="00316D3C"/>
    <w:rsid w:val="00322694"/>
    <w:rsid w:val="00323082"/>
    <w:rsid w:val="00332ED8"/>
    <w:rsid w:val="00336E5F"/>
    <w:rsid w:val="0034278B"/>
    <w:rsid w:val="0034618E"/>
    <w:rsid w:val="00350B1C"/>
    <w:rsid w:val="00352350"/>
    <w:rsid w:val="00362398"/>
    <w:rsid w:val="00372896"/>
    <w:rsid w:val="00380326"/>
    <w:rsid w:val="0038131B"/>
    <w:rsid w:val="00395965"/>
    <w:rsid w:val="0039649B"/>
    <w:rsid w:val="00397388"/>
    <w:rsid w:val="003A43AC"/>
    <w:rsid w:val="003A621F"/>
    <w:rsid w:val="003B4CD2"/>
    <w:rsid w:val="003C0FB6"/>
    <w:rsid w:val="003C6F2B"/>
    <w:rsid w:val="003C767F"/>
    <w:rsid w:val="003D1330"/>
    <w:rsid w:val="003D205E"/>
    <w:rsid w:val="003D5D3F"/>
    <w:rsid w:val="003E21D0"/>
    <w:rsid w:val="003E22F8"/>
    <w:rsid w:val="003F0875"/>
    <w:rsid w:val="003F4CF3"/>
    <w:rsid w:val="00402458"/>
    <w:rsid w:val="00412861"/>
    <w:rsid w:val="0041760A"/>
    <w:rsid w:val="004277A5"/>
    <w:rsid w:val="00427B7F"/>
    <w:rsid w:val="00431DF0"/>
    <w:rsid w:val="00434955"/>
    <w:rsid w:val="00434D63"/>
    <w:rsid w:val="00435294"/>
    <w:rsid w:val="004453C6"/>
    <w:rsid w:val="00464E48"/>
    <w:rsid w:val="00470029"/>
    <w:rsid w:val="004811A2"/>
    <w:rsid w:val="004838FC"/>
    <w:rsid w:val="004B356A"/>
    <w:rsid w:val="004C5BFB"/>
    <w:rsid w:val="004D7F2C"/>
    <w:rsid w:val="004E2762"/>
    <w:rsid w:val="004E2BFE"/>
    <w:rsid w:val="004E687E"/>
    <w:rsid w:val="004E7C3F"/>
    <w:rsid w:val="004F2174"/>
    <w:rsid w:val="004F36D7"/>
    <w:rsid w:val="004F6F67"/>
    <w:rsid w:val="004F7068"/>
    <w:rsid w:val="004F78F5"/>
    <w:rsid w:val="005037D8"/>
    <w:rsid w:val="00503D8B"/>
    <w:rsid w:val="0050403D"/>
    <w:rsid w:val="00505B5B"/>
    <w:rsid w:val="005406EF"/>
    <w:rsid w:val="005407B0"/>
    <w:rsid w:val="00540FDC"/>
    <w:rsid w:val="0054513F"/>
    <w:rsid w:val="00547698"/>
    <w:rsid w:val="0055313B"/>
    <w:rsid w:val="00553F14"/>
    <w:rsid w:val="00560427"/>
    <w:rsid w:val="00564AAB"/>
    <w:rsid w:val="00567A24"/>
    <w:rsid w:val="0057327D"/>
    <w:rsid w:val="00580BE2"/>
    <w:rsid w:val="0058621D"/>
    <w:rsid w:val="005925EB"/>
    <w:rsid w:val="005929C6"/>
    <w:rsid w:val="0059306A"/>
    <w:rsid w:val="005A2275"/>
    <w:rsid w:val="005B7466"/>
    <w:rsid w:val="005C2D95"/>
    <w:rsid w:val="005C39B1"/>
    <w:rsid w:val="005C4707"/>
    <w:rsid w:val="005D1B39"/>
    <w:rsid w:val="005D37BB"/>
    <w:rsid w:val="005D3F58"/>
    <w:rsid w:val="005D45F7"/>
    <w:rsid w:val="005E100F"/>
    <w:rsid w:val="005E2B38"/>
    <w:rsid w:val="005E3C40"/>
    <w:rsid w:val="00602421"/>
    <w:rsid w:val="00613007"/>
    <w:rsid w:val="00616D3B"/>
    <w:rsid w:val="00625581"/>
    <w:rsid w:val="0062696A"/>
    <w:rsid w:val="0063139A"/>
    <w:rsid w:val="00632239"/>
    <w:rsid w:val="006339BB"/>
    <w:rsid w:val="00634E46"/>
    <w:rsid w:val="00640EAD"/>
    <w:rsid w:val="00642792"/>
    <w:rsid w:val="0064645A"/>
    <w:rsid w:val="00650F99"/>
    <w:rsid w:val="00654FE2"/>
    <w:rsid w:val="00655D09"/>
    <w:rsid w:val="00660729"/>
    <w:rsid w:val="00663876"/>
    <w:rsid w:val="00667467"/>
    <w:rsid w:val="00667B0D"/>
    <w:rsid w:val="00667FF0"/>
    <w:rsid w:val="00682C41"/>
    <w:rsid w:val="00683A0F"/>
    <w:rsid w:val="00683C79"/>
    <w:rsid w:val="006904D9"/>
    <w:rsid w:val="00695624"/>
    <w:rsid w:val="00695785"/>
    <w:rsid w:val="00697B30"/>
    <w:rsid w:val="006A2C94"/>
    <w:rsid w:val="006A4D20"/>
    <w:rsid w:val="006A610D"/>
    <w:rsid w:val="006B6F45"/>
    <w:rsid w:val="006C1238"/>
    <w:rsid w:val="006C1501"/>
    <w:rsid w:val="006C19F1"/>
    <w:rsid w:val="006C4D92"/>
    <w:rsid w:val="006F30AD"/>
    <w:rsid w:val="006F3E73"/>
    <w:rsid w:val="00702DEA"/>
    <w:rsid w:val="00706D83"/>
    <w:rsid w:val="00707E45"/>
    <w:rsid w:val="00716CC4"/>
    <w:rsid w:val="00720FBF"/>
    <w:rsid w:val="0072768E"/>
    <w:rsid w:val="00730A9D"/>
    <w:rsid w:val="00740960"/>
    <w:rsid w:val="007476C2"/>
    <w:rsid w:val="00751EA3"/>
    <w:rsid w:val="007568C3"/>
    <w:rsid w:val="00757368"/>
    <w:rsid w:val="00770A71"/>
    <w:rsid w:val="00774B79"/>
    <w:rsid w:val="00782179"/>
    <w:rsid w:val="00784FF3"/>
    <w:rsid w:val="007A57FF"/>
    <w:rsid w:val="007B0548"/>
    <w:rsid w:val="007B1C69"/>
    <w:rsid w:val="007C4057"/>
    <w:rsid w:val="007C7645"/>
    <w:rsid w:val="007C7CE6"/>
    <w:rsid w:val="007D4C81"/>
    <w:rsid w:val="007E7DC5"/>
    <w:rsid w:val="007E7E98"/>
    <w:rsid w:val="00800AF7"/>
    <w:rsid w:val="00805541"/>
    <w:rsid w:val="00805A31"/>
    <w:rsid w:val="00806ED7"/>
    <w:rsid w:val="008132B0"/>
    <w:rsid w:val="00815334"/>
    <w:rsid w:val="00816CCC"/>
    <w:rsid w:val="00835973"/>
    <w:rsid w:val="00841392"/>
    <w:rsid w:val="00850F94"/>
    <w:rsid w:val="008512B5"/>
    <w:rsid w:val="00866367"/>
    <w:rsid w:val="00871738"/>
    <w:rsid w:val="00871CCA"/>
    <w:rsid w:val="00874535"/>
    <w:rsid w:val="00875CC1"/>
    <w:rsid w:val="00883CBB"/>
    <w:rsid w:val="00884028"/>
    <w:rsid w:val="00884740"/>
    <w:rsid w:val="00885093"/>
    <w:rsid w:val="00887B4B"/>
    <w:rsid w:val="008A52EC"/>
    <w:rsid w:val="008B0C1A"/>
    <w:rsid w:val="008B2629"/>
    <w:rsid w:val="008B66F5"/>
    <w:rsid w:val="008E1A4B"/>
    <w:rsid w:val="008E5DE8"/>
    <w:rsid w:val="008E75F8"/>
    <w:rsid w:val="008F3B95"/>
    <w:rsid w:val="00902920"/>
    <w:rsid w:val="00903AD8"/>
    <w:rsid w:val="00910DB1"/>
    <w:rsid w:val="00913FD9"/>
    <w:rsid w:val="00915B62"/>
    <w:rsid w:val="00917110"/>
    <w:rsid w:val="009249A1"/>
    <w:rsid w:val="009306FD"/>
    <w:rsid w:val="00935E4B"/>
    <w:rsid w:val="00937213"/>
    <w:rsid w:val="00940A95"/>
    <w:rsid w:val="009413F9"/>
    <w:rsid w:val="009420CB"/>
    <w:rsid w:val="009571C3"/>
    <w:rsid w:val="0096072D"/>
    <w:rsid w:val="00962687"/>
    <w:rsid w:val="00965488"/>
    <w:rsid w:val="009732DC"/>
    <w:rsid w:val="00974223"/>
    <w:rsid w:val="00976C39"/>
    <w:rsid w:val="0098236C"/>
    <w:rsid w:val="009A7605"/>
    <w:rsid w:val="009B27A0"/>
    <w:rsid w:val="009C2F9A"/>
    <w:rsid w:val="009C789D"/>
    <w:rsid w:val="009D254D"/>
    <w:rsid w:val="009D5052"/>
    <w:rsid w:val="009D51D7"/>
    <w:rsid w:val="009D56ED"/>
    <w:rsid w:val="009E7B6A"/>
    <w:rsid w:val="009F0A71"/>
    <w:rsid w:val="009F1DD1"/>
    <w:rsid w:val="009F7CB4"/>
    <w:rsid w:val="009F7F3A"/>
    <w:rsid w:val="00A0558A"/>
    <w:rsid w:val="00A05AEA"/>
    <w:rsid w:val="00A065F6"/>
    <w:rsid w:val="00A137C8"/>
    <w:rsid w:val="00A2612A"/>
    <w:rsid w:val="00A27A28"/>
    <w:rsid w:val="00A3650D"/>
    <w:rsid w:val="00A36569"/>
    <w:rsid w:val="00A4100A"/>
    <w:rsid w:val="00A43145"/>
    <w:rsid w:val="00A544F7"/>
    <w:rsid w:val="00A548D1"/>
    <w:rsid w:val="00A573A4"/>
    <w:rsid w:val="00A707FB"/>
    <w:rsid w:val="00A75D2C"/>
    <w:rsid w:val="00A86F12"/>
    <w:rsid w:val="00A87938"/>
    <w:rsid w:val="00A87FDA"/>
    <w:rsid w:val="00AA01A8"/>
    <w:rsid w:val="00AB6277"/>
    <w:rsid w:val="00AC0AF3"/>
    <w:rsid w:val="00AC0B09"/>
    <w:rsid w:val="00AC1AC1"/>
    <w:rsid w:val="00AC52DF"/>
    <w:rsid w:val="00AC68B1"/>
    <w:rsid w:val="00AC7CE6"/>
    <w:rsid w:val="00AD006E"/>
    <w:rsid w:val="00AD03B2"/>
    <w:rsid w:val="00AE137B"/>
    <w:rsid w:val="00AE23AC"/>
    <w:rsid w:val="00AF7DEC"/>
    <w:rsid w:val="00B016EF"/>
    <w:rsid w:val="00B10713"/>
    <w:rsid w:val="00B11C0D"/>
    <w:rsid w:val="00B20239"/>
    <w:rsid w:val="00B2038D"/>
    <w:rsid w:val="00B24B1B"/>
    <w:rsid w:val="00B2711F"/>
    <w:rsid w:val="00B3157E"/>
    <w:rsid w:val="00B32195"/>
    <w:rsid w:val="00B34FC8"/>
    <w:rsid w:val="00B56B9C"/>
    <w:rsid w:val="00B60977"/>
    <w:rsid w:val="00B64025"/>
    <w:rsid w:val="00B75751"/>
    <w:rsid w:val="00B75D2E"/>
    <w:rsid w:val="00B90AE8"/>
    <w:rsid w:val="00BA3DB9"/>
    <w:rsid w:val="00BA5C1C"/>
    <w:rsid w:val="00BA5D94"/>
    <w:rsid w:val="00BB2EF7"/>
    <w:rsid w:val="00BD1660"/>
    <w:rsid w:val="00BE6CBD"/>
    <w:rsid w:val="00BF20CF"/>
    <w:rsid w:val="00BF726F"/>
    <w:rsid w:val="00C00D5C"/>
    <w:rsid w:val="00C1120B"/>
    <w:rsid w:val="00C1478A"/>
    <w:rsid w:val="00C16F61"/>
    <w:rsid w:val="00C16FA2"/>
    <w:rsid w:val="00C253EB"/>
    <w:rsid w:val="00C30AAA"/>
    <w:rsid w:val="00C34DAD"/>
    <w:rsid w:val="00C35073"/>
    <w:rsid w:val="00C352F7"/>
    <w:rsid w:val="00C355DE"/>
    <w:rsid w:val="00C36DB4"/>
    <w:rsid w:val="00C404F8"/>
    <w:rsid w:val="00C42400"/>
    <w:rsid w:val="00C44405"/>
    <w:rsid w:val="00C46022"/>
    <w:rsid w:val="00C46026"/>
    <w:rsid w:val="00C50775"/>
    <w:rsid w:val="00C5223B"/>
    <w:rsid w:val="00C60D64"/>
    <w:rsid w:val="00C62A08"/>
    <w:rsid w:val="00C632CE"/>
    <w:rsid w:val="00C65686"/>
    <w:rsid w:val="00C67942"/>
    <w:rsid w:val="00C7167F"/>
    <w:rsid w:val="00C74651"/>
    <w:rsid w:val="00C751C6"/>
    <w:rsid w:val="00C830B1"/>
    <w:rsid w:val="00C96E16"/>
    <w:rsid w:val="00CA1B0F"/>
    <w:rsid w:val="00CA3A5C"/>
    <w:rsid w:val="00CA5B4E"/>
    <w:rsid w:val="00CB2021"/>
    <w:rsid w:val="00CB2C1F"/>
    <w:rsid w:val="00CB5DE4"/>
    <w:rsid w:val="00CC78C4"/>
    <w:rsid w:val="00CD378B"/>
    <w:rsid w:val="00CE3508"/>
    <w:rsid w:val="00CE45D1"/>
    <w:rsid w:val="00CE4BB7"/>
    <w:rsid w:val="00CE75C7"/>
    <w:rsid w:val="00D00607"/>
    <w:rsid w:val="00D121FC"/>
    <w:rsid w:val="00D13645"/>
    <w:rsid w:val="00D17A21"/>
    <w:rsid w:val="00D252EC"/>
    <w:rsid w:val="00D367A2"/>
    <w:rsid w:val="00D41D2C"/>
    <w:rsid w:val="00D45DBE"/>
    <w:rsid w:val="00D51ACD"/>
    <w:rsid w:val="00D71991"/>
    <w:rsid w:val="00D725ED"/>
    <w:rsid w:val="00D73FB0"/>
    <w:rsid w:val="00D77DF5"/>
    <w:rsid w:val="00D85068"/>
    <w:rsid w:val="00DA0FE7"/>
    <w:rsid w:val="00DA32FD"/>
    <w:rsid w:val="00DB53B3"/>
    <w:rsid w:val="00DC2505"/>
    <w:rsid w:val="00DC480F"/>
    <w:rsid w:val="00DC5782"/>
    <w:rsid w:val="00DD19FA"/>
    <w:rsid w:val="00DE1259"/>
    <w:rsid w:val="00DF173F"/>
    <w:rsid w:val="00DF1C79"/>
    <w:rsid w:val="00DF2030"/>
    <w:rsid w:val="00DF2492"/>
    <w:rsid w:val="00E01738"/>
    <w:rsid w:val="00E047CB"/>
    <w:rsid w:val="00E06BC6"/>
    <w:rsid w:val="00E07FF4"/>
    <w:rsid w:val="00E2083F"/>
    <w:rsid w:val="00E244BD"/>
    <w:rsid w:val="00E247CE"/>
    <w:rsid w:val="00E26FD3"/>
    <w:rsid w:val="00E30B9A"/>
    <w:rsid w:val="00E30E5B"/>
    <w:rsid w:val="00E37BAF"/>
    <w:rsid w:val="00E559B7"/>
    <w:rsid w:val="00E55E60"/>
    <w:rsid w:val="00E670D9"/>
    <w:rsid w:val="00E70317"/>
    <w:rsid w:val="00E753D1"/>
    <w:rsid w:val="00E80850"/>
    <w:rsid w:val="00E91382"/>
    <w:rsid w:val="00EA49E5"/>
    <w:rsid w:val="00EA5303"/>
    <w:rsid w:val="00EB301C"/>
    <w:rsid w:val="00EC2995"/>
    <w:rsid w:val="00ED4152"/>
    <w:rsid w:val="00EE1477"/>
    <w:rsid w:val="00EE40DF"/>
    <w:rsid w:val="00EE4C56"/>
    <w:rsid w:val="00EF12AA"/>
    <w:rsid w:val="00EF219F"/>
    <w:rsid w:val="00EF6D5D"/>
    <w:rsid w:val="00F032AE"/>
    <w:rsid w:val="00F15946"/>
    <w:rsid w:val="00F20CD3"/>
    <w:rsid w:val="00F21609"/>
    <w:rsid w:val="00F2425C"/>
    <w:rsid w:val="00F40197"/>
    <w:rsid w:val="00F5423B"/>
    <w:rsid w:val="00F55A93"/>
    <w:rsid w:val="00F577F2"/>
    <w:rsid w:val="00F61B43"/>
    <w:rsid w:val="00F77312"/>
    <w:rsid w:val="00F825FD"/>
    <w:rsid w:val="00F87B02"/>
    <w:rsid w:val="00F91552"/>
    <w:rsid w:val="00F91698"/>
    <w:rsid w:val="00FA0D00"/>
    <w:rsid w:val="00FA2839"/>
    <w:rsid w:val="00FA5C9A"/>
    <w:rsid w:val="00FC0CD9"/>
    <w:rsid w:val="00FC343B"/>
    <w:rsid w:val="00FC5520"/>
    <w:rsid w:val="00FC6C37"/>
    <w:rsid w:val="00FD1C91"/>
    <w:rsid w:val="00FD3ED1"/>
    <w:rsid w:val="00FF0DA7"/>
    <w:rsid w:val="00FF1082"/>
    <w:rsid w:val="00FF7EC7"/>
    <w:rsid w:val="024B6E08"/>
    <w:rsid w:val="049164CF"/>
    <w:rsid w:val="04D07E2C"/>
    <w:rsid w:val="059A49D0"/>
    <w:rsid w:val="0664493D"/>
    <w:rsid w:val="066B1C96"/>
    <w:rsid w:val="084A7B62"/>
    <w:rsid w:val="08A04741"/>
    <w:rsid w:val="0A0A57FB"/>
    <w:rsid w:val="0BFE5271"/>
    <w:rsid w:val="0CDD4A8B"/>
    <w:rsid w:val="0EC71F0D"/>
    <w:rsid w:val="0EC82299"/>
    <w:rsid w:val="0ED137EB"/>
    <w:rsid w:val="0FF52C8D"/>
    <w:rsid w:val="115832F0"/>
    <w:rsid w:val="116C7363"/>
    <w:rsid w:val="118B0F65"/>
    <w:rsid w:val="12FA5BEE"/>
    <w:rsid w:val="137615E7"/>
    <w:rsid w:val="15FD17F0"/>
    <w:rsid w:val="164678EF"/>
    <w:rsid w:val="16B21C53"/>
    <w:rsid w:val="190D49C0"/>
    <w:rsid w:val="194D300E"/>
    <w:rsid w:val="1A0F1B81"/>
    <w:rsid w:val="1A7026E1"/>
    <w:rsid w:val="1ABA5B8B"/>
    <w:rsid w:val="1C015A2E"/>
    <w:rsid w:val="1C1B3CDE"/>
    <w:rsid w:val="1DAD187C"/>
    <w:rsid w:val="1DF60D84"/>
    <w:rsid w:val="1E3E561C"/>
    <w:rsid w:val="1EDA2483"/>
    <w:rsid w:val="1F1840BF"/>
    <w:rsid w:val="21D06DD2"/>
    <w:rsid w:val="23305520"/>
    <w:rsid w:val="243E45C7"/>
    <w:rsid w:val="256A24B6"/>
    <w:rsid w:val="2638214D"/>
    <w:rsid w:val="283261F1"/>
    <w:rsid w:val="291676D7"/>
    <w:rsid w:val="29C76E0D"/>
    <w:rsid w:val="29EB56E3"/>
    <w:rsid w:val="2A4E4E38"/>
    <w:rsid w:val="2A8D1F07"/>
    <w:rsid w:val="2D540198"/>
    <w:rsid w:val="2D732A2B"/>
    <w:rsid w:val="2DC01BA9"/>
    <w:rsid w:val="2E4722CA"/>
    <w:rsid w:val="306732B1"/>
    <w:rsid w:val="31EC0D5F"/>
    <w:rsid w:val="32427980"/>
    <w:rsid w:val="328959EC"/>
    <w:rsid w:val="32D22A86"/>
    <w:rsid w:val="32F0425F"/>
    <w:rsid w:val="33A31D51"/>
    <w:rsid w:val="34815BD9"/>
    <w:rsid w:val="34A522D6"/>
    <w:rsid w:val="35B4113B"/>
    <w:rsid w:val="37757EA8"/>
    <w:rsid w:val="37865C12"/>
    <w:rsid w:val="388A1EF2"/>
    <w:rsid w:val="39155CC9"/>
    <w:rsid w:val="397D1296"/>
    <w:rsid w:val="3CE31452"/>
    <w:rsid w:val="3CE33B06"/>
    <w:rsid w:val="3F91350E"/>
    <w:rsid w:val="404A155F"/>
    <w:rsid w:val="42C56006"/>
    <w:rsid w:val="43C37C34"/>
    <w:rsid w:val="44380293"/>
    <w:rsid w:val="44A57770"/>
    <w:rsid w:val="45A55FE1"/>
    <w:rsid w:val="466B2BA2"/>
    <w:rsid w:val="46A75BA4"/>
    <w:rsid w:val="476F01EE"/>
    <w:rsid w:val="48CF3FEE"/>
    <w:rsid w:val="4B9C5223"/>
    <w:rsid w:val="4DED4962"/>
    <w:rsid w:val="4EE05EC4"/>
    <w:rsid w:val="4F43088E"/>
    <w:rsid w:val="51114346"/>
    <w:rsid w:val="518E0501"/>
    <w:rsid w:val="53807561"/>
    <w:rsid w:val="539C654F"/>
    <w:rsid w:val="53FA37B7"/>
    <w:rsid w:val="555E5524"/>
    <w:rsid w:val="557E569C"/>
    <w:rsid w:val="55DC7D9E"/>
    <w:rsid w:val="55EB07FC"/>
    <w:rsid w:val="56E803BD"/>
    <w:rsid w:val="576801F9"/>
    <w:rsid w:val="5A1D3D5C"/>
    <w:rsid w:val="5AF947C9"/>
    <w:rsid w:val="5B773003"/>
    <w:rsid w:val="5B927124"/>
    <w:rsid w:val="5C98591B"/>
    <w:rsid w:val="5C9F2044"/>
    <w:rsid w:val="5CD03307"/>
    <w:rsid w:val="5D2E44D2"/>
    <w:rsid w:val="5F6116C8"/>
    <w:rsid w:val="5F626A83"/>
    <w:rsid w:val="61753DE9"/>
    <w:rsid w:val="63D14F70"/>
    <w:rsid w:val="64236413"/>
    <w:rsid w:val="644D317A"/>
    <w:rsid w:val="65977D7A"/>
    <w:rsid w:val="66B21CD0"/>
    <w:rsid w:val="66BB2E65"/>
    <w:rsid w:val="693D1D24"/>
    <w:rsid w:val="69D64EFC"/>
    <w:rsid w:val="6BCD012A"/>
    <w:rsid w:val="6C2A2A8C"/>
    <w:rsid w:val="6C7F2F47"/>
    <w:rsid w:val="6CE301ED"/>
    <w:rsid w:val="6F343BCA"/>
    <w:rsid w:val="6F4B6565"/>
    <w:rsid w:val="717A56C5"/>
    <w:rsid w:val="71CD128D"/>
    <w:rsid w:val="72A4298A"/>
    <w:rsid w:val="741123A3"/>
    <w:rsid w:val="74640AAD"/>
    <w:rsid w:val="747620E5"/>
    <w:rsid w:val="749668CA"/>
    <w:rsid w:val="74C73926"/>
    <w:rsid w:val="74F6722B"/>
    <w:rsid w:val="750F3C66"/>
    <w:rsid w:val="757C1E26"/>
    <w:rsid w:val="76CD7C4F"/>
    <w:rsid w:val="783562BD"/>
    <w:rsid w:val="788435CF"/>
    <w:rsid w:val="78C64775"/>
    <w:rsid w:val="792B5111"/>
    <w:rsid w:val="79A2114A"/>
    <w:rsid w:val="79B64503"/>
    <w:rsid w:val="79F35A28"/>
    <w:rsid w:val="7A574C10"/>
    <w:rsid w:val="7AAC0AB8"/>
    <w:rsid w:val="7AEA79DF"/>
    <w:rsid w:val="7C1E1D84"/>
    <w:rsid w:val="7C83219D"/>
    <w:rsid w:val="7CF577D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311D-CB16-4B60-B82A-F9F2DED4877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74</Words>
  <Characters>424</Characters>
  <Lines>3</Lines>
  <Paragraphs>1</Paragraphs>
  <TotalTime>17</TotalTime>
  <ScaleCrop>false</ScaleCrop>
  <LinksUpToDate>false</LinksUpToDate>
  <CharactersWithSpaces>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VCE-AL00</dc:creator>
  <cp:lastModifiedBy>Administrator</cp:lastModifiedBy>
  <dcterms:modified xsi:type="dcterms:W3CDTF">2024-10-28T03:25:39Z</dcterms:modified>
  <dc:title>长春市财政局文件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6D6E8A15018843B59FE926E26464E5AC_13</vt:lpwstr>
  </property>
</Properties>
</file>