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宋体"/>
          <w:b/>
          <w:kern w:val="0"/>
          <w:sz w:val="72"/>
          <w:szCs w:val="72"/>
        </w:rPr>
      </w:pPr>
    </w:p>
    <w:p>
      <w:pPr>
        <w:widowControl/>
        <w:jc w:val="center"/>
        <w:rPr>
          <w:rFonts w:ascii="黑体" w:hAnsi="黑体" w:eastAsia="黑体" w:cs="宋体"/>
          <w:b/>
          <w:kern w:val="0"/>
          <w:sz w:val="72"/>
          <w:szCs w:val="72"/>
        </w:rPr>
      </w:pPr>
      <w:r>
        <w:rPr>
          <w:rFonts w:ascii="黑体" w:hAnsi="黑体" w:eastAsia="黑体" w:cs="宋体"/>
          <w:b/>
          <w:kern w:val="0"/>
          <w:sz w:val="72"/>
          <w:szCs w:val="72"/>
        </w:rPr>
        <w:t>长春市财政局文件</w:t>
      </w:r>
    </w:p>
    <w:p>
      <w:pPr>
        <w:widowControl/>
        <w:jc w:val="center"/>
        <w:rPr>
          <w:rFonts w:ascii="宋体" w:hAnsi="宋体" w:cs="宋体"/>
          <w:kern w:val="0"/>
          <w:sz w:val="24"/>
          <w:szCs w:val="24"/>
        </w:rPr>
      </w:pPr>
    </w:p>
    <w:p>
      <w:pPr>
        <w:widowControl/>
        <w:jc w:val="center"/>
        <w:rPr>
          <w:rFonts w:ascii="宋体" w:hAnsi="宋体" w:cs="宋体"/>
          <w:kern w:val="0"/>
          <w:sz w:val="24"/>
          <w:szCs w:val="24"/>
        </w:rPr>
      </w:pPr>
      <w:r>
        <w:rPr>
          <w:rFonts w:ascii="宋体" w:hAnsi="宋体" w:cs="宋体"/>
          <w:kern w:val="0"/>
          <w:sz w:val="24"/>
          <w:szCs w:val="24"/>
        </w:rPr>
        <w:t>长财</w:t>
      </w:r>
      <w:r>
        <w:rPr>
          <w:rFonts w:hint="eastAsia" w:ascii="宋体" w:hAnsi="宋体" w:cs="宋体"/>
          <w:kern w:val="0"/>
          <w:sz w:val="24"/>
          <w:szCs w:val="24"/>
          <w:lang w:eastAsia="zh-CN"/>
        </w:rPr>
        <w:t>教</w:t>
      </w:r>
      <w:r>
        <w:rPr>
          <w:rFonts w:ascii="宋体" w:hAnsi="宋体" w:cs="宋体"/>
          <w:kern w:val="0"/>
          <w:sz w:val="24"/>
          <w:szCs w:val="24"/>
        </w:rPr>
        <w:t>指[202</w:t>
      </w:r>
      <w:r>
        <w:rPr>
          <w:rFonts w:hint="eastAsia" w:ascii="宋体" w:hAnsi="宋体" w:cs="宋体"/>
          <w:kern w:val="0"/>
          <w:sz w:val="24"/>
          <w:szCs w:val="24"/>
          <w:lang w:val="en-US" w:eastAsia="zh-CN"/>
        </w:rPr>
        <w:t>3</w:t>
      </w:r>
      <w:r>
        <w:rPr>
          <w:rFonts w:hint="eastAsia" w:ascii="宋体" w:hAnsi="宋体" w:cs="宋体"/>
          <w:kern w:val="0"/>
          <w:sz w:val="24"/>
          <w:szCs w:val="24"/>
        </w:rPr>
        <w:t>]2</w:t>
      </w:r>
      <w:r>
        <w:rPr>
          <w:rFonts w:hint="eastAsia" w:ascii="宋体" w:hAnsi="宋体" w:cs="宋体"/>
          <w:kern w:val="0"/>
          <w:sz w:val="24"/>
          <w:szCs w:val="24"/>
          <w:lang w:val="en-US" w:eastAsia="zh-CN"/>
        </w:rPr>
        <w:t>683</w:t>
      </w:r>
      <w:r>
        <w:rPr>
          <w:rFonts w:hint="eastAsia" w:ascii="宋体" w:hAnsi="宋体" w:cs="宋体"/>
          <w:kern w:val="0"/>
          <w:sz w:val="24"/>
          <w:szCs w:val="24"/>
        </w:rPr>
        <w:t>号</w:t>
      </w:r>
    </w:p>
    <w:p>
      <w:pPr>
        <w:widowControl/>
        <w:jc w:val="center"/>
        <w:rPr>
          <w:rFonts w:ascii="宋体" w:hAnsi="宋体" w:cs="宋体"/>
          <w:kern w:val="0"/>
          <w:sz w:val="24"/>
          <w:szCs w:val="24"/>
        </w:rPr>
      </w:pPr>
    </w:p>
    <w:p>
      <w:pPr>
        <w:jc w:val="center"/>
        <w:rPr>
          <w:rFonts w:hint="eastAsia" w:ascii="黑体" w:hAnsi="黑体" w:eastAsia="黑体" w:cs="宋体"/>
          <w:kern w:val="0"/>
          <w:sz w:val="36"/>
          <w:szCs w:val="44"/>
        </w:rPr>
      </w:pPr>
      <w:r>
        <w:rPr>
          <w:rFonts w:hint="eastAsia" w:ascii="黑体" w:hAnsi="黑体" w:eastAsia="黑体" w:cs="宋体"/>
          <w:kern w:val="0"/>
          <w:sz w:val="36"/>
          <w:szCs w:val="44"/>
        </w:rPr>
        <w:t>长春市财政局关于提前下达2024年城乡</w:t>
      </w:r>
    </w:p>
    <w:p>
      <w:pPr>
        <w:jc w:val="center"/>
        <w:rPr>
          <w:rFonts w:hint="eastAsia" w:ascii="黑体" w:hAnsi="黑体" w:eastAsia="黑体" w:cs="宋体"/>
          <w:kern w:val="0"/>
          <w:sz w:val="36"/>
          <w:szCs w:val="44"/>
        </w:rPr>
      </w:pPr>
      <w:r>
        <w:rPr>
          <w:rFonts w:hint="eastAsia" w:ascii="黑体" w:hAnsi="黑体" w:eastAsia="黑体" w:cs="宋体"/>
          <w:kern w:val="0"/>
          <w:sz w:val="36"/>
          <w:szCs w:val="44"/>
        </w:rPr>
        <w:t>义务教育补助经费中央补助资金的通知</w:t>
      </w:r>
    </w:p>
    <w:p>
      <w:pPr>
        <w:jc w:val="center"/>
        <w:rPr>
          <w:rFonts w:hint="eastAsia" w:ascii="黑体" w:hAnsi="黑体" w:eastAsia="黑体" w:cs="宋体"/>
          <w:kern w:val="0"/>
          <w:sz w:val="36"/>
          <w:szCs w:val="44"/>
        </w:rPr>
      </w:pPr>
    </w:p>
    <w:p>
      <w:pPr>
        <w:jc w:val="center"/>
        <w:rPr>
          <w:rFonts w:hint="eastAsia" w:ascii="黑体" w:hAnsi="黑体" w:eastAsia="黑体" w:cs="宋体"/>
          <w:kern w:val="0"/>
          <w:sz w:val="36"/>
          <w:szCs w:val="44"/>
        </w:rPr>
      </w:pPr>
    </w:p>
    <w:p>
      <w:pPr>
        <w:jc w:val="center"/>
        <w:rPr>
          <w:rFonts w:ascii="黑体" w:hAnsi="黑体" w:eastAsia="黑体" w:cs="宋体"/>
          <w:kern w:val="0"/>
          <w:sz w:val="36"/>
          <w:szCs w:val="44"/>
        </w:rPr>
      </w:pPr>
    </w:p>
    <w:p>
      <w:pPr>
        <w:jc w:val="center"/>
        <w:rPr>
          <w:rFonts w:ascii="黑体" w:hAnsi="黑体" w:eastAsia="黑体" w:cs="宋体"/>
          <w:kern w:val="0"/>
          <w:sz w:val="36"/>
          <w:szCs w:val="44"/>
        </w:rPr>
      </w:pPr>
    </w:p>
    <w:p>
      <w:pPr>
        <w:jc w:val="center"/>
        <w:rPr>
          <w:rFonts w:ascii="黑体" w:hAnsi="黑体" w:eastAsia="黑体" w:cs="宋体"/>
          <w:kern w:val="0"/>
          <w:sz w:val="36"/>
          <w:szCs w:val="44"/>
        </w:rPr>
      </w:pPr>
      <w:r>
        <w:rPr>
          <w:rFonts w:ascii="黑体" w:hAnsi="黑体" w:eastAsia="黑体" w:cs="宋体"/>
          <w:kern w:val="0"/>
          <w:sz w:val="36"/>
          <w:szCs w:val="44"/>
        </w:rPr>
        <w:br w:type="textWrapping"/>
      </w:r>
      <w:r>
        <w:rPr>
          <w:rFonts w:ascii="黑体" w:hAnsi="黑体" w:eastAsia="黑体" w:cs="宋体"/>
          <w:kern w:val="0"/>
          <w:sz w:val="36"/>
          <w:szCs w:val="44"/>
        </w:rPr>
        <w:br w:type="textWrapping"/>
      </w:r>
    </w:p>
    <w:p>
      <w:pPr>
        <w:rPr>
          <w:rFonts w:ascii="仿宋_GB2312" w:hAnsi="宋体" w:eastAsia="仿宋_GB2312" w:cs="宋体"/>
          <w:kern w:val="0"/>
          <w:sz w:val="30"/>
          <w:szCs w:val="30"/>
        </w:rPr>
      </w:pPr>
      <w:r>
        <w:rPr>
          <w:rFonts w:hint="eastAsia" w:ascii="仿宋_GB2312" w:hAnsi="宋体" w:eastAsia="仿宋_GB2312" w:cs="宋体"/>
          <w:kern w:val="0"/>
          <w:sz w:val="30"/>
          <w:szCs w:val="30"/>
        </w:rPr>
        <w:t>南关区财政局：</w:t>
      </w:r>
    </w:p>
    <w:p>
      <w:pPr>
        <w:rPr>
          <w:rFonts w:hint="eastAsia" w:ascii="仿宋_GB2312" w:hAnsi="宋体" w:eastAsia="仿宋_GB2312" w:cs="宋体"/>
          <w:kern w:val="0"/>
          <w:sz w:val="30"/>
          <w:szCs w:val="30"/>
        </w:rPr>
      </w:pPr>
      <w:r>
        <w:rPr>
          <w:rFonts w:hint="eastAsia" w:ascii="仿宋_GB2312" w:hAnsi="宋体" w:eastAsia="仿宋_GB2312" w:cs="宋体"/>
          <w:kern w:val="0"/>
          <w:sz w:val="30"/>
          <w:szCs w:val="30"/>
          <w:lang w:val="en-US" w:eastAsia="zh-CN"/>
        </w:rPr>
        <w:t xml:space="preserve">    </w:t>
      </w:r>
      <w:r>
        <w:rPr>
          <w:rFonts w:hint="eastAsia" w:ascii="仿宋_GB2312" w:hAnsi="宋体" w:eastAsia="仿宋_GB2312" w:cs="宋体"/>
          <w:kern w:val="0"/>
          <w:sz w:val="30"/>
          <w:szCs w:val="30"/>
        </w:rPr>
        <w:t>为提高预算的完整性，加快预算执行进度，按照《关于提前下达2024年城乡义务教育补助经费中央补助资金的通知》(吉财教</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rPr>
        <w:t>2023</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rPr>
        <w:t>1099号)和省级中小学教育补助资金预算安排，现提前下达你单位2024年城乡义务教育补助经费中央补助资金1964.40万元。此项指标列2024年有关预算科目，其中：市本级支出功能分类科目列“20502普通教育”相关支出，政府预算支出经济分类科目列“50502商品和服务支出”，部门预算支出经济分类科目列“30299其他商品和服务支出”；补助区级科目，收入科目列“1100245教育共同财政事权转移支付收入”，支出功能分类科目列“20502普通教育”相关支出科目，政府预算支出经济分类科目列“51301上下级政府间转移性支出”。待2024年预算年度开始后，按程序拨付使用。现就有关事项通知如下：</w:t>
      </w:r>
    </w:p>
    <w:p>
      <w:pPr>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一、各区要落实《吉林省人民政府办公厅关于印发吉林省教育领域财政事权和支出责任划分改革方案的通知》（吉政办发</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rPr>
        <w:t>2020</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rPr>
        <w:t>4号)有关要求部署，结合本区实际足额安排应承担的资金预算，确保政策落实到位。各区级财政、教育部门应当落实经费管理的主体责任，切实加强区域内相关教育经费的统筹安排和使用，兼顾不同规模学校运转的实际情况，确保学校正常运转；要进一步强化资金使用管理，按规定及时足额拨付资金，严禁滞拨缓拨，严禁挤占、挪用、截留、虚列、套取资金，严禁将中央和地方共担的义务教育学校公用经费用于发放临时聘用人员工资。</w:t>
      </w:r>
    </w:p>
    <w:p>
      <w:pPr>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二、落实直达资金相关要求。此次下达的中央直达资金，标识为“01中央直达资金”，贯穿资金分配、拨付、使用等整个环节。各区财政部门要加强对本区域城乡义务教育补助经费中央直达资金的管理和监督，要在指标管理系统中及时登录有关指标和直达资金标识，并导入直达资金监控系统，确保数据真实、账目清晰、流向明确。财政部门将中央直达资金分解落实到单位和具体项目时，对资金来源既包含中央直达资金又包含地方对应安排资金的，应在预算指标文件、信息管理系统中按资金明细来源分别列示和登录预算指标。</w:t>
      </w:r>
    </w:p>
    <w:p>
      <w:pPr>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三、各区要进一步健全全过程预算绩效管理机制，主管部门和资金使用单位要随同预算资金同步填报绩效目标，财政部门要加强绩效目标审核，切实提高资金使用效益。</w:t>
      </w:r>
    </w:p>
    <w:p>
      <w:pPr>
        <w:rPr>
          <w:rFonts w:hint="eastAsia" w:ascii="仿宋_GB2312" w:hAnsi="宋体" w:eastAsia="仿宋_GB2312" w:cs="宋体"/>
          <w:kern w:val="0"/>
          <w:sz w:val="30"/>
          <w:szCs w:val="30"/>
        </w:rPr>
      </w:pPr>
    </w:p>
    <w:p>
      <w:pPr>
        <w:rPr>
          <w:rFonts w:hint="eastAsia" w:ascii="仿宋_GB2312" w:hAnsi="宋体" w:eastAsia="仿宋_GB2312" w:cs="宋体"/>
          <w:kern w:val="0"/>
          <w:sz w:val="30"/>
          <w:szCs w:val="30"/>
        </w:rPr>
      </w:pPr>
      <w:bookmarkStart w:id="0" w:name="_GoBack"/>
      <w:bookmarkEnd w:id="0"/>
    </w:p>
    <w:p>
      <w:pPr>
        <w:rPr>
          <w:rFonts w:hint="eastAsia" w:ascii="仿宋_GB2312" w:hAnsi="宋体" w:eastAsia="仿宋_GB2312" w:cs="宋体"/>
          <w:kern w:val="0"/>
          <w:sz w:val="30"/>
          <w:szCs w:val="30"/>
        </w:rPr>
      </w:pPr>
    </w:p>
    <w:p>
      <w:pPr>
        <w:rPr>
          <w:rFonts w:ascii="仿宋_GB2312" w:hAnsi="宋体" w:eastAsia="仿宋_GB2312" w:cs="宋体"/>
          <w:kern w:val="0"/>
          <w:sz w:val="30"/>
          <w:szCs w:val="30"/>
        </w:rPr>
      </w:pPr>
    </w:p>
    <w:p>
      <w:pPr>
        <w:ind w:firstLine="600" w:firstLineChars="200"/>
        <w:jc w:val="righ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长春市财政局    </w:t>
      </w:r>
    </w:p>
    <w:p>
      <w:pPr>
        <w:widowControl/>
        <w:ind w:firstLine="600" w:firstLineChars="200"/>
        <w:jc w:val="right"/>
      </w:pPr>
      <w:r>
        <w:rPr>
          <w:rFonts w:hint="eastAsia" w:ascii="仿宋_GB2312" w:hAnsi="宋体" w:eastAsia="仿宋_GB2312" w:cs="宋体"/>
          <w:kern w:val="0"/>
          <w:sz w:val="30"/>
          <w:szCs w:val="30"/>
        </w:rPr>
        <w:t>202</w:t>
      </w:r>
      <w:r>
        <w:rPr>
          <w:rFonts w:hint="eastAsia" w:ascii="仿宋_GB2312" w:hAnsi="宋体" w:eastAsia="仿宋_GB2312" w:cs="宋体"/>
          <w:kern w:val="0"/>
          <w:sz w:val="30"/>
          <w:szCs w:val="30"/>
          <w:lang w:val="en-US" w:eastAsia="zh-CN"/>
        </w:rPr>
        <w:t>3</w:t>
      </w:r>
      <w:r>
        <w:rPr>
          <w:rFonts w:hint="eastAsia" w:ascii="仿宋_GB2312" w:hAnsi="宋体" w:eastAsia="仿宋_GB2312" w:cs="宋体"/>
          <w:kern w:val="0"/>
          <w:sz w:val="30"/>
          <w:szCs w:val="30"/>
        </w:rPr>
        <w:t>年12月</w:t>
      </w:r>
      <w:r>
        <w:rPr>
          <w:rFonts w:hint="eastAsia" w:ascii="仿宋_GB2312" w:hAnsi="宋体" w:eastAsia="仿宋_GB2312" w:cs="宋体"/>
          <w:kern w:val="0"/>
          <w:sz w:val="30"/>
          <w:szCs w:val="30"/>
          <w:lang w:val="en-US" w:eastAsia="zh-CN"/>
        </w:rPr>
        <w:t>29</w:t>
      </w:r>
      <w:r>
        <w:rPr>
          <w:rFonts w:hint="eastAsia" w:ascii="仿宋_GB2312" w:hAnsi="宋体" w:eastAsia="仿宋_GB2312" w:cs="宋体"/>
          <w:kern w:val="0"/>
          <w:sz w:val="30"/>
          <w:szCs w:val="30"/>
        </w:rPr>
        <w:t xml:space="preserve">日印发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0NmZkMzNkM2FkMTFiN2E1YzZiYmJjYTNmMzk3OWEifQ=="/>
  </w:docVars>
  <w:rsids>
    <w:rsidRoot w:val="00172A27"/>
    <w:rsid w:val="00001DBD"/>
    <w:rsid w:val="00007D99"/>
    <w:rsid w:val="0001572F"/>
    <w:rsid w:val="00027643"/>
    <w:rsid w:val="0004105C"/>
    <w:rsid w:val="00041DF5"/>
    <w:rsid w:val="00063A5A"/>
    <w:rsid w:val="00063F6B"/>
    <w:rsid w:val="00066690"/>
    <w:rsid w:val="00072343"/>
    <w:rsid w:val="000764D0"/>
    <w:rsid w:val="00076C7A"/>
    <w:rsid w:val="00083C96"/>
    <w:rsid w:val="00087F44"/>
    <w:rsid w:val="0009417E"/>
    <w:rsid w:val="000943CE"/>
    <w:rsid w:val="000971B3"/>
    <w:rsid w:val="000A5175"/>
    <w:rsid w:val="000B1152"/>
    <w:rsid w:val="000B53BC"/>
    <w:rsid w:val="000B7A52"/>
    <w:rsid w:val="000C059A"/>
    <w:rsid w:val="000D36B5"/>
    <w:rsid w:val="000D6008"/>
    <w:rsid w:val="000D76E7"/>
    <w:rsid w:val="000F3054"/>
    <w:rsid w:val="000F6ACD"/>
    <w:rsid w:val="0011417F"/>
    <w:rsid w:val="0012755E"/>
    <w:rsid w:val="001350C8"/>
    <w:rsid w:val="00144B27"/>
    <w:rsid w:val="0014663D"/>
    <w:rsid w:val="001471BF"/>
    <w:rsid w:val="00152EC8"/>
    <w:rsid w:val="00153D1E"/>
    <w:rsid w:val="00155874"/>
    <w:rsid w:val="00156E37"/>
    <w:rsid w:val="0016135F"/>
    <w:rsid w:val="00170B65"/>
    <w:rsid w:val="00172A27"/>
    <w:rsid w:val="00176848"/>
    <w:rsid w:val="00176EDE"/>
    <w:rsid w:val="001910EC"/>
    <w:rsid w:val="001A139B"/>
    <w:rsid w:val="001A20BC"/>
    <w:rsid w:val="001A795F"/>
    <w:rsid w:val="001A7ABC"/>
    <w:rsid w:val="001B251F"/>
    <w:rsid w:val="001B4571"/>
    <w:rsid w:val="001C2212"/>
    <w:rsid w:val="001D0F13"/>
    <w:rsid w:val="001D4F23"/>
    <w:rsid w:val="001F134C"/>
    <w:rsid w:val="001F20C6"/>
    <w:rsid w:val="001F2659"/>
    <w:rsid w:val="001F3469"/>
    <w:rsid w:val="001F3547"/>
    <w:rsid w:val="001F6C66"/>
    <w:rsid w:val="00202D0F"/>
    <w:rsid w:val="00203A26"/>
    <w:rsid w:val="00211580"/>
    <w:rsid w:val="002174EB"/>
    <w:rsid w:val="002226BD"/>
    <w:rsid w:val="0022502A"/>
    <w:rsid w:val="002250FB"/>
    <w:rsid w:val="00234692"/>
    <w:rsid w:val="002428FF"/>
    <w:rsid w:val="00254BA3"/>
    <w:rsid w:val="00257468"/>
    <w:rsid w:val="00265B3F"/>
    <w:rsid w:val="0026685B"/>
    <w:rsid w:val="0027437A"/>
    <w:rsid w:val="0027547D"/>
    <w:rsid w:val="00277540"/>
    <w:rsid w:val="00285AAF"/>
    <w:rsid w:val="00286460"/>
    <w:rsid w:val="0028674F"/>
    <w:rsid w:val="00290EEC"/>
    <w:rsid w:val="00291BFF"/>
    <w:rsid w:val="0029311B"/>
    <w:rsid w:val="002A262B"/>
    <w:rsid w:val="002B2D93"/>
    <w:rsid w:val="002B6ACB"/>
    <w:rsid w:val="002C79FB"/>
    <w:rsid w:val="002D02D0"/>
    <w:rsid w:val="002D3272"/>
    <w:rsid w:val="002D3B53"/>
    <w:rsid w:val="002D59B3"/>
    <w:rsid w:val="002D6699"/>
    <w:rsid w:val="002F1193"/>
    <w:rsid w:val="002F6CEE"/>
    <w:rsid w:val="00305A0B"/>
    <w:rsid w:val="00306EAD"/>
    <w:rsid w:val="003139C3"/>
    <w:rsid w:val="00316D3C"/>
    <w:rsid w:val="00322694"/>
    <w:rsid w:val="00323082"/>
    <w:rsid w:val="00332ED8"/>
    <w:rsid w:val="00336E5F"/>
    <w:rsid w:val="0034278B"/>
    <w:rsid w:val="0034618E"/>
    <w:rsid w:val="00350B1C"/>
    <w:rsid w:val="00352350"/>
    <w:rsid w:val="00362398"/>
    <w:rsid w:val="00372896"/>
    <w:rsid w:val="00380326"/>
    <w:rsid w:val="0038131B"/>
    <w:rsid w:val="00395965"/>
    <w:rsid w:val="0039649B"/>
    <w:rsid w:val="00397388"/>
    <w:rsid w:val="003A43AC"/>
    <w:rsid w:val="003A621F"/>
    <w:rsid w:val="003B4CD2"/>
    <w:rsid w:val="003C6F2B"/>
    <w:rsid w:val="003C767F"/>
    <w:rsid w:val="003D1330"/>
    <w:rsid w:val="003D205E"/>
    <w:rsid w:val="003D5D3F"/>
    <w:rsid w:val="003E21D0"/>
    <w:rsid w:val="003E22F8"/>
    <w:rsid w:val="003F0875"/>
    <w:rsid w:val="003F4CF3"/>
    <w:rsid w:val="00402458"/>
    <w:rsid w:val="00412861"/>
    <w:rsid w:val="0041760A"/>
    <w:rsid w:val="004277A5"/>
    <w:rsid w:val="00427B7F"/>
    <w:rsid w:val="00431DF0"/>
    <w:rsid w:val="00434955"/>
    <w:rsid w:val="00434D63"/>
    <w:rsid w:val="00435294"/>
    <w:rsid w:val="004453C6"/>
    <w:rsid w:val="00464E48"/>
    <w:rsid w:val="00470029"/>
    <w:rsid w:val="004811A2"/>
    <w:rsid w:val="004838FC"/>
    <w:rsid w:val="004B356A"/>
    <w:rsid w:val="004C5BFB"/>
    <w:rsid w:val="004D7F2C"/>
    <w:rsid w:val="004E2762"/>
    <w:rsid w:val="004E2BFE"/>
    <w:rsid w:val="004E687E"/>
    <w:rsid w:val="004E7C3F"/>
    <w:rsid w:val="004F2174"/>
    <w:rsid w:val="004F36D7"/>
    <w:rsid w:val="004F6F67"/>
    <w:rsid w:val="004F7068"/>
    <w:rsid w:val="004F78F5"/>
    <w:rsid w:val="005037D8"/>
    <w:rsid w:val="00503D8B"/>
    <w:rsid w:val="0050403D"/>
    <w:rsid w:val="00505B5B"/>
    <w:rsid w:val="005406EF"/>
    <w:rsid w:val="005407B0"/>
    <w:rsid w:val="00540FDC"/>
    <w:rsid w:val="0054513F"/>
    <w:rsid w:val="00547698"/>
    <w:rsid w:val="0055313B"/>
    <w:rsid w:val="00553F14"/>
    <w:rsid w:val="00560427"/>
    <w:rsid w:val="00564AAB"/>
    <w:rsid w:val="00567A24"/>
    <w:rsid w:val="0057327D"/>
    <w:rsid w:val="00580BE2"/>
    <w:rsid w:val="0058621D"/>
    <w:rsid w:val="005925EB"/>
    <w:rsid w:val="005929C6"/>
    <w:rsid w:val="0059306A"/>
    <w:rsid w:val="005A2275"/>
    <w:rsid w:val="005B7466"/>
    <w:rsid w:val="005C2D95"/>
    <w:rsid w:val="005C39B1"/>
    <w:rsid w:val="005C4707"/>
    <w:rsid w:val="005D1B39"/>
    <w:rsid w:val="005D37BB"/>
    <w:rsid w:val="005D3F58"/>
    <w:rsid w:val="005D45F7"/>
    <w:rsid w:val="005E100F"/>
    <w:rsid w:val="005E2B38"/>
    <w:rsid w:val="005E3C40"/>
    <w:rsid w:val="00602421"/>
    <w:rsid w:val="00613007"/>
    <w:rsid w:val="00616D3B"/>
    <w:rsid w:val="00625581"/>
    <w:rsid w:val="0062696A"/>
    <w:rsid w:val="0063139A"/>
    <w:rsid w:val="00632239"/>
    <w:rsid w:val="006339BB"/>
    <w:rsid w:val="00634E46"/>
    <w:rsid w:val="00640EAD"/>
    <w:rsid w:val="00642792"/>
    <w:rsid w:val="0064645A"/>
    <w:rsid w:val="00650F99"/>
    <w:rsid w:val="00654FE2"/>
    <w:rsid w:val="00655D09"/>
    <w:rsid w:val="00660729"/>
    <w:rsid w:val="00663876"/>
    <w:rsid w:val="00667467"/>
    <w:rsid w:val="00667B0D"/>
    <w:rsid w:val="00667FF0"/>
    <w:rsid w:val="00682C41"/>
    <w:rsid w:val="00683A0F"/>
    <w:rsid w:val="00683C79"/>
    <w:rsid w:val="006904D9"/>
    <w:rsid w:val="00695624"/>
    <w:rsid w:val="00695785"/>
    <w:rsid w:val="00697B30"/>
    <w:rsid w:val="006A2C94"/>
    <w:rsid w:val="006A4D20"/>
    <w:rsid w:val="006A610D"/>
    <w:rsid w:val="006B6F45"/>
    <w:rsid w:val="006C1238"/>
    <w:rsid w:val="006C1501"/>
    <w:rsid w:val="006C19F1"/>
    <w:rsid w:val="006C4D92"/>
    <w:rsid w:val="006F30AD"/>
    <w:rsid w:val="006F3E73"/>
    <w:rsid w:val="00702DEA"/>
    <w:rsid w:val="00706D83"/>
    <w:rsid w:val="00707E45"/>
    <w:rsid w:val="00716CC4"/>
    <w:rsid w:val="00720FBF"/>
    <w:rsid w:val="0072768E"/>
    <w:rsid w:val="00730A9D"/>
    <w:rsid w:val="00740960"/>
    <w:rsid w:val="007476C2"/>
    <w:rsid w:val="00751EA3"/>
    <w:rsid w:val="007568C3"/>
    <w:rsid w:val="00757368"/>
    <w:rsid w:val="00770A71"/>
    <w:rsid w:val="00774B79"/>
    <w:rsid w:val="00782179"/>
    <w:rsid w:val="00784FF3"/>
    <w:rsid w:val="007A57FF"/>
    <w:rsid w:val="007B0548"/>
    <w:rsid w:val="007B1C69"/>
    <w:rsid w:val="007C4057"/>
    <w:rsid w:val="007C7645"/>
    <w:rsid w:val="007C7CE6"/>
    <w:rsid w:val="007D4C81"/>
    <w:rsid w:val="007E7DC5"/>
    <w:rsid w:val="007E7E98"/>
    <w:rsid w:val="00800AF7"/>
    <w:rsid w:val="00805541"/>
    <w:rsid w:val="00805A31"/>
    <w:rsid w:val="00806ED7"/>
    <w:rsid w:val="008132B0"/>
    <w:rsid w:val="00815334"/>
    <w:rsid w:val="00816CCC"/>
    <w:rsid w:val="00835973"/>
    <w:rsid w:val="00841392"/>
    <w:rsid w:val="00850F94"/>
    <w:rsid w:val="008512B5"/>
    <w:rsid w:val="00866367"/>
    <w:rsid w:val="00871738"/>
    <w:rsid w:val="00871CCA"/>
    <w:rsid w:val="00874535"/>
    <w:rsid w:val="00875CC1"/>
    <w:rsid w:val="00883CBB"/>
    <w:rsid w:val="00884028"/>
    <w:rsid w:val="00884740"/>
    <w:rsid w:val="00885093"/>
    <w:rsid w:val="00887B4B"/>
    <w:rsid w:val="008A52EC"/>
    <w:rsid w:val="008B0C1A"/>
    <w:rsid w:val="008B2629"/>
    <w:rsid w:val="008B66F5"/>
    <w:rsid w:val="008E1A4B"/>
    <w:rsid w:val="008E5DE8"/>
    <w:rsid w:val="008E75F8"/>
    <w:rsid w:val="008F3B95"/>
    <w:rsid w:val="00902920"/>
    <w:rsid w:val="00903AD8"/>
    <w:rsid w:val="00910DB1"/>
    <w:rsid w:val="00913FD9"/>
    <w:rsid w:val="00915B62"/>
    <w:rsid w:val="00917110"/>
    <w:rsid w:val="009249A1"/>
    <w:rsid w:val="009306FD"/>
    <w:rsid w:val="00935E4B"/>
    <w:rsid w:val="00937213"/>
    <w:rsid w:val="00940A95"/>
    <w:rsid w:val="009413F9"/>
    <w:rsid w:val="009420CB"/>
    <w:rsid w:val="009571C3"/>
    <w:rsid w:val="0096072D"/>
    <w:rsid w:val="00962687"/>
    <w:rsid w:val="00965488"/>
    <w:rsid w:val="009732DC"/>
    <w:rsid w:val="00974223"/>
    <w:rsid w:val="00976C39"/>
    <w:rsid w:val="0098236C"/>
    <w:rsid w:val="009B27A0"/>
    <w:rsid w:val="009C2F9A"/>
    <w:rsid w:val="009C789D"/>
    <w:rsid w:val="009D254D"/>
    <w:rsid w:val="009D5052"/>
    <w:rsid w:val="009D51D7"/>
    <w:rsid w:val="009D56ED"/>
    <w:rsid w:val="009E7B6A"/>
    <w:rsid w:val="009F0A71"/>
    <w:rsid w:val="009F1DD1"/>
    <w:rsid w:val="009F7CB4"/>
    <w:rsid w:val="009F7F3A"/>
    <w:rsid w:val="00A0558A"/>
    <w:rsid w:val="00A05AEA"/>
    <w:rsid w:val="00A065F6"/>
    <w:rsid w:val="00A137C8"/>
    <w:rsid w:val="00A2612A"/>
    <w:rsid w:val="00A27A28"/>
    <w:rsid w:val="00A3650D"/>
    <w:rsid w:val="00A36569"/>
    <w:rsid w:val="00A4100A"/>
    <w:rsid w:val="00A43145"/>
    <w:rsid w:val="00A544F7"/>
    <w:rsid w:val="00A548D1"/>
    <w:rsid w:val="00A573A4"/>
    <w:rsid w:val="00A707FB"/>
    <w:rsid w:val="00A75D2C"/>
    <w:rsid w:val="00A86F12"/>
    <w:rsid w:val="00A87938"/>
    <w:rsid w:val="00A87FDA"/>
    <w:rsid w:val="00AA01A8"/>
    <w:rsid w:val="00AB6277"/>
    <w:rsid w:val="00AC0AF3"/>
    <w:rsid w:val="00AC0B09"/>
    <w:rsid w:val="00AC1AC1"/>
    <w:rsid w:val="00AC52DF"/>
    <w:rsid w:val="00AC68B1"/>
    <w:rsid w:val="00AC7CE6"/>
    <w:rsid w:val="00AD006E"/>
    <w:rsid w:val="00AD03B2"/>
    <w:rsid w:val="00AE137B"/>
    <w:rsid w:val="00AE23AC"/>
    <w:rsid w:val="00AF7DEC"/>
    <w:rsid w:val="00B016EF"/>
    <w:rsid w:val="00B10713"/>
    <w:rsid w:val="00B11C0D"/>
    <w:rsid w:val="00B20239"/>
    <w:rsid w:val="00B2038D"/>
    <w:rsid w:val="00B24B1B"/>
    <w:rsid w:val="00B2711F"/>
    <w:rsid w:val="00B3157E"/>
    <w:rsid w:val="00B32195"/>
    <w:rsid w:val="00B34FC8"/>
    <w:rsid w:val="00B56B9C"/>
    <w:rsid w:val="00B60977"/>
    <w:rsid w:val="00B64025"/>
    <w:rsid w:val="00B75751"/>
    <w:rsid w:val="00B75D2E"/>
    <w:rsid w:val="00B90AE8"/>
    <w:rsid w:val="00BA3DB9"/>
    <w:rsid w:val="00BA5C1C"/>
    <w:rsid w:val="00BA5D94"/>
    <w:rsid w:val="00BB2EF7"/>
    <w:rsid w:val="00BD1660"/>
    <w:rsid w:val="00BE6CBD"/>
    <w:rsid w:val="00BF20CF"/>
    <w:rsid w:val="00BF726F"/>
    <w:rsid w:val="00C00D5C"/>
    <w:rsid w:val="00C1120B"/>
    <w:rsid w:val="00C1478A"/>
    <w:rsid w:val="00C16F61"/>
    <w:rsid w:val="00C16FA2"/>
    <w:rsid w:val="00C253EB"/>
    <w:rsid w:val="00C30AAA"/>
    <w:rsid w:val="00C35073"/>
    <w:rsid w:val="00C352F7"/>
    <w:rsid w:val="00C355DE"/>
    <w:rsid w:val="00C36DB4"/>
    <w:rsid w:val="00C404F8"/>
    <w:rsid w:val="00C42400"/>
    <w:rsid w:val="00C44405"/>
    <w:rsid w:val="00C46022"/>
    <w:rsid w:val="00C46026"/>
    <w:rsid w:val="00C50775"/>
    <w:rsid w:val="00C5223B"/>
    <w:rsid w:val="00C60D64"/>
    <w:rsid w:val="00C62A08"/>
    <w:rsid w:val="00C632CE"/>
    <w:rsid w:val="00C65686"/>
    <w:rsid w:val="00C67942"/>
    <w:rsid w:val="00C7167F"/>
    <w:rsid w:val="00C74651"/>
    <w:rsid w:val="00C751C6"/>
    <w:rsid w:val="00C830B1"/>
    <w:rsid w:val="00C96E16"/>
    <w:rsid w:val="00CA1B0F"/>
    <w:rsid w:val="00CA3A5C"/>
    <w:rsid w:val="00CA5B4E"/>
    <w:rsid w:val="00CB2021"/>
    <w:rsid w:val="00CB2C1F"/>
    <w:rsid w:val="00CB5DE4"/>
    <w:rsid w:val="00CC78C4"/>
    <w:rsid w:val="00CD378B"/>
    <w:rsid w:val="00CE3508"/>
    <w:rsid w:val="00CE45D1"/>
    <w:rsid w:val="00CE4BB7"/>
    <w:rsid w:val="00CE75C7"/>
    <w:rsid w:val="00D00607"/>
    <w:rsid w:val="00D121FC"/>
    <w:rsid w:val="00D13645"/>
    <w:rsid w:val="00D17A21"/>
    <w:rsid w:val="00D252EC"/>
    <w:rsid w:val="00D367A2"/>
    <w:rsid w:val="00D41D2C"/>
    <w:rsid w:val="00D45DBE"/>
    <w:rsid w:val="00D51ACD"/>
    <w:rsid w:val="00D71991"/>
    <w:rsid w:val="00D725ED"/>
    <w:rsid w:val="00D73FB0"/>
    <w:rsid w:val="00D77DF5"/>
    <w:rsid w:val="00D85068"/>
    <w:rsid w:val="00DA0FE7"/>
    <w:rsid w:val="00DA32FD"/>
    <w:rsid w:val="00DB53B3"/>
    <w:rsid w:val="00DC2505"/>
    <w:rsid w:val="00DC480F"/>
    <w:rsid w:val="00DC5782"/>
    <w:rsid w:val="00DD19FA"/>
    <w:rsid w:val="00DE1259"/>
    <w:rsid w:val="00DF173F"/>
    <w:rsid w:val="00DF1C79"/>
    <w:rsid w:val="00DF2030"/>
    <w:rsid w:val="00DF2492"/>
    <w:rsid w:val="00E01738"/>
    <w:rsid w:val="00E047CB"/>
    <w:rsid w:val="00E06BC6"/>
    <w:rsid w:val="00E07FF4"/>
    <w:rsid w:val="00E2083F"/>
    <w:rsid w:val="00E244BD"/>
    <w:rsid w:val="00E247CE"/>
    <w:rsid w:val="00E26FD3"/>
    <w:rsid w:val="00E30B9A"/>
    <w:rsid w:val="00E30E5B"/>
    <w:rsid w:val="00E37BAF"/>
    <w:rsid w:val="00E559B7"/>
    <w:rsid w:val="00E55E60"/>
    <w:rsid w:val="00E670D9"/>
    <w:rsid w:val="00E70317"/>
    <w:rsid w:val="00E753D1"/>
    <w:rsid w:val="00E80850"/>
    <w:rsid w:val="00E91382"/>
    <w:rsid w:val="00EA49E5"/>
    <w:rsid w:val="00EA5303"/>
    <w:rsid w:val="00EB301C"/>
    <w:rsid w:val="00EC2995"/>
    <w:rsid w:val="00ED4152"/>
    <w:rsid w:val="00EE1477"/>
    <w:rsid w:val="00EE40DF"/>
    <w:rsid w:val="00EE4C56"/>
    <w:rsid w:val="00EF12AA"/>
    <w:rsid w:val="00EF219F"/>
    <w:rsid w:val="00EF6D5D"/>
    <w:rsid w:val="00F032AE"/>
    <w:rsid w:val="00F15946"/>
    <w:rsid w:val="00F20CD3"/>
    <w:rsid w:val="00F21609"/>
    <w:rsid w:val="00F2425C"/>
    <w:rsid w:val="00F40197"/>
    <w:rsid w:val="00F5423B"/>
    <w:rsid w:val="00F55A93"/>
    <w:rsid w:val="00F577F2"/>
    <w:rsid w:val="00F61B43"/>
    <w:rsid w:val="00F77312"/>
    <w:rsid w:val="00F825FD"/>
    <w:rsid w:val="00F87B02"/>
    <w:rsid w:val="00F91552"/>
    <w:rsid w:val="00F91698"/>
    <w:rsid w:val="00FA0D00"/>
    <w:rsid w:val="00FA2839"/>
    <w:rsid w:val="00FA5C9A"/>
    <w:rsid w:val="00FC0CD9"/>
    <w:rsid w:val="00FC343B"/>
    <w:rsid w:val="00FC5520"/>
    <w:rsid w:val="00FC6C37"/>
    <w:rsid w:val="00FD1C91"/>
    <w:rsid w:val="00FD3ED1"/>
    <w:rsid w:val="00FF0DA7"/>
    <w:rsid w:val="00FF1082"/>
    <w:rsid w:val="00FF7EC7"/>
    <w:rsid w:val="04D07E2C"/>
    <w:rsid w:val="0664493D"/>
    <w:rsid w:val="12FA5BEE"/>
    <w:rsid w:val="1A7026E1"/>
    <w:rsid w:val="21D06DD2"/>
    <w:rsid w:val="32427980"/>
    <w:rsid w:val="3F91350E"/>
    <w:rsid w:val="43C37C34"/>
    <w:rsid w:val="44A57770"/>
    <w:rsid w:val="518E0501"/>
    <w:rsid w:val="555E5524"/>
    <w:rsid w:val="55DC7D9E"/>
    <w:rsid w:val="5C9F2044"/>
    <w:rsid w:val="63D14F70"/>
    <w:rsid w:val="644D317A"/>
    <w:rsid w:val="69D64EFC"/>
    <w:rsid w:val="792B5111"/>
    <w:rsid w:val="79A2114A"/>
    <w:rsid w:val="79B6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8311D-CB16-4B60-B82A-F9F2DED4877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74</Words>
  <Characters>424</Characters>
  <Lines>3</Lines>
  <Paragraphs>1</Paragraphs>
  <TotalTime>55</TotalTime>
  <ScaleCrop>false</ScaleCrop>
  <LinksUpToDate>false</LinksUpToDate>
  <CharactersWithSpaces>497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2024-08-06T02:37:00Z</dcterms:created>
  <dc:creator>VCE-AL00</dc:creator>
  <cp:lastModifiedBy>Administrator</cp:lastModifiedBy>
  <dcterms:modified xsi:type="dcterms:W3CDTF">2024-10-22T07:03:24Z</dcterms:modified>
  <dc:title>长春市财政局文件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BB1E801173E649FD8F95D2883B89CDF7_13</vt:lpwstr>
  </property>
</Properties>
</file>