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黑体_GBK" w:hAnsi="宋体" w:eastAsia="方正黑体_GBK" w:cs="Times New Roman"/>
                <w:b/>
                <w:sz w:val="32"/>
                <w:szCs w:val="28"/>
                <w:lang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4</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永宁路社区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90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w:t>
            </w:r>
            <w:bookmarkStart w:id="0" w:name="_GoBack"/>
            <w:bookmarkEnd w:id="0"/>
            <w:r>
              <w:rPr>
                <w:rFonts w:hint="eastAsia" w:ascii="仿宋_GB2312" w:hAnsi="仿宋_GB2312" w:eastAsia="仿宋_GB2312" w:cs="仿宋_GB2312"/>
                <w:b w:val="0"/>
                <w:bCs w:val="0"/>
                <w:color w:val="000000"/>
                <w:kern w:val="0"/>
                <w:sz w:val="20"/>
                <w:lang w:val="en-US" w:eastAsia="zh-CN"/>
              </w:rPr>
              <w:t>制定社区党委学习习近平总书记重要讲话精神计划；②每月组织一次党员学习习近平总书记重要讲话和指示精神。③组织党员集中学习和个人学习习近平总书记关于加强基层治理重要讲话，做好学习笔记，通过学习增强理论指导实践的能力。</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方正黑体_GBK" w:hAnsi="方正黑体_GBK" w:eastAsia="方正黑体_GBK" w:cs="方正黑体_GBK"/>
                <w:b/>
                <w:bCs/>
                <w:kern w:val="0"/>
                <w:sz w:val="24"/>
                <w:szCs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增强党员理论知识，用理论知识指导实际工作。</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270" w:hRule="atLeast"/>
          <w:jc w:val="center"/>
        </w:trPr>
        <w:tc>
          <w:tcPr>
            <w:tcW w:w="98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　看基层治理重点任务推进情况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黑体_GBK" w:hAnsi="方正黑体_GBK" w:eastAsia="方正黑体_GBK" w:cs="方正黑体_GBK"/>
                <w:b/>
                <w:bCs/>
                <w:color w:val="000000"/>
                <w:kern w:val="0"/>
                <w:sz w:val="20"/>
              </w:rPr>
              <w:t>　</w:t>
            </w:r>
          </w:p>
        </w:tc>
        <w:tc>
          <w:tcPr>
            <w:tcW w:w="115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2、网格治理有待提高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（2）“三长”联动机制不够健全，部分“三长”发挥作用不明显。楼栋长、单元长年龄偏大。且多为兼职又没有激励保障机制，责任意识工作能力参差不齐，有时工作时间也不能保证。</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①更换发挥作用不明显的“三长”2名；②在小区每栋楼明显处张贴“三长”公示板；③建立“三长”考核制度，年底评选“最美楼栋长”、“最美单元长”。</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　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提升“三长队伍素质，”加强基层治理工作。</w:t>
            </w:r>
          </w:p>
        </w:tc>
        <w:tc>
          <w:tcPr>
            <w:tcW w:w="11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3、物业治理仍需加强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（3）《吉林省物业管理条例》宣传培训不到位。2021—2022年，存在学习频次少、学习效果不佳的问题。未能及时组织开展《吉林省物业管理条例》宣传活动。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①组织物业企业学习《吉林省物业管理条例》1次；②组织社区工作人员学习《吉林省物业管理条例》1次；③社区联合物业开展《吉林省物业管理条例》宣传活动1次，为居民解读《吉林省物业管理条例》。</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方正黑体_GBK" w:hAnsi="方正黑体_GBK" w:eastAsia="方正黑体_GBK" w:cs="方正黑体_GBK"/>
                <w:b/>
                <w:bCs/>
                <w:kern w:val="0"/>
                <w:sz w:val="20"/>
              </w:rPr>
              <w:t>　</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加强工作人员业务能力。</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2565"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4、基层治理干部队伍建设有待强化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20"/>
              </w:rPr>
            </w:pPr>
            <w:r>
              <w:rPr>
                <w:rFonts w:hint="eastAsia" w:ascii="仿宋_GB2312" w:hAnsi="仿宋_GB2312" w:eastAsia="仿宋_GB2312" w:cs="仿宋_GB2312"/>
                <w:b w:val="0"/>
                <w:bCs w:val="0"/>
                <w:color w:val="000000"/>
                <w:kern w:val="0"/>
                <w:sz w:val="20"/>
                <w:lang w:val="en-US" w:eastAsia="zh-CN"/>
              </w:rPr>
              <w:t>（4）社区工作者专业化水平有待提升，持证社工人数占比少，专业化服务程度低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①动员社区工作者参加社工考试；②通过集中学习与自学的方式组织社区工作者专业知识学习。③开展社工考试经验分享会1次，分享经验，交流学习心得。</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加强工作人员用专业知识指导社区工作的能力。</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）项</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2</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1</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4</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w:t>
            </w:r>
            <w:r>
              <w:rPr>
                <w:rFonts w:hint="eastAsia" w:ascii="方正仿宋_GBK" w:hAnsi="方正仿宋_GBK" w:eastAsia="方正仿宋_GBK" w:cs="方正仿宋_GBK"/>
                <w:b/>
                <w:bCs/>
                <w:kern w:val="0"/>
                <w:sz w:val="16"/>
                <w:szCs w:val="16"/>
                <w:lang w:val="en-US" w:eastAsia="zh-CN"/>
              </w:rPr>
              <w:t xml:space="preserve"> </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18E37D2"/>
    <w:rsid w:val="04133956"/>
    <w:rsid w:val="04294F27"/>
    <w:rsid w:val="04E13A54"/>
    <w:rsid w:val="05A936A5"/>
    <w:rsid w:val="06C44F16"/>
    <w:rsid w:val="09727371"/>
    <w:rsid w:val="0B9C2483"/>
    <w:rsid w:val="0E1979D4"/>
    <w:rsid w:val="12064357"/>
    <w:rsid w:val="13D334A2"/>
    <w:rsid w:val="1C2838BF"/>
    <w:rsid w:val="1F9B51F8"/>
    <w:rsid w:val="21F972B9"/>
    <w:rsid w:val="224F429B"/>
    <w:rsid w:val="26B26BA7"/>
    <w:rsid w:val="2916166F"/>
    <w:rsid w:val="345860C1"/>
    <w:rsid w:val="526E6FAC"/>
    <w:rsid w:val="54A66EE6"/>
    <w:rsid w:val="5CD404B3"/>
    <w:rsid w:val="61354C2B"/>
    <w:rsid w:val="63894210"/>
    <w:rsid w:val="673A3A26"/>
    <w:rsid w:val="6A6652F5"/>
    <w:rsid w:val="6B9B737D"/>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1302</Characters>
  <Lines>0</Lines>
  <Paragraphs>0</Paragraphs>
  <TotalTime>2</TotalTime>
  <ScaleCrop>false</ScaleCrop>
  <LinksUpToDate>false</LinksUpToDate>
  <CharactersWithSpaces>1354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dcterms:modified xsi:type="dcterms:W3CDTF">2023-04-23T03:38:13Z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CEAA70190F9C4EEE8468E0226C342721_13</vt:lpwstr>
  </property>
</Properties>
</file>