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74" w:type="dxa"/>
        <w:jc w:val="center"/>
        <w:tblLayout w:type="fixed"/>
        <w:tblCellMar>
          <w:top w:w="0" w:type="dxa"/>
          <w:left w:w="108" w:type="dxa"/>
          <w:bottom w:w="0" w:type="dxa"/>
          <w:right w:w="108" w:type="dxa"/>
        </w:tblCellMar>
      </w:tblPr>
      <w:tblGrid>
        <w:gridCol w:w="986"/>
        <w:gridCol w:w="1155"/>
        <w:gridCol w:w="3229"/>
        <w:gridCol w:w="4035"/>
        <w:gridCol w:w="675"/>
        <w:gridCol w:w="720"/>
        <w:gridCol w:w="675"/>
        <w:gridCol w:w="900"/>
        <w:gridCol w:w="1170"/>
        <w:gridCol w:w="705"/>
        <w:gridCol w:w="1124"/>
      </w:tblGrid>
      <w:tr>
        <w:tblPrEx>
          <w:tblCellMar>
            <w:top w:w="0" w:type="dxa"/>
            <w:left w:w="108" w:type="dxa"/>
            <w:bottom w:w="0" w:type="dxa"/>
            <w:right w:w="108" w:type="dxa"/>
          </w:tblCellMar>
        </w:tblPrEx>
        <w:trPr>
          <w:trHeight w:val="624" w:hRule="atLeast"/>
          <w:jc w:val="center"/>
        </w:trPr>
        <w:tc>
          <w:tcPr>
            <w:tcW w:w="15374" w:type="dxa"/>
            <w:gridSpan w:val="11"/>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default" w:ascii="方正黑体_GBK" w:hAnsi="宋体" w:eastAsia="方正黑体_GBK" w:cs="Times New Roman"/>
                <w:b/>
                <w:sz w:val="32"/>
                <w:szCs w:val="28"/>
                <w:lang w:val="en-US" w:eastAsia="zh-CN"/>
              </w:rPr>
            </w:pPr>
            <w:r>
              <w:rPr>
                <w:rFonts w:hint="eastAsia" w:ascii="方正黑体_GBK" w:hAnsi="宋体" w:eastAsia="方正黑体_GBK" w:cs="Times New Roman"/>
                <w:b/>
                <w:sz w:val="32"/>
                <w:szCs w:val="28"/>
              </w:rPr>
              <w:t>附件</w:t>
            </w:r>
            <w:r>
              <w:rPr>
                <w:rFonts w:hint="eastAsia" w:ascii="方正黑体_GBK" w:hAnsi="宋体" w:eastAsia="方正黑体_GBK" w:cs="Times New Roman"/>
                <w:b/>
                <w:sz w:val="32"/>
                <w:szCs w:val="28"/>
                <w:lang w:val="en-US" w:eastAsia="zh-CN"/>
              </w:rPr>
              <w:t>2</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宋体" w:eastAsia="方正小标宋_GBK" w:cs="宋体"/>
                <w:b/>
                <w:bCs/>
                <w:kern w:val="0"/>
                <w:sz w:val="44"/>
                <w:szCs w:val="44"/>
                <w:lang w:val="en-US" w:eastAsia="zh-CN"/>
              </w:rPr>
              <w:t>东大社区</w:t>
            </w:r>
            <w:r>
              <w:rPr>
                <w:rFonts w:hint="eastAsia" w:ascii="方正小标宋_GBK" w:hAnsi="宋体" w:eastAsia="方正小标宋_GBK" w:cs="宋体"/>
                <w:b/>
                <w:bCs/>
                <w:kern w:val="0"/>
                <w:sz w:val="44"/>
                <w:szCs w:val="44"/>
              </w:rPr>
              <w:t>巡察反馈意见整改落实情况台账</w:t>
            </w:r>
          </w:p>
          <w:p>
            <w:pPr>
              <w:keepNext w:val="0"/>
              <w:keepLines w:val="0"/>
              <w:pageBreakBefore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方正楷体_GBK" w:hAnsi="方正楷体_GBK" w:eastAsia="方正楷体_GBK" w:cs="方正楷体_GBK"/>
                <w:b/>
                <w:bCs/>
                <w:sz w:val="24"/>
                <w:szCs w:val="24"/>
                <w:lang w:val="en-US" w:eastAsia="zh-CN"/>
              </w:rPr>
              <w:t xml:space="preserve">被巡察单位（盖章）：  </w:t>
            </w:r>
            <w:r>
              <w:rPr>
                <w:rFonts w:hint="eastAsia"/>
                <w:lang w:val="en-US" w:eastAsia="zh-CN"/>
              </w:rPr>
              <w:t xml:space="preserve">                                  </w:t>
            </w:r>
            <w:r>
              <w:rPr>
                <w:rFonts w:hint="eastAsia" w:ascii="方正楷体_GBK" w:hAnsi="方正楷体_GBK" w:eastAsia="方正楷体_GBK" w:cs="方正楷体_GBK"/>
                <w:b/>
                <w:bCs/>
                <w:sz w:val="24"/>
                <w:szCs w:val="24"/>
                <w:lang w:val="en-US" w:eastAsia="zh-CN"/>
              </w:rPr>
              <w:t xml:space="preserve"> 纪检监察室（盖章）：</w:t>
            </w:r>
          </w:p>
        </w:tc>
      </w:tr>
      <w:tr>
        <w:tblPrEx>
          <w:tblCellMar>
            <w:top w:w="0" w:type="dxa"/>
            <w:left w:w="108" w:type="dxa"/>
            <w:bottom w:w="0" w:type="dxa"/>
            <w:right w:w="108" w:type="dxa"/>
          </w:tblCellMar>
        </w:tblPrEx>
        <w:trPr>
          <w:trHeight w:val="456" w:hRule="atLeast"/>
          <w:jc w:val="center"/>
        </w:trPr>
        <w:tc>
          <w:tcPr>
            <w:tcW w:w="5370"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问题清单</w:t>
            </w:r>
          </w:p>
        </w:tc>
        <w:tc>
          <w:tcPr>
            <w:tcW w:w="4035"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整改情况</w:t>
            </w:r>
          </w:p>
        </w:tc>
        <w:tc>
          <w:tcPr>
            <w:tcW w:w="29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成效清单</w:t>
            </w:r>
          </w:p>
        </w:tc>
        <w:tc>
          <w:tcPr>
            <w:tcW w:w="29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进度判定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楷体_GBK" w:hAnsi="方正楷体_GBK" w:eastAsia="方正楷体_GBK" w:cs="方正楷体_GBK"/>
                <w:b/>
                <w:bCs/>
                <w:kern w:val="0"/>
                <w:sz w:val="16"/>
                <w:szCs w:val="16"/>
              </w:rPr>
            </w:pPr>
            <w:r>
              <w:rPr>
                <w:rFonts w:hint="eastAsia" w:ascii="方正楷体_GBK" w:hAnsi="方正楷体_GBK" w:eastAsia="方正楷体_GBK" w:cs="方正楷体_GBK"/>
                <w:b/>
                <w:bCs/>
                <w:kern w:val="0"/>
                <w:sz w:val="16"/>
                <w:szCs w:val="16"/>
              </w:rPr>
              <w:t>（已完成/基本完成/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楷体_GBK" w:hAnsi="方正楷体_GBK" w:eastAsia="方正楷体_GBK" w:cs="方正楷体_GBK"/>
                <w:b/>
                <w:bCs/>
                <w:kern w:val="0"/>
                <w:sz w:val="16"/>
                <w:szCs w:val="16"/>
              </w:rPr>
              <w:t>未完成）</w:t>
            </w:r>
          </w:p>
        </w:tc>
      </w:tr>
      <w:tr>
        <w:tblPrEx>
          <w:tblCellMar>
            <w:top w:w="0" w:type="dxa"/>
            <w:left w:w="108" w:type="dxa"/>
            <w:bottom w:w="0" w:type="dxa"/>
            <w:right w:w="108" w:type="dxa"/>
          </w:tblCellMar>
        </w:tblPrEx>
        <w:trPr>
          <w:trHeight w:val="975" w:hRule="atLeast"/>
          <w:jc w:val="center"/>
        </w:trPr>
        <w:tc>
          <w:tcPr>
            <w:tcW w:w="9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问题方面</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问题事项</w:t>
            </w:r>
            <w:bookmarkStart w:id="0" w:name="_GoBack"/>
            <w:bookmarkEnd w:id="0"/>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具体问题</w:t>
            </w:r>
          </w:p>
        </w:tc>
        <w:tc>
          <w:tcPr>
            <w:tcW w:w="403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完善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制度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挽回</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经济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损失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4"/>
                <w:szCs w:val="14"/>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问责</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具体</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成效</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被巡察单位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自我评估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派驻派出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纪检监察室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r>
      <w:tr>
        <w:tblPrEx>
          <w:tblCellMar>
            <w:top w:w="0" w:type="dxa"/>
            <w:left w:w="108" w:type="dxa"/>
            <w:bottom w:w="0" w:type="dxa"/>
            <w:right w:w="108" w:type="dxa"/>
          </w:tblCellMar>
        </w:tblPrEx>
        <w:trPr>
          <w:trHeight w:val="390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rPr>
              <w:t>（一）看落实基层治理政治责任情况</w:t>
            </w:r>
          </w:p>
        </w:tc>
        <w:tc>
          <w:tcPr>
            <w:tcW w:w="1155"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1.在学习贯彻习近平总书记关于加强基层治理重要讲话和重要指示批示精神中，存在学习贯彻“两脱节”问题</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rPr>
            </w:pPr>
            <w:r>
              <w:rPr>
                <w:rFonts w:hint="eastAsia" w:ascii="仿宋_GB2312" w:hAnsi="仿宋_GB2312" w:eastAsia="仿宋_GB2312" w:cs="仿宋_GB2312"/>
                <w:b w:val="0"/>
                <w:bCs w:val="0"/>
                <w:color w:val="000000"/>
                <w:kern w:val="0"/>
                <w:sz w:val="20"/>
                <w:lang w:val="en-US" w:eastAsia="zh-CN"/>
              </w:rPr>
              <w:t>（1）缺乏对习近平总书记关于加强基层治理重要讲话和重要指示批示精神的系统学习和深刻理解，不能结合自身实际较好的用理论指导实践。</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rPr>
              <w:t>①</w:t>
            </w:r>
            <w:r>
              <w:rPr>
                <w:rFonts w:hint="eastAsia" w:ascii="仿宋_GB2312" w:hAnsi="仿宋_GB2312" w:eastAsia="仿宋_GB2312" w:cs="仿宋_GB2312"/>
                <w:b w:val="0"/>
                <w:bCs w:val="0"/>
                <w:color w:val="000000"/>
                <w:kern w:val="0"/>
                <w:sz w:val="20"/>
                <w:lang w:val="en-US" w:eastAsia="zh-CN"/>
              </w:rPr>
              <w:t>组织党委班子成员和社区党员集体学习习近平总书记关于加强基层治理重要讲话和重要指示批示精神1次</w:t>
            </w:r>
            <w:r>
              <w:rPr>
                <w:rFonts w:hint="eastAsia" w:ascii="仿宋_GB2312" w:hAnsi="仿宋_GB2312" w:eastAsia="仿宋_GB2312" w:cs="仿宋_GB2312"/>
                <w:b w:val="0"/>
                <w:bCs w:val="0"/>
                <w:color w:val="000000"/>
                <w:kern w:val="0"/>
                <w:sz w:val="20"/>
              </w:rPr>
              <w:t>；②</w:t>
            </w:r>
            <w:r>
              <w:rPr>
                <w:rFonts w:hint="eastAsia" w:ascii="仿宋_GB2312" w:hAnsi="仿宋_GB2312" w:eastAsia="仿宋_GB2312" w:cs="仿宋_GB2312"/>
                <w:b w:val="0"/>
                <w:bCs w:val="0"/>
                <w:color w:val="000000"/>
                <w:kern w:val="0"/>
                <w:sz w:val="20"/>
                <w:lang w:val="en-US" w:eastAsia="zh-CN"/>
              </w:rPr>
              <w:t>在辖区内发放重要讲话和精神等应知应会基本知识1次</w:t>
            </w:r>
            <w:r>
              <w:rPr>
                <w:rFonts w:hint="eastAsia" w:ascii="仿宋_GB2312" w:hAnsi="仿宋_GB2312" w:eastAsia="仿宋_GB2312" w:cs="仿宋_GB2312"/>
                <w:b w:val="0"/>
                <w:bCs w:val="0"/>
                <w:color w:val="000000"/>
                <w:kern w:val="0"/>
                <w:sz w:val="20"/>
              </w:rPr>
              <w:t>；③加强</w:t>
            </w:r>
            <w:r>
              <w:rPr>
                <w:rFonts w:hint="eastAsia" w:ascii="仿宋_GB2312" w:hAnsi="仿宋_GB2312" w:eastAsia="仿宋_GB2312" w:cs="仿宋_GB2312"/>
                <w:b w:val="0"/>
                <w:bCs w:val="0"/>
                <w:color w:val="000000"/>
                <w:kern w:val="0"/>
                <w:sz w:val="20"/>
                <w:lang w:val="en-US" w:eastAsia="zh-CN"/>
              </w:rPr>
              <w:t>社区党员学习</w:t>
            </w:r>
            <w:r>
              <w:rPr>
                <w:rFonts w:hint="eastAsia" w:ascii="仿宋_GB2312" w:hAnsi="仿宋_GB2312" w:eastAsia="仿宋_GB2312" w:cs="仿宋_GB2312"/>
                <w:b w:val="0"/>
                <w:bCs w:val="0"/>
                <w:color w:val="000000"/>
                <w:kern w:val="0"/>
                <w:sz w:val="20"/>
              </w:rPr>
              <w:t>“四个意识”、坚定“四个自信”</w:t>
            </w:r>
            <w:r>
              <w:rPr>
                <w:rFonts w:hint="eastAsia" w:ascii="仿宋_GB2312" w:hAnsi="仿宋_GB2312" w:eastAsia="仿宋_GB2312" w:cs="仿宋_GB2312"/>
                <w:b w:val="0"/>
                <w:bCs w:val="0"/>
                <w:color w:val="000000"/>
                <w:kern w:val="0"/>
                <w:sz w:val="20"/>
                <w:lang w:val="en-US" w:eastAsia="zh-CN"/>
              </w:rPr>
              <w:t>内容培训1次</w:t>
            </w:r>
            <w:r>
              <w:rPr>
                <w:rFonts w:hint="eastAsia" w:ascii="仿宋_GB2312" w:hAnsi="仿宋_GB2312" w:eastAsia="仿宋_GB2312" w:cs="仿宋_GB2312"/>
                <w:b w:val="0"/>
                <w:bCs w:val="0"/>
                <w:color w:val="000000"/>
                <w:kern w:val="0"/>
                <w:sz w:val="20"/>
              </w:rPr>
              <w:t>，</w:t>
            </w:r>
            <w:r>
              <w:rPr>
                <w:rFonts w:hint="eastAsia" w:ascii="仿宋_GB2312" w:hAnsi="仿宋_GB2312" w:eastAsia="仿宋_GB2312" w:cs="仿宋_GB2312"/>
                <w:b w:val="0"/>
                <w:bCs w:val="0"/>
                <w:color w:val="000000"/>
                <w:kern w:val="0"/>
                <w:sz w:val="20"/>
                <w:lang w:val="en-US" w:eastAsia="zh-CN"/>
              </w:rPr>
              <w:t>组织社区党员学习习近平总书记关于加强基层治理重要讲话和重要指示批示精神测试1次。</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进一步提升了社区党委对基层治理工作的组织力、领导力。</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3270" w:hRule="atLeast"/>
          <w:jc w:val="center"/>
        </w:trPr>
        <w:tc>
          <w:tcPr>
            <w:tcW w:w="986"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（三）　看基层治理重点任务推进情况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方正黑体_GBK" w:hAnsi="方正黑体_GBK" w:eastAsia="方正黑体_GBK" w:cs="方正黑体_GBK"/>
                <w:b/>
                <w:bCs/>
                <w:color w:val="000000"/>
                <w:kern w:val="0"/>
                <w:sz w:val="20"/>
              </w:rPr>
              <w:t>　</w:t>
            </w:r>
          </w:p>
        </w:tc>
        <w:tc>
          <w:tcPr>
            <w:tcW w:w="1155"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2、四个平台”建设滞后，综合指挥体系尚不完善</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（2）“三长”联动机制不够健全，部分“三长”发挥作用不明显。楼栋长、单元长年龄偏大。且多为兼职又没有激励保障机制，责任意识工作能力参差不齐，有时工作时间也不能保证</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rPr>
              <w:t>①</w:t>
            </w:r>
            <w:r>
              <w:rPr>
                <w:rFonts w:hint="eastAsia" w:ascii="仿宋_GB2312" w:hAnsi="仿宋_GB2312" w:eastAsia="仿宋_GB2312" w:cs="仿宋_GB2312"/>
                <w:b w:val="0"/>
                <w:bCs w:val="0"/>
                <w:color w:val="000000"/>
                <w:kern w:val="0"/>
                <w:sz w:val="20"/>
                <w:lang w:val="en-US" w:eastAsia="zh-CN"/>
              </w:rPr>
              <w:t>社区拟定了“三长”联动机制</w:t>
            </w:r>
            <w:r>
              <w:rPr>
                <w:rFonts w:hint="eastAsia" w:ascii="仿宋_GB2312" w:hAnsi="仿宋_GB2312" w:eastAsia="仿宋_GB2312" w:cs="仿宋_GB2312"/>
                <w:b w:val="0"/>
                <w:bCs w:val="0"/>
                <w:color w:val="000000"/>
                <w:kern w:val="0"/>
                <w:sz w:val="20"/>
              </w:rPr>
              <w:t>；②</w:t>
            </w:r>
            <w:r>
              <w:rPr>
                <w:rFonts w:hint="eastAsia" w:ascii="仿宋_GB2312" w:hAnsi="仿宋_GB2312" w:eastAsia="仿宋_GB2312" w:cs="仿宋_GB2312"/>
                <w:b w:val="0"/>
                <w:bCs w:val="0"/>
                <w:color w:val="000000"/>
                <w:kern w:val="0"/>
                <w:sz w:val="20"/>
                <w:lang w:val="en-US" w:eastAsia="zh-CN"/>
              </w:rPr>
              <w:t>根据6个网格实际情况，选优配强人员队伍，替换“三长”11人</w:t>
            </w:r>
            <w:r>
              <w:rPr>
                <w:rFonts w:hint="eastAsia" w:ascii="仿宋_GB2312" w:hAnsi="仿宋_GB2312" w:eastAsia="仿宋_GB2312" w:cs="仿宋_GB2312"/>
                <w:b w:val="0"/>
                <w:bCs w:val="0"/>
                <w:color w:val="000000"/>
                <w:kern w:val="0"/>
                <w:sz w:val="20"/>
              </w:rPr>
              <w:t>；③</w:t>
            </w:r>
            <w:r>
              <w:rPr>
                <w:rFonts w:hint="eastAsia" w:ascii="仿宋_GB2312" w:hAnsi="仿宋_GB2312" w:eastAsia="仿宋_GB2312" w:cs="仿宋_GB2312"/>
                <w:b w:val="0"/>
                <w:bCs w:val="0"/>
                <w:color w:val="000000"/>
                <w:kern w:val="0"/>
                <w:sz w:val="20"/>
                <w:lang w:val="en-US" w:eastAsia="zh-CN"/>
              </w:rPr>
              <w:t>建立了以网格长、楼栋长、单元长、居民为主体的塔群式工作微信群6个。</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　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　</w:t>
            </w:r>
          </w:p>
        </w:tc>
        <w:tc>
          <w:tcPr>
            <w:tcW w:w="67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　</w:t>
            </w: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bidi="ar-SA"/>
              </w:rPr>
            </w:pPr>
            <w:r>
              <w:rPr>
                <w:rFonts w:hint="eastAsia" w:ascii="仿宋_GB2312" w:hAnsi="仿宋_GB2312" w:eastAsia="仿宋_GB2312" w:cs="仿宋_GB2312"/>
                <w:b w:val="0"/>
                <w:bCs w:val="0"/>
                <w:color w:val="000000"/>
                <w:kern w:val="0"/>
                <w:sz w:val="20"/>
                <w:lang w:val="en-US" w:eastAsia="zh-CN"/>
              </w:rPr>
              <w:t>“三长”联动制度进一步健全，推进基层治理重点任务全面落实。</w:t>
            </w:r>
          </w:p>
        </w:tc>
        <w:tc>
          <w:tcPr>
            <w:tcW w:w="11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90"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color w:val="000000"/>
                <w:kern w:val="0"/>
                <w:sz w:val="20"/>
              </w:rPr>
            </w:pPr>
          </w:p>
        </w:tc>
        <w:tc>
          <w:tcPr>
            <w:tcW w:w="11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3、物业治理仍需加强</w:t>
            </w:r>
          </w:p>
        </w:tc>
        <w:tc>
          <w:tcPr>
            <w:tcW w:w="32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（3）《吉林省物业管理条例》宣传培训不到位。2021—2022年，存在学习频次少、学习效果不佳的问题。未能及时组织开展《吉林省物业管理条例》宣传活动。</w:t>
            </w:r>
          </w:p>
        </w:tc>
        <w:tc>
          <w:tcPr>
            <w:tcW w:w="4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rPr>
              <w:t>①</w:t>
            </w:r>
            <w:r>
              <w:rPr>
                <w:rFonts w:hint="eastAsia" w:ascii="仿宋_GB2312" w:hAnsi="仿宋_GB2312" w:eastAsia="仿宋_GB2312" w:cs="仿宋_GB2312"/>
                <w:b w:val="0"/>
                <w:bCs w:val="0"/>
                <w:color w:val="000000"/>
                <w:kern w:val="0"/>
                <w:sz w:val="20"/>
                <w:lang w:val="en-US" w:eastAsia="zh-CN"/>
              </w:rPr>
              <w:t>社区组织辖区物业学习《吉林省物业管理条例》1次</w:t>
            </w:r>
            <w:r>
              <w:rPr>
                <w:rFonts w:hint="eastAsia" w:ascii="仿宋_GB2312" w:hAnsi="仿宋_GB2312" w:eastAsia="仿宋_GB2312" w:cs="仿宋_GB2312"/>
                <w:b w:val="0"/>
                <w:bCs w:val="0"/>
                <w:color w:val="000000"/>
                <w:kern w:val="0"/>
                <w:sz w:val="20"/>
              </w:rPr>
              <w:t>；②</w:t>
            </w:r>
            <w:r>
              <w:rPr>
                <w:rFonts w:hint="eastAsia" w:ascii="仿宋_GB2312" w:hAnsi="仿宋_GB2312" w:eastAsia="仿宋_GB2312" w:cs="仿宋_GB2312"/>
                <w:b w:val="0"/>
                <w:bCs w:val="0"/>
                <w:color w:val="000000"/>
                <w:kern w:val="0"/>
                <w:sz w:val="20"/>
                <w:lang w:val="en-US" w:eastAsia="zh-CN"/>
              </w:rPr>
              <w:t>建立党建引领下的社区居委会、业委会、小区物业等“多方共治”联动机制</w:t>
            </w:r>
            <w:r>
              <w:rPr>
                <w:rFonts w:hint="eastAsia" w:ascii="仿宋_GB2312" w:hAnsi="仿宋_GB2312" w:eastAsia="仿宋_GB2312" w:cs="仿宋_GB2312"/>
                <w:b w:val="0"/>
                <w:bCs w:val="0"/>
                <w:color w:val="000000"/>
                <w:kern w:val="0"/>
                <w:sz w:val="20"/>
              </w:rPr>
              <w:t>；③</w:t>
            </w:r>
            <w:r>
              <w:rPr>
                <w:rFonts w:hint="eastAsia" w:ascii="仿宋_GB2312" w:hAnsi="仿宋_GB2312" w:eastAsia="仿宋_GB2312" w:cs="仿宋_GB2312"/>
                <w:b w:val="0"/>
                <w:bCs w:val="0"/>
                <w:color w:val="000000"/>
                <w:kern w:val="0"/>
                <w:sz w:val="20"/>
                <w:lang w:val="en-US" w:eastAsia="zh-CN"/>
              </w:rPr>
              <w:t>网格长通过辖区宣传栏、微信群等形式开展《吉林省物业管理条例》宣传1次。</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lang w:val="en-US" w:eastAsia="zh-CN"/>
              </w:rPr>
            </w:pPr>
            <w:r>
              <w:rPr>
                <w:rFonts w:hint="eastAsia" w:ascii="仿宋_GB2312" w:hAnsi="仿宋_GB2312" w:eastAsia="仿宋_GB2312" w:cs="仿宋_GB2312"/>
                <w:b w:val="0"/>
                <w:bCs w:val="0"/>
                <w:color w:val="000000"/>
                <w:kern w:val="0"/>
                <w:sz w:val="20"/>
                <w:lang w:val="en-US" w:eastAsia="zh-CN"/>
              </w:rPr>
              <w:t>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“多方共治”相关制度进一步健全，更好地发挥物业管理作用。</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240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（五）看基层治理坚强保障情况</w:t>
            </w:r>
          </w:p>
        </w:tc>
        <w:tc>
          <w:tcPr>
            <w:tcW w:w="115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5、基层治理干部队伍建设有待强化</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（4）社区工作者专业化水平有待提升，持证社工人数占比少，专业化服务程度低。</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rPr>
              <w:t>①</w:t>
            </w:r>
            <w:r>
              <w:rPr>
                <w:rFonts w:hint="eastAsia" w:ascii="仿宋_GB2312" w:hAnsi="仿宋_GB2312" w:eastAsia="仿宋_GB2312" w:cs="仿宋_GB2312"/>
                <w:b w:val="0"/>
                <w:bCs w:val="0"/>
                <w:color w:val="000000"/>
                <w:kern w:val="0"/>
                <w:sz w:val="20"/>
                <w:lang w:val="en-US" w:eastAsia="zh-CN"/>
              </w:rPr>
              <w:t>社区组织社区工作者利用中国社工、吉青家园等平台进行学习1次</w:t>
            </w:r>
            <w:r>
              <w:rPr>
                <w:rFonts w:hint="eastAsia" w:ascii="仿宋_GB2312" w:hAnsi="仿宋_GB2312" w:eastAsia="仿宋_GB2312" w:cs="仿宋_GB2312"/>
                <w:b w:val="0"/>
                <w:bCs w:val="0"/>
                <w:color w:val="000000"/>
                <w:kern w:val="0"/>
                <w:sz w:val="20"/>
              </w:rPr>
              <w:t>；②</w:t>
            </w:r>
            <w:r>
              <w:rPr>
                <w:rFonts w:hint="eastAsia" w:ascii="仿宋_GB2312" w:hAnsi="仿宋_GB2312" w:eastAsia="仿宋_GB2312" w:cs="仿宋_GB2312"/>
                <w:b w:val="0"/>
                <w:bCs w:val="0"/>
                <w:color w:val="000000"/>
                <w:kern w:val="0"/>
                <w:sz w:val="20"/>
                <w:lang w:val="en-US" w:eastAsia="zh-CN"/>
              </w:rPr>
              <w:t>组织报名社会工作师的社区工作者考前培训1次</w:t>
            </w:r>
            <w:r>
              <w:rPr>
                <w:rFonts w:hint="eastAsia" w:ascii="仿宋_GB2312" w:hAnsi="仿宋_GB2312" w:eastAsia="仿宋_GB2312" w:cs="仿宋_GB2312"/>
                <w:b w:val="0"/>
                <w:bCs w:val="0"/>
                <w:color w:val="000000"/>
                <w:kern w:val="0"/>
                <w:sz w:val="20"/>
              </w:rPr>
              <w:t>；③</w:t>
            </w:r>
            <w:r>
              <w:rPr>
                <w:rFonts w:hint="eastAsia" w:ascii="仿宋_GB2312" w:hAnsi="仿宋_GB2312" w:eastAsia="仿宋_GB2312" w:cs="仿宋_GB2312"/>
                <w:b w:val="0"/>
                <w:bCs w:val="0"/>
                <w:color w:val="000000"/>
                <w:kern w:val="0"/>
                <w:sz w:val="20"/>
                <w:lang w:val="en-US" w:eastAsia="zh-CN"/>
              </w:rPr>
              <w:t>组织有社工证的社会工作者在社区进行经验分享交流1次。</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bidi="ar-SA"/>
              </w:rPr>
            </w:pPr>
            <w:r>
              <w:rPr>
                <w:rFonts w:hint="eastAsia" w:ascii="仿宋_GB2312" w:hAnsi="仿宋_GB2312" w:eastAsia="仿宋_GB2312" w:cs="仿宋_GB2312"/>
                <w:b w:val="0"/>
                <w:bCs w:val="0"/>
                <w:color w:val="000000"/>
                <w:kern w:val="0"/>
                <w:sz w:val="20"/>
                <w:lang w:val="en-US" w:eastAsia="zh-CN"/>
              </w:rPr>
              <w:t>更好的加强了社区队伍作风建设。</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803"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color w:val="000000"/>
                <w:kern w:val="0"/>
                <w:sz w:val="20"/>
              </w:rPr>
            </w:pPr>
            <w:r>
              <w:rPr>
                <w:rFonts w:hint="eastAsia" w:ascii="方正黑体_GBK" w:hAnsi="方正黑体_GBK" w:eastAsia="方正黑体_GBK" w:cs="方正黑体_GBK"/>
                <w:b/>
                <w:bCs/>
                <w:color w:val="000000"/>
                <w:kern w:val="0"/>
                <w:sz w:val="20"/>
              </w:rPr>
              <w:t>总计</w:t>
            </w:r>
          </w:p>
        </w:tc>
        <w:tc>
          <w:tcPr>
            <w:tcW w:w="115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4</w:t>
            </w:r>
            <w:r>
              <w:rPr>
                <w:rFonts w:hint="eastAsia" w:ascii="方正仿宋_GBK" w:hAnsi="方正仿宋_GBK" w:eastAsia="方正仿宋_GBK" w:cs="方正仿宋_GBK"/>
                <w:b/>
                <w:bCs/>
                <w:color w:val="000000"/>
                <w:kern w:val="0"/>
                <w:sz w:val="16"/>
                <w:szCs w:val="16"/>
              </w:rPr>
              <w:t>）项</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4</w:t>
            </w:r>
            <w:r>
              <w:rPr>
                <w:rFonts w:hint="eastAsia" w:ascii="方正仿宋_GBK" w:hAnsi="方正仿宋_GBK" w:eastAsia="方正仿宋_GBK" w:cs="方正仿宋_GBK"/>
                <w:b/>
                <w:bCs/>
                <w:color w:val="000000"/>
                <w:kern w:val="0"/>
                <w:sz w:val="16"/>
                <w:szCs w:val="16"/>
              </w:rPr>
              <w:t>）个</w:t>
            </w:r>
          </w:p>
        </w:tc>
        <w:tc>
          <w:tcPr>
            <w:tcW w:w="4035" w:type="dxa"/>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第一个方面问题，已完成（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第三个方面问题，已完成（</w:t>
            </w:r>
            <w:r>
              <w:rPr>
                <w:rFonts w:hint="eastAsia" w:ascii="方正仿宋_GBK" w:hAnsi="方正仿宋_GBK" w:eastAsia="方正仿宋_GBK" w:cs="方正仿宋_GBK"/>
                <w:b/>
                <w:bCs/>
                <w:kern w:val="0"/>
                <w:sz w:val="16"/>
                <w:szCs w:val="16"/>
                <w:lang w:val="en-US" w:eastAsia="zh-CN"/>
              </w:rPr>
              <w:t>2</w:t>
            </w:r>
            <w:r>
              <w:rPr>
                <w:rFonts w:hint="eastAsia" w:ascii="方正仿宋_GBK" w:hAnsi="方正仿宋_GBK" w:eastAsia="方正仿宋_GBK" w:cs="方正仿宋_GBK"/>
                <w:b/>
                <w:bCs/>
                <w:kern w:val="0"/>
                <w:sz w:val="16"/>
                <w:szCs w:val="16"/>
              </w:rPr>
              <w:t>）个、基本完成（）个、未完成（）个</w:t>
            </w:r>
          </w:p>
          <w:p>
            <w:pPr>
              <w:rPr>
                <w:rFonts w:hint="eastAsia"/>
              </w:rPr>
            </w:pPr>
            <w:r>
              <w:rPr>
                <w:rFonts w:hint="eastAsia" w:ascii="方正仿宋_GBK" w:hAnsi="方正仿宋_GBK" w:eastAsia="方正仿宋_GBK" w:cs="方正仿宋_GBK"/>
                <w:b/>
                <w:bCs/>
                <w:kern w:val="0"/>
                <w:sz w:val="16"/>
                <w:szCs w:val="16"/>
              </w:rPr>
              <w:t>第</w:t>
            </w:r>
            <w:r>
              <w:rPr>
                <w:rFonts w:hint="eastAsia" w:ascii="方正仿宋_GBK" w:hAnsi="方正仿宋_GBK" w:eastAsia="方正仿宋_GBK" w:cs="方正仿宋_GBK"/>
                <w:b/>
                <w:bCs/>
                <w:kern w:val="0"/>
                <w:sz w:val="16"/>
                <w:szCs w:val="16"/>
                <w:lang w:val="en-US" w:eastAsia="zh-CN"/>
              </w:rPr>
              <w:t>五</w:t>
            </w:r>
            <w:r>
              <w:rPr>
                <w:rFonts w:hint="eastAsia" w:ascii="方正仿宋_GBK" w:hAnsi="方正仿宋_GBK" w:eastAsia="方正仿宋_GBK" w:cs="方正仿宋_GBK"/>
                <w:b/>
                <w:bCs/>
                <w:kern w:val="0"/>
                <w:sz w:val="16"/>
                <w:szCs w:val="16"/>
              </w:rPr>
              <w:t>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tc>
        <w:tc>
          <w:tcPr>
            <w:tcW w:w="67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2</w:t>
            </w:r>
            <w:r>
              <w:rPr>
                <w:rFonts w:hint="eastAsia" w:ascii="方正仿宋_GBK" w:hAnsi="方正仿宋_GBK" w:eastAsia="方正仿宋_GBK" w:cs="方正仿宋_GBK"/>
                <w:b/>
                <w:bCs/>
                <w:color w:val="000000"/>
                <w:kern w:val="0"/>
                <w:sz w:val="16"/>
                <w:szCs w:val="16"/>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人</w:t>
            </w: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　</w:t>
            </w:r>
          </w:p>
        </w:tc>
        <w:tc>
          <w:tcPr>
            <w:tcW w:w="299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已完成（</w:t>
            </w:r>
            <w:r>
              <w:rPr>
                <w:rFonts w:hint="eastAsia" w:ascii="方正仿宋_GBK" w:hAnsi="方正仿宋_GBK" w:eastAsia="方正仿宋_GBK" w:cs="方正仿宋_GBK"/>
                <w:b/>
                <w:bCs/>
                <w:kern w:val="0"/>
                <w:sz w:val="16"/>
                <w:szCs w:val="16"/>
                <w:lang w:val="en-US" w:eastAsia="zh-CN"/>
              </w:rPr>
              <w:t>4</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基本完成（）个、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未完成（）个</w:t>
            </w:r>
          </w:p>
        </w:tc>
      </w:tr>
      <w:tr>
        <w:tblPrEx>
          <w:tblCellMar>
            <w:top w:w="0" w:type="dxa"/>
            <w:left w:w="108" w:type="dxa"/>
            <w:bottom w:w="0" w:type="dxa"/>
            <w:right w:w="108" w:type="dxa"/>
          </w:tblCellMar>
        </w:tblPrEx>
        <w:trPr>
          <w:trHeight w:val="126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黑体_GBK" w:hAnsi="方正黑体_GBK" w:eastAsia="方正黑体_GBK" w:cs="方正黑体_GBK"/>
                <w:b/>
                <w:bCs/>
                <w:color w:val="000000"/>
                <w:kern w:val="0"/>
                <w:sz w:val="22"/>
                <w:szCs w:val="22"/>
              </w:rPr>
            </w:pPr>
            <w:r>
              <w:rPr>
                <w:rFonts w:hint="eastAsia" w:ascii="方正黑体_GBK" w:hAnsi="方正黑体_GBK" w:eastAsia="方正黑体_GBK" w:cs="方正黑体_GBK"/>
                <w:b/>
                <w:bCs/>
                <w:color w:val="000000"/>
                <w:kern w:val="0"/>
                <w:sz w:val="22"/>
                <w:szCs w:val="22"/>
              </w:rPr>
              <w:t>填表</w:t>
            </w:r>
          </w:p>
          <w:p>
            <w:pPr>
              <w:widowControl/>
              <w:jc w:val="center"/>
              <w:rPr>
                <w:rFonts w:ascii="黑体" w:hAnsi="宋体" w:eastAsia="黑体" w:cs="宋体"/>
                <w:b/>
                <w:bCs/>
                <w:color w:val="000000"/>
                <w:kern w:val="0"/>
                <w:sz w:val="22"/>
                <w:szCs w:val="22"/>
              </w:rPr>
            </w:pPr>
            <w:r>
              <w:rPr>
                <w:rFonts w:hint="eastAsia" w:ascii="方正黑体_GBK" w:hAnsi="方正黑体_GBK" w:eastAsia="方正黑体_GBK" w:cs="方正黑体_GBK"/>
                <w:b/>
                <w:bCs/>
                <w:color w:val="000000"/>
                <w:kern w:val="0"/>
                <w:sz w:val="22"/>
                <w:szCs w:val="22"/>
              </w:rPr>
              <w:t>说明</w:t>
            </w:r>
          </w:p>
        </w:tc>
        <w:tc>
          <w:tcPr>
            <w:tcW w:w="14388" w:type="dxa"/>
            <w:gridSpan w:val="10"/>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1.所填内容应与整改情况报告内容对应一致。</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2.成效清单界定按照正文有关要求把握并依据正文统计，应填写数量和具体内容，如：×个（具体内容）。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 xml:space="preserve">3.具体成效指除完善制度、挽回损失、问责外，其他整改比较突出的成效体现。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4.统一使用E</w:t>
            </w:r>
            <w:r>
              <w:rPr>
                <w:rFonts w:hint="eastAsia" w:ascii="方正仿宋_GBK" w:hAnsi="方正仿宋_GBK" w:eastAsia="方正仿宋_GBK" w:cs="方正仿宋_GBK"/>
                <w:b/>
                <w:bCs/>
                <w:color w:val="000000"/>
                <w:kern w:val="0"/>
                <w:sz w:val="16"/>
                <w:szCs w:val="16"/>
                <w:lang w:val="en-US" w:eastAsia="zh-CN"/>
              </w:rPr>
              <w:t>x</w:t>
            </w:r>
            <w:r>
              <w:rPr>
                <w:rFonts w:hint="eastAsia" w:ascii="方正仿宋_GBK" w:hAnsi="方正仿宋_GBK" w:eastAsia="方正仿宋_GBK" w:cs="方正仿宋_GBK"/>
                <w:b/>
                <w:bCs/>
                <w:color w:val="000000"/>
                <w:kern w:val="0"/>
                <w:sz w:val="16"/>
                <w:szCs w:val="16"/>
              </w:rPr>
              <w:t>cel表格格式制表。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黑体" w:hAnsi="宋体" w:eastAsia="方正仿宋_GBK" w:cs="宋体"/>
                <w:b/>
                <w:bCs/>
                <w:color w:val="000000"/>
                <w:kern w:val="0"/>
                <w:sz w:val="24"/>
                <w:szCs w:val="24"/>
                <w:lang w:val="en-US" w:eastAsia="zh-CN"/>
              </w:rPr>
            </w:pPr>
            <w:r>
              <w:rPr>
                <w:rFonts w:hint="eastAsia" w:ascii="方正仿宋_GBK" w:hAnsi="方正仿宋_GBK" w:eastAsia="方正仿宋_GBK" w:cs="方正仿宋_GBK"/>
                <w:b/>
                <w:bCs/>
                <w:color w:val="000000"/>
                <w:kern w:val="0"/>
                <w:sz w:val="16"/>
                <w:szCs w:val="16"/>
                <w:lang w:val="en-US" w:eastAsia="zh-CN"/>
              </w:rPr>
              <w:t>5.巡察反馈意见整改落实情况台账报区纪委监委前，各被巡察单位需征求派驻派出纪检监察机构派出意见，由派驻纪检监察机构填写台账内“整改进度判定”情况。</w:t>
            </w:r>
          </w:p>
        </w:tc>
      </w:tr>
      <w:tr>
        <w:tblPrEx>
          <w:tblCellMar>
            <w:top w:w="0" w:type="dxa"/>
            <w:left w:w="108" w:type="dxa"/>
            <w:bottom w:w="0" w:type="dxa"/>
            <w:right w:w="108" w:type="dxa"/>
          </w:tblCellMar>
        </w:tblPrEx>
        <w:trPr>
          <w:trHeight w:val="360" w:hRule="atLeast"/>
          <w:jc w:val="center"/>
        </w:trPr>
        <w:tc>
          <w:tcPr>
            <w:tcW w:w="15374" w:type="dxa"/>
            <w:gridSpan w:val="11"/>
            <w:tcBorders>
              <w:top w:val="nil"/>
              <w:left w:val="nil"/>
              <w:bottom w:val="nil"/>
              <w:right w:val="nil"/>
            </w:tcBorders>
            <w:noWrap/>
            <w:vAlign w:val="center"/>
          </w:tcPr>
          <w:p>
            <w:pPr>
              <w:widowControl/>
              <w:jc w:val="left"/>
              <w:rPr>
                <w:rFonts w:ascii="宋体" w:hAnsi="宋体" w:cs="宋体"/>
                <w:kern w:val="0"/>
                <w:sz w:val="24"/>
                <w:szCs w:val="24"/>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MzlkZGZiNTYxZjkwZGUyYTNhN2U2MzRkODIxYTEifQ=="/>
    <w:docVar w:name="KSO_WPS_MARK_KEY" w:val="8809dc1f-b71a-40ba-b14d-22d7566f913c"/>
  </w:docVars>
  <w:rsids>
    <w:rsidRoot w:val="526E6FAC"/>
    <w:rsid w:val="01192C1F"/>
    <w:rsid w:val="04133956"/>
    <w:rsid w:val="04294F27"/>
    <w:rsid w:val="04E13A54"/>
    <w:rsid w:val="06C44F16"/>
    <w:rsid w:val="09727371"/>
    <w:rsid w:val="0B9C2483"/>
    <w:rsid w:val="0C290D6F"/>
    <w:rsid w:val="0E1979D4"/>
    <w:rsid w:val="12064357"/>
    <w:rsid w:val="13D334A2"/>
    <w:rsid w:val="1C2838BF"/>
    <w:rsid w:val="21F972B9"/>
    <w:rsid w:val="224F429B"/>
    <w:rsid w:val="23DB7496"/>
    <w:rsid w:val="24613327"/>
    <w:rsid w:val="26B26BA7"/>
    <w:rsid w:val="2916166F"/>
    <w:rsid w:val="345860C1"/>
    <w:rsid w:val="39184F8F"/>
    <w:rsid w:val="45595B05"/>
    <w:rsid w:val="4B44530A"/>
    <w:rsid w:val="512B3425"/>
    <w:rsid w:val="526E6FAC"/>
    <w:rsid w:val="54A66EE6"/>
    <w:rsid w:val="58EA3E3C"/>
    <w:rsid w:val="5CD404B3"/>
    <w:rsid w:val="5D5D2C30"/>
    <w:rsid w:val="61354C2B"/>
    <w:rsid w:val="63894210"/>
    <w:rsid w:val="66A71465"/>
    <w:rsid w:val="673A3A26"/>
    <w:rsid w:val="6B9B737D"/>
    <w:rsid w:val="6FFA58C1"/>
    <w:rsid w:val="76236746"/>
    <w:rsid w:val="79295E21"/>
    <w:rsid w:val="7AA8721A"/>
    <w:rsid w:val="7C6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customStyle="1" w:styleId="5">
    <w:name w:val="Char"/>
    <w:basedOn w:val="1"/>
    <w:next w:val="1"/>
    <w:qFormat/>
    <w:uiPriority w:val="0"/>
    <w:pPr>
      <w:tabs>
        <w:tab w:val="left" w:pos="360"/>
      </w:tabs>
    </w:p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1388</Words>
  <Characters>1405</Characters>
  <Lines>0</Lines>
  <Paragraphs>0</Paragraphs>
  <TotalTime>3</TotalTime>
  <ScaleCrop>false</ScaleCrop>
  <LinksUpToDate>false</LinksUpToDate>
  <CharactersWithSpaces>1454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2023-03-16T01:30:00Z</dcterms:created>
  <dc:creator>帆帆</dc:creator>
  <cp:lastModifiedBy>三月</cp:lastModifiedBy>
  <cp:lastPrinted>2023-03-20T05:46:00Z</cp:lastPrinted>
  <dcterms:modified xsi:type="dcterms:W3CDTF">2023-04-23T03:30:13Z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5B09C85C9A6843A5BE3F2B33B5CC6452_13</vt:lpwstr>
  </property>
</Properties>
</file>