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374" w:type="dxa"/>
        <w:jc w:val="center"/>
        <w:tblLayout w:type="fixed"/>
        <w:tblCellMar>
          <w:top w:w="0" w:type="dxa"/>
          <w:left w:w="108" w:type="dxa"/>
          <w:bottom w:w="0" w:type="dxa"/>
          <w:right w:w="108" w:type="dxa"/>
        </w:tblCellMar>
      </w:tblPr>
      <w:tblGrid>
        <w:gridCol w:w="986"/>
        <w:gridCol w:w="1155"/>
        <w:gridCol w:w="3229"/>
        <w:gridCol w:w="4035"/>
        <w:gridCol w:w="675"/>
        <w:gridCol w:w="720"/>
        <w:gridCol w:w="675"/>
        <w:gridCol w:w="900"/>
        <w:gridCol w:w="1170"/>
        <w:gridCol w:w="705"/>
        <w:gridCol w:w="1124"/>
      </w:tblGrid>
      <w:tr>
        <w:tblPrEx>
          <w:tblCellMar>
            <w:top w:w="0" w:type="dxa"/>
            <w:left w:w="108" w:type="dxa"/>
            <w:bottom w:w="0" w:type="dxa"/>
            <w:right w:w="108" w:type="dxa"/>
          </w:tblCellMar>
        </w:tblPrEx>
        <w:trPr>
          <w:trHeight w:val="624" w:hRule="atLeast"/>
          <w:jc w:val="center"/>
        </w:trPr>
        <w:tc>
          <w:tcPr>
            <w:tcW w:w="15374" w:type="dxa"/>
            <w:gridSpan w:val="11"/>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hint="default" w:ascii="方正黑体_GBK" w:hAnsi="宋体" w:eastAsia="方正黑体_GBK" w:cs="Times New Roman"/>
                <w:b/>
                <w:sz w:val="32"/>
                <w:szCs w:val="28"/>
                <w:lang w:val="en-US" w:eastAsia="zh-CN"/>
              </w:rPr>
            </w:pPr>
            <w:r>
              <w:rPr>
                <w:rFonts w:hint="eastAsia" w:ascii="方正黑体_GBK" w:hAnsi="宋体" w:eastAsia="方正黑体_GBK" w:cs="Times New Roman"/>
                <w:b/>
                <w:sz w:val="32"/>
                <w:szCs w:val="28"/>
              </w:rPr>
              <w:t>附件</w:t>
            </w:r>
            <w:r>
              <w:rPr>
                <w:rFonts w:hint="eastAsia" w:ascii="方正黑体_GBK" w:hAnsi="宋体" w:eastAsia="方正黑体_GBK" w:cs="Times New Roman"/>
                <w:b/>
                <w:sz w:val="32"/>
                <w:szCs w:val="28"/>
                <w:lang w:val="en-US" w:eastAsia="zh-CN"/>
              </w:rPr>
              <w:t>1</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宋体" w:eastAsia="方正小标宋_GBK" w:cs="宋体"/>
                <w:b/>
                <w:bCs/>
                <w:kern w:val="0"/>
                <w:sz w:val="44"/>
                <w:szCs w:val="44"/>
                <w:lang w:val="en-US" w:eastAsia="zh-CN"/>
              </w:rPr>
              <w:t>龙兴社区</w:t>
            </w:r>
            <w:r>
              <w:rPr>
                <w:rFonts w:hint="eastAsia" w:ascii="方正小标宋_GBK" w:hAnsi="宋体" w:eastAsia="方正小标宋_GBK" w:cs="宋体"/>
                <w:b/>
                <w:bCs/>
                <w:kern w:val="0"/>
                <w:sz w:val="44"/>
                <w:szCs w:val="44"/>
              </w:rPr>
              <w:t>巡察反馈意见整改落实情况台账</w:t>
            </w:r>
          </w:p>
          <w:p>
            <w:pPr>
              <w:keepNext w:val="0"/>
              <w:keepLines w:val="0"/>
              <w:pageBreakBefore w:val="0"/>
              <w:kinsoku/>
              <w:wordWrap/>
              <w:overflowPunct/>
              <w:topLinePunct w:val="0"/>
              <w:autoSpaceDE/>
              <w:autoSpaceDN/>
              <w:bidi w:val="0"/>
              <w:adjustRightInd/>
              <w:snapToGrid/>
              <w:spacing w:line="480" w:lineRule="exact"/>
              <w:textAlignment w:val="auto"/>
              <w:rPr>
                <w:rFonts w:hint="default" w:eastAsia="宋体"/>
                <w:lang w:val="en-US" w:eastAsia="zh-CN"/>
              </w:rPr>
            </w:pPr>
            <w:r>
              <w:rPr>
                <w:rFonts w:hint="eastAsia" w:ascii="方正楷体_GBK" w:hAnsi="方正楷体_GBK" w:eastAsia="方正楷体_GBK" w:cs="方正楷体_GBK"/>
                <w:b/>
                <w:bCs/>
                <w:sz w:val="24"/>
                <w:szCs w:val="24"/>
                <w:lang w:val="en-US" w:eastAsia="zh-CN"/>
              </w:rPr>
              <w:t xml:space="preserve">被巡察单位（盖章）：  </w:t>
            </w:r>
            <w:r>
              <w:rPr>
                <w:rFonts w:hint="eastAsia"/>
                <w:lang w:val="en-US" w:eastAsia="zh-CN"/>
              </w:rPr>
              <w:t xml:space="preserve">                                  </w:t>
            </w:r>
            <w:r>
              <w:rPr>
                <w:rFonts w:hint="eastAsia" w:ascii="方正楷体_GBK" w:hAnsi="方正楷体_GBK" w:eastAsia="方正楷体_GBK" w:cs="方正楷体_GBK"/>
                <w:b/>
                <w:bCs/>
                <w:sz w:val="24"/>
                <w:szCs w:val="24"/>
                <w:lang w:val="en-US" w:eastAsia="zh-CN"/>
              </w:rPr>
              <w:t xml:space="preserve"> 纪检监察室（盖章）：</w:t>
            </w:r>
          </w:p>
        </w:tc>
      </w:tr>
      <w:tr>
        <w:tblPrEx>
          <w:tblCellMar>
            <w:top w:w="0" w:type="dxa"/>
            <w:left w:w="108" w:type="dxa"/>
            <w:bottom w:w="0" w:type="dxa"/>
            <w:right w:w="108" w:type="dxa"/>
          </w:tblCellMar>
        </w:tblPrEx>
        <w:trPr>
          <w:trHeight w:val="456" w:hRule="atLeast"/>
          <w:jc w:val="center"/>
        </w:trPr>
        <w:tc>
          <w:tcPr>
            <w:tcW w:w="5370" w:type="dxa"/>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问题清单</w:t>
            </w:r>
          </w:p>
        </w:tc>
        <w:tc>
          <w:tcPr>
            <w:tcW w:w="403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整改情况</w:t>
            </w:r>
          </w:p>
        </w:tc>
        <w:tc>
          <w:tcPr>
            <w:tcW w:w="297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20"/>
              </w:rPr>
            </w:pPr>
            <w:r>
              <w:rPr>
                <w:rFonts w:hint="eastAsia" w:ascii="方正黑体_GBK" w:hAnsi="方正黑体_GBK" w:eastAsia="方正黑体_GBK" w:cs="方正黑体_GBK"/>
                <w:b/>
                <w:bCs/>
                <w:kern w:val="0"/>
                <w:sz w:val="20"/>
              </w:rPr>
              <w:t>成效清单</w:t>
            </w:r>
          </w:p>
        </w:tc>
        <w:tc>
          <w:tcPr>
            <w:tcW w:w="299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进度判定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b/>
                <w:bCs/>
                <w:kern w:val="0"/>
                <w:sz w:val="16"/>
                <w:szCs w:val="16"/>
              </w:rPr>
            </w:pPr>
            <w:r>
              <w:rPr>
                <w:rFonts w:hint="eastAsia" w:ascii="方正楷体_GBK" w:hAnsi="方正楷体_GBK" w:eastAsia="方正楷体_GBK" w:cs="方正楷体_GBK"/>
                <w:b/>
                <w:bCs/>
                <w:kern w:val="0"/>
                <w:sz w:val="16"/>
                <w:szCs w:val="16"/>
              </w:rPr>
              <w:t>（已完成/基本完成/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楷体_GBK" w:hAnsi="方正楷体_GBK" w:eastAsia="方正楷体_GBK" w:cs="方正楷体_GBK"/>
                <w:b/>
                <w:bCs/>
                <w:kern w:val="0"/>
                <w:sz w:val="16"/>
                <w:szCs w:val="16"/>
              </w:rPr>
              <w:t>未完成）</w:t>
            </w:r>
          </w:p>
        </w:tc>
      </w:tr>
      <w:tr>
        <w:tblPrEx>
          <w:tblCellMar>
            <w:top w:w="0" w:type="dxa"/>
            <w:left w:w="108" w:type="dxa"/>
            <w:bottom w:w="0" w:type="dxa"/>
            <w:right w:w="108" w:type="dxa"/>
          </w:tblCellMar>
        </w:tblPrEx>
        <w:trPr>
          <w:trHeight w:val="975" w:hRule="atLeast"/>
          <w:jc w:val="center"/>
        </w:trPr>
        <w:tc>
          <w:tcPr>
            <w:tcW w:w="98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问题方面</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问题事项</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具体问题</w:t>
            </w:r>
          </w:p>
        </w:tc>
        <w:tc>
          <w:tcPr>
            <w:tcW w:w="4035"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完善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制度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挽回</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经济</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损失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4"/>
                <w:szCs w:val="14"/>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问责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6"/>
                <w:szCs w:val="16"/>
              </w:rPr>
              <w:t>（人）</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eastAsia="zh-CN"/>
              </w:rPr>
            </w:pPr>
            <w:r>
              <w:rPr>
                <w:rFonts w:hint="eastAsia" w:ascii="方正黑体_GBK" w:hAnsi="方正黑体_GBK" w:eastAsia="方正黑体_GBK" w:cs="方正黑体_GBK"/>
                <w:b/>
                <w:bCs/>
                <w:kern w:val="0"/>
                <w:sz w:val="18"/>
                <w:szCs w:val="18"/>
              </w:rPr>
              <w:t>具体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rPr>
            </w:pPr>
            <w:r>
              <w:rPr>
                <w:rFonts w:hint="eastAsia" w:ascii="方正黑体_GBK" w:hAnsi="方正黑体_GBK" w:eastAsia="方正黑体_GBK" w:cs="方正黑体_GBK"/>
                <w:b/>
                <w:bCs/>
                <w:kern w:val="0"/>
                <w:sz w:val="18"/>
                <w:szCs w:val="18"/>
              </w:rPr>
              <w:t>成效</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被巡察单位</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自我评估</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派驻派出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纪检机构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纪检监察室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kern w:val="0"/>
                <w:sz w:val="18"/>
                <w:szCs w:val="18"/>
                <w:lang w:val="en-US" w:eastAsia="zh-CN"/>
              </w:rPr>
            </w:pPr>
            <w:r>
              <w:rPr>
                <w:rFonts w:hint="eastAsia" w:ascii="方正黑体_GBK" w:hAnsi="方正黑体_GBK" w:eastAsia="方正黑体_GBK" w:cs="方正黑体_GBK"/>
                <w:b/>
                <w:bCs/>
                <w:kern w:val="0"/>
                <w:sz w:val="18"/>
                <w:szCs w:val="18"/>
                <w:lang w:val="en-US" w:eastAsia="zh-CN"/>
              </w:rPr>
              <w:t>认定</w:t>
            </w:r>
          </w:p>
        </w:tc>
      </w:tr>
      <w:tr>
        <w:tblPrEx>
          <w:tblCellMar>
            <w:top w:w="0" w:type="dxa"/>
            <w:left w:w="108" w:type="dxa"/>
            <w:bottom w:w="0" w:type="dxa"/>
            <w:right w:w="108" w:type="dxa"/>
          </w:tblCellMar>
        </w:tblPrEx>
        <w:trPr>
          <w:trHeight w:val="390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rPr>
              <w:t>（一）看落实基层治理政治责任情况</w:t>
            </w:r>
          </w:p>
        </w:tc>
        <w:tc>
          <w:tcPr>
            <w:tcW w:w="1155"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1.在学习贯彻习近平总书记关于加强基层治理重要讲话和重要指示批示精神中，存在学习贯彻“两脱节”问题</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rPr>
            </w:pPr>
            <w:r>
              <w:rPr>
                <w:rFonts w:hint="eastAsia" w:ascii="仿宋_GB2312" w:hAnsi="仿宋_GB2312" w:eastAsia="仿宋_GB2312" w:cs="仿宋_GB2312"/>
                <w:b w:val="0"/>
                <w:bCs w:val="0"/>
                <w:color w:val="000000"/>
                <w:kern w:val="0"/>
                <w:sz w:val="20"/>
                <w:lang w:val="en-US" w:eastAsia="zh-CN"/>
              </w:rPr>
              <w:t>（1）缺乏对习近平总书记关于加强基层治理重要讲话和重要指示批示精神的系统学习和深刻理解，不能结合自身实际较好的用理论指导实践。</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highlight w:val="none"/>
                <w:lang w:val="en-US" w:eastAsia="zh-CN"/>
              </w:rPr>
              <w:t>①龙兴社区党委书记带领党员开展学习“二十大精神”读书会1次，加强党员教育培训，加强理论讲解学习领悟；②开展提升基层治理水平专题学习，原龙兴社区党委书记路亚兰对进行学习宣传党的二十大精神进行专题辅导，进行理论联系实际的基层治理活动，抓好理论与实际结合；③</w:t>
            </w:r>
            <w:r>
              <w:rPr>
                <w:rFonts w:hint="eastAsia" w:ascii="仿宋_GB2312" w:hAnsi="仿宋_GB2312" w:eastAsia="仿宋_GB2312" w:cs="仿宋_GB2312"/>
                <w:b w:val="0"/>
                <w:bCs w:val="0"/>
                <w:color w:val="000000"/>
                <w:kern w:val="0"/>
                <w:sz w:val="20"/>
                <w:lang w:val="en-US" w:eastAsia="zh-CN"/>
              </w:rPr>
              <w:t>龙兴社区党委书记带领党员慰问独居老人及困难群众，加强与群众联系，通过基层干部大走访大慰问活动1次，将服务群众理念深入实际。</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增强了理论学习，加强了与居民的沟通。</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3270" w:hRule="atLeast"/>
          <w:jc w:val="center"/>
        </w:trPr>
        <w:tc>
          <w:tcPr>
            <w:tcW w:w="98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（三）　看基层治理重点任务推进情况</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方正黑体_GBK" w:hAnsi="方正黑体_GBK" w:eastAsia="方正黑体_GBK" w:cs="方正黑体_GBK"/>
                <w:b/>
                <w:bCs/>
                <w:color w:val="000000"/>
                <w:kern w:val="0"/>
                <w:sz w:val="20"/>
              </w:rPr>
              <w:t>　</w:t>
            </w:r>
          </w:p>
        </w:tc>
        <w:tc>
          <w:tcPr>
            <w:tcW w:w="115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2、四个平台”建设滞后，综合指挥体系尚不完善</w:t>
            </w:r>
          </w:p>
        </w:tc>
        <w:tc>
          <w:tcPr>
            <w:tcW w:w="3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（2）龙兴社区010503网格党群服务站面积仅有4平米，开展服务活动有一定局限性。</w:t>
            </w:r>
            <w:bookmarkStart w:id="0" w:name="_GoBack"/>
            <w:bookmarkEnd w:id="0"/>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龙兴社区党委组织党员及志愿者在辖区内开展党群服务活动3次，缓解硬件条件限制；②龙兴社区党委通过党员微信群，开展党群联络沟通、教育互动等活动，通过线上空间，扩展线下的阵地局限，发布通知25条；③龙兴社区党委牵头开展网格间的党群联合活动，清理辖区内野广告及堆放物等活动5次，加强各网格党群之间互动，取长补短，扩大服务范畴。</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bidi="ar-SA"/>
              </w:rPr>
            </w:pPr>
            <w:r>
              <w:rPr>
                <w:rFonts w:hint="eastAsia" w:ascii="仿宋_GB2312" w:hAnsi="仿宋_GB2312" w:eastAsia="仿宋_GB2312" w:cs="仿宋_GB2312"/>
                <w:b w:val="0"/>
                <w:bCs w:val="0"/>
                <w:color w:val="000000"/>
                <w:kern w:val="0"/>
                <w:sz w:val="20"/>
                <w:lang w:val="en-US" w:eastAsia="zh-CN"/>
              </w:rPr>
              <w:t>提升了党群服务站的服务功能。</w:t>
            </w:r>
          </w:p>
        </w:tc>
        <w:tc>
          <w:tcPr>
            <w:tcW w:w="11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3、网格治理有待提高</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（3）“三长”联动机制不够健全，部分“三长”发挥作用不明显。楼栋长、单元长年龄偏大。且多为兼职又没有激励保障机制，责任意识工作能力参差不齐，有时工作时间也不能保证。</w:t>
            </w:r>
          </w:p>
        </w:tc>
        <w:tc>
          <w:tcPr>
            <w:tcW w:w="4035" w:type="dxa"/>
            <w:tcBorders>
              <w:top w:val="single" w:color="auto" w:sz="4" w:space="0"/>
              <w:left w:val="nil"/>
              <w:bottom w:val="single" w:color="auto" w:sz="4" w:space="0"/>
              <w:right w:val="single" w:color="auto" w:sz="4" w:space="0"/>
            </w:tcBorders>
            <w:noWrap w:val="0"/>
            <w:vAlign w:val="center"/>
          </w:tcPr>
          <w:tbl>
            <w:tblPr>
              <w:tblStyle w:val="4"/>
              <w:tblW w:w="13233" w:type="dxa"/>
              <w:jc w:val="center"/>
              <w:tblLayout w:type="fixed"/>
              <w:tblCellMar>
                <w:top w:w="0" w:type="dxa"/>
                <w:left w:w="108" w:type="dxa"/>
                <w:bottom w:w="0" w:type="dxa"/>
                <w:right w:w="108" w:type="dxa"/>
              </w:tblCellMar>
            </w:tblPr>
            <w:tblGrid>
              <w:gridCol w:w="4125"/>
            </w:tblGrid>
            <w:tr>
              <w:tblPrEx>
                <w:tblCellMar>
                  <w:top w:w="0" w:type="dxa"/>
                  <w:left w:w="108" w:type="dxa"/>
                  <w:bottom w:w="0" w:type="dxa"/>
                  <w:right w:w="108" w:type="dxa"/>
                </w:tblCellMar>
              </w:tblPrEx>
              <w:trPr>
                <w:trHeight w:val="393" w:hRule="atLeast"/>
                <w:jc w:val="center"/>
              </w:trPr>
              <w:tc>
                <w:tcPr>
                  <w:tcW w:w="412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①社区党委调整“三长”人员结构，将发挥作用不好的人员进行替换，将有时间、有责任心的同志选上来。并结合平战结合，将市级、区级下沉干</w:t>
                  </w:r>
                  <w:r>
                    <w:rPr>
                      <w:rFonts w:hint="eastAsia" w:ascii="仿宋_GB2312" w:hAnsi="仿宋_GB2312" w:eastAsia="仿宋_GB2312" w:cs="仿宋_GB2312"/>
                      <w:b w:val="0"/>
                      <w:bCs w:val="0"/>
                      <w:color w:val="000000"/>
                      <w:kern w:val="0"/>
                      <w:sz w:val="20"/>
                      <w:u w:val="none"/>
                      <w:lang w:val="en-US" w:eastAsia="zh-CN"/>
                    </w:rPr>
                    <w:t>部，纳入兼职三长队伍，充实三长力量，更换三长8人；②龙兴社区开展“三长”培训1次，明确职责任务，结合社区实际，安排联动活动载体，发动三长积极参与，发挥作用；③龙兴社区党委建立三长激励保障机制，落实好意外伤害保险等保障措施，设置服务积分兑换、优秀三长评选等激励机制。</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增强了三长的发挥作用。</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90" w:hRule="atLeast"/>
          <w:jc w:val="center"/>
        </w:trPr>
        <w:tc>
          <w:tcPr>
            <w:tcW w:w="9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color w:val="000000"/>
                <w:kern w:val="0"/>
                <w:sz w:val="20"/>
              </w:rPr>
            </w:pPr>
          </w:p>
        </w:tc>
        <w:tc>
          <w:tcPr>
            <w:tcW w:w="11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kern w:val="0"/>
                <w:sz w:val="20"/>
                <w:szCs w:val="22"/>
                <w:lang w:val="en-US" w:eastAsia="zh-CN" w:bidi="ar-SA"/>
              </w:rPr>
            </w:pPr>
            <w:r>
              <w:rPr>
                <w:rFonts w:hint="eastAsia" w:ascii="仿宋_GB2312" w:hAnsi="仿宋_GB2312" w:eastAsia="仿宋_GB2312" w:cs="仿宋_GB2312"/>
                <w:b w:val="0"/>
                <w:bCs w:val="0"/>
                <w:color w:val="000000"/>
                <w:kern w:val="0"/>
                <w:sz w:val="20"/>
                <w:lang w:val="en-US" w:eastAsia="zh-CN"/>
              </w:rPr>
              <w:t>4、物业治理仍需加强</w:t>
            </w:r>
          </w:p>
        </w:tc>
        <w:tc>
          <w:tcPr>
            <w:tcW w:w="32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（4）《吉林省物业管理条例》宣传培训不到位。2021—2022年，存在学习频次少、学习效果不佳的问题。未能及时组织开展《吉林省物业管理条例》宣传活动。</w:t>
            </w:r>
          </w:p>
        </w:tc>
        <w:tc>
          <w:tcPr>
            <w:tcW w:w="40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2月17日龙兴社区组织物业管理人员及社区工作者学习《吉林省物业管理条例》。尤其将涉及居民生活的条款，学好学透，更好地指导工作；②龙兴社区工作人员通过微信群宣传吉林省物业管理条例15次，让更多居民了解条例内容，维护自身权益；③通过条例，龙兴社区工作人员到辖区内帮助居民调解物业问题2个。用法规指导实际工作，扩大条例现实指导价值。</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方正黑体_GBK" w:hAnsi="方正黑体_GBK" w:eastAsia="方正黑体_GBK" w:cs="方正黑体_GBK"/>
                <w:b/>
                <w:bCs/>
                <w:kern w:val="0"/>
                <w:sz w:val="20"/>
              </w:rPr>
              <w:t>　</w:t>
            </w: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方正黑体_GBK" w:hAnsi="方正黑体_GBK" w:eastAsia="方正黑体_GBK" w:cs="方正黑体_GBK"/>
                <w:b/>
                <w:bCs/>
                <w:kern w:val="0"/>
                <w:sz w:val="24"/>
                <w:szCs w:val="24"/>
              </w:rPr>
              <w:t>　</w:t>
            </w: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物业管理能力增强了，居民投诉减少。</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2400" w:hRule="atLeast"/>
          <w:jc w:val="center"/>
        </w:trPr>
        <w:tc>
          <w:tcPr>
            <w:tcW w:w="98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rPr>
            </w:pPr>
            <w:r>
              <w:rPr>
                <w:rFonts w:hint="eastAsia" w:ascii="仿宋_GB2312" w:hAnsi="仿宋_GB2312" w:eastAsia="仿宋_GB2312" w:cs="仿宋_GB2312"/>
                <w:b w:val="0"/>
                <w:bCs w:val="0"/>
                <w:color w:val="000000"/>
                <w:kern w:val="0"/>
                <w:sz w:val="20"/>
                <w:lang w:val="en-US" w:eastAsia="zh-CN"/>
              </w:rPr>
              <w:t>（五）看基层治理坚强保障情况</w:t>
            </w:r>
          </w:p>
        </w:tc>
        <w:tc>
          <w:tcPr>
            <w:tcW w:w="115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楷体_GBK" w:hAnsi="方正楷体_GBK" w:eastAsia="方正楷体_GBK" w:cs="方正楷体_GBK"/>
                <w:b/>
                <w:bCs/>
                <w:color w:val="000000"/>
                <w:kern w:val="0"/>
                <w:sz w:val="20"/>
              </w:rPr>
            </w:pPr>
            <w:r>
              <w:rPr>
                <w:rFonts w:hint="eastAsia" w:ascii="仿宋_GB2312" w:hAnsi="仿宋_GB2312" w:eastAsia="仿宋_GB2312" w:cs="仿宋_GB2312"/>
                <w:b w:val="0"/>
                <w:bCs w:val="0"/>
                <w:color w:val="000000"/>
                <w:kern w:val="0"/>
                <w:sz w:val="20"/>
                <w:lang w:val="en-US" w:eastAsia="zh-CN"/>
              </w:rPr>
              <w:t>5、基层治理干部队伍建设有待强化</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仿宋_GBK" w:hAnsi="方正仿宋_GBK" w:eastAsia="方正仿宋_GBK" w:cs="方正仿宋_GBK"/>
                <w:b/>
                <w:bCs/>
                <w:color w:val="000000"/>
                <w:kern w:val="0"/>
                <w:sz w:val="20"/>
                <w:lang w:val="en-US"/>
              </w:rPr>
            </w:pPr>
            <w:r>
              <w:rPr>
                <w:rFonts w:hint="eastAsia" w:ascii="仿宋_GB2312" w:hAnsi="仿宋_GB2312" w:eastAsia="仿宋_GB2312" w:cs="仿宋_GB2312"/>
                <w:b w:val="0"/>
                <w:bCs w:val="0"/>
                <w:color w:val="000000"/>
                <w:kern w:val="0"/>
                <w:sz w:val="20"/>
                <w:lang w:val="en-US" w:eastAsia="zh-CN"/>
              </w:rPr>
              <w:t>（5）社区工作者专业化水平有待提升，持证社工人数占比少，专业化服务程度低.</w:t>
            </w:r>
          </w:p>
        </w:tc>
        <w:tc>
          <w:tcPr>
            <w:tcW w:w="403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方正黑体_GBK" w:hAnsi="方正黑体_GBK" w:eastAsia="方正黑体_GBK" w:cs="方正黑体_GBK"/>
                <w:b/>
                <w:bCs/>
                <w:kern w:val="0"/>
                <w:sz w:val="20"/>
              </w:rPr>
            </w:pPr>
            <w:r>
              <w:rPr>
                <w:rFonts w:hint="eastAsia" w:ascii="仿宋_GB2312" w:hAnsi="仿宋_GB2312" w:eastAsia="仿宋_GB2312" w:cs="仿宋_GB2312"/>
                <w:b w:val="0"/>
                <w:bCs w:val="0"/>
                <w:color w:val="000000"/>
                <w:kern w:val="0"/>
                <w:sz w:val="20"/>
                <w:lang w:val="en-US" w:eastAsia="zh-CN"/>
              </w:rPr>
              <w:t>①社区工作者通过吉林省社区干部学院APP，开展线上的社工学习培训活动1次，培养工作者不断学习的意识，提升专业化服务水平；② 2月23日龙兴社区党委邀请长春市社会工作者协会副会长路亚兰到龙兴社区组织社工考试考前培训，对参加考试人员进行专门培训，提高考试通过率，提高持证社工占比；③龙兴社区组织社区工作者积极参与志愿服务活动3次，学习专业社工开展服务的方式方法，耳濡目染，提高社工服务意识和能力。</w:t>
            </w:r>
          </w:p>
        </w:tc>
        <w:tc>
          <w:tcPr>
            <w:tcW w:w="6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0"/>
              </w:rPr>
            </w:pPr>
          </w:p>
        </w:tc>
        <w:tc>
          <w:tcPr>
            <w:tcW w:w="72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6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p>
        </w:tc>
        <w:tc>
          <w:tcPr>
            <w:tcW w:w="9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方正黑体_GBK" w:hAnsi="方正黑体_GBK" w:eastAsia="方正黑体_GBK" w:cs="方正黑体_GBK"/>
                <w:b/>
                <w:bCs/>
                <w:kern w:val="0"/>
                <w:sz w:val="24"/>
                <w:szCs w:val="24"/>
                <w:lang w:val="en-US" w:eastAsia="zh-CN"/>
              </w:rPr>
            </w:pPr>
            <w:r>
              <w:rPr>
                <w:rFonts w:hint="eastAsia" w:ascii="仿宋_GB2312" w:hAnsi="仿宋_GB2312" w:eastAsia="仿宋_GB2312" w:cs="仿宋_GB2312"/>
                <w:b w:val="0"/>
                <w:bCs w:val="0"/>
                <w:color w:val="000000"/>
                <w:kern w:val="0"/>
                <w:sz w:val="20"/>
                <w:lang w:val="en-US" w:eastAsia="zh-CN"/>
              </w:rPr>
              <w:t>加强了社工队伍的建设</w:t>
            </w:r>
          </w:p>
        </w:tc>
        <w:tc>
          <w:tcPr>
            <w:tcW w:w="11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lang w:val="en-US" w:eastAsia="zh-CN"/>
              </w:rPr>
            </w:pPr>
            <w:r>
              <w:rPr>
                <w:rFonts w:hint="eastAsia" w:ascii="仿宋_GB2312" w:hAnsi="仿宋_GB2312" w:eastAsia="仿宋_GB2312" w:cs="仿宋_GB2312"/>
                <w:b w:val="0"/>
                <w:bCs w:val="0"/>
                <w:color w:val="000000"/>
                <w:kern w:val="0"/>
                <w:sz w:val="20"/>
                <w:lang w:val="en-US" w:eastAsia="zh-CN"/>
              </w:rPr>
              <w:t>已完成</w:t>
            </w:r>
          </w:p>
        </w:tc>
        <w:tc>
          <w:tcPr>
            <w:tcW w:w="7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c>
          <w:tcPr>
            <w:tcW w:w="112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bCs/>
                <w:kern w:val="0"/>
                <w:sz w:val="24"/>
                <w:szCs w:val="24"/>
              </w:rPr>
            </w:pPr>
            <w:r>
              <w:rPr>
                <w:rFonts w:hint="eastAsia" w:ascii="仿宋_GB2312" w:hAnsi="仿宋_GB2312" w:eastAsia="仿宋_GB2312" w:cs="仿宋_GB2312"/>
                <w:b w:val="0"/>
                <w:bCs w:val="0"/>
                <w:color w:val="000000"/>
                <w:kern w:val="0"/>
                <w:sz w:val="20"/>
                <w:lang w:val="en-US" w:eastAsia="zh-CN"/>
              </w:rPr>
              <w:t>已完成</w:t>
            </w:r>
          </w:p>
        </w:tc>
      </w:tr>
      <w:tr>
        <w:tblPrEx>
          <w:tblCellMar>
            <w:top w:w="0" w:type="dxa"/>
            <w:left w:w="108" w:type="dxa"/>
            <w:bottom w:w="0" w:type="dxa"/>
            <w:right w:w="108" w:type="dxa"/>
          </w:tblCellMar>
        </w:tblPrEx>
        <w:trPr>
          <w:trHeight w:val="803"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bCs/>
                <w:color w:val="000000"/>
                <w:kern w:val="0"/>
                <w:sz w:val="20"/>
              </w:rPr>
            </w:pPr>
            <w:r>
              <w:rPr>
                <w:rFonts w:hint="eastAsia" w:ascii="方正黑体_GBK" w:hAnsi="方正黑体_GBK" w:eastAsia="方正黑体_GBK" w:cs="方正黑体_GBK"/>
                <w:b/>
                <w:bCs/>
                <w:color w:val="000000"/>
                <w:kern w:val="0"/>
                <w:sz w:val="20"/>
              </w:rPr>
              <w:t>总计</w:t>
            </w:r>
          </w:p>
        </w:tc>
        <w:tc>
          <w:tcPr>
            <w:tcW w:w="115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5</w:t>
            </w:r>
            <w:r>
              <w:rPr>
                <w:rFonts w:hint="eastAsia" w:ascii="方正仿宋_GBK" w:hAnsi="方正仿宋_GBK" w:eastAsia="方正仿宋_GBK" w:cs="方正仿宋_GBK"/>
                <w:b/>
                <w:bCs/>
                <w:color w:val="000000"/>
                <w:kern w:val="0"/>
                <w:sz w:val="16"/>
                <w:szCs w:val="16"/>
              </w:rPr>
              <w:t>）项</w:t>
            </w:r>
          </w:p>
        </w:tc>
        <w:tc>
          <w:tcPr>
            <w:tcW w:w="322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5</w:t>
            </w:r>
            <w:r>
              <w:rPr>
                <w:rFonts w:hint="eastAsia" w:ascii="方正仿宋_GBK" w:hAnsi="方正仿宋_GBK" w:eastAsia="方正仿宋_GBK" w:cs="方正仿宋_GBK"/>
                <w:b/>
                <w:bCs/>
                <w:color w:val="000000"/>
                <w:kern w:val="0"/>
                <w:sz w:val="16"/>
                <w:szCs w:val="16"/>
              </w:rPr>
              <w:t>）个</w:t>
            </w:r>
          </w:p>
        </w:tc>
        <w:tc>
          <w:tcPr>
            <w:tcW w:w="4035"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第一个方面问题，已完成（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p>
            <w:pPr>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第三个方面问题，已完成（</w:t>
            </w:r>
            <w:r>
              <w:rPr>
                <w:rFonts w:hint="eastAsia" w:ascii="方正仿宋_GBK" w:hAnsi="方正仿宋_GBK" w:eastAsia="方正仿宋_GBK" w:cs="方正仿宋_GBK"/>
                <w:b/>
                <w:bCs/>
                <w:kern w:val="0"/>
                <w:sz w:val="16"/>
                <w:szCs w:val="16"/>
                <w:lang w:val="en-US" w:eastAsia="zh-CN"/>
              </w:rPr>
              <w:t>3</w:t>
            </w:r>
            <w:r>
              <w:rPr>
                <w:rFonts w:hint="eastAsia" w:ascii="方正仿宋_GBK" w:hAnsi="方正仿宋_GBK" w:eastAsia="方正仿宋_GBK" w:cs="方正仿宋_GBK"/>
                <w:b/>
                <w:bCs/>
                <w:kern w:val="0"/>
                <w:sz w:val="16"/>
                <w:szCs w:val="16"/>
              </w:rPr>
              <w:t>）个、基本完成（）个、未完成（）个</w:t>
            </w:r>
          </w:p>
          <w:p>
            <w:pPr>
              <w:rPr>
                <w:rFonts w:hint="eastAsia"/>
              </w:rPr>
            </w:pPr>
            <w:r>
              <w:rPr>
                <w:rFonts w:hint="eastAsia" w:ascii="方正仿宋_GBK" w:hAnsi="方正仿宋_GBK" w:eastAsia="方正仿宋_GBK" w:cs="方正仿宋_GBK"/>
                <w:b/>
                <w:bCs/>
                <w:kern w:val="0"/>
                <w:sz w:val="16"/>
                <w:szCs w:val="16"/>
              </w:rPr>
              <w:t>第</w:t>
            </w:r>
            <w:r>
              <w:rPr>
                <w:rFonts w:hint="eastAsia" w:ascii="方正仿宋_GBK" w:hAnsi="方正仿宋_GBK" w:eastAsia="方正仿宋_GBK" w:cs="方正仿宋_GBK"/>
                <w:b/>
                <w:bCs/>
                <w:kern w:val="0"/>
                <w:sz w:val="16"/>
                <w:szCs w:val="16"/>
                <w:lang w:val="en-US" w:eastAsia="zh-CN"/>
              </w:rPr>
              <w:t>五</w:t>
            </w:r>
            <w:r>
              <w:rPr>
                <w:rFonts w:hint="eastAsia" w:ascii="方正仿宋_GBK" w:hAnsi="方正仿宋_GBK" w:eastAsia="方正仿宋_GBK" w:cs="方正仿宋_GBK"/>
                <w:b/>
                <w:bCs/>
                <w:kern w:val="0"/>
                <w:sz w:val="16"/>
                <w:szCs w:val="16"/>
              </w:rPr>
              <w:t>个方面问题，已完成（</w:t>
            </w:r>
            <w:r>
              <w:rPr>
                <w:rFonts w:hint="eastAsia" w:ascii="方正仿宋_GBK" w:hAnsi="方正仿宋_GBK" w:eastAsia="方正仿宋_GBK" w:cs="方正仿宋_GBK"/>
                <w:b/>
                <w:bCs/>
                <w:kern w:val="0"/>
                <w:sz w:val="16"/>
                <w:szCs w:val="16"/>
                <w:lang w:val="en-US" w:eastAsia="zh-CN"/>
              </w:rPr>
              <w:t>1</w:t>
            </w:r>
            <w:r>
              <w:rPr>
                <w:rFonts w:hint="eastAsia" w:ascii="方正仿宋_GBK" w:hAnsi="方正仿宋_GBK" w:eastAsia="方正仿宋_GBK" w:cs="方正仿宋_GBK"/>
                <w:b/>
                <w:bCs/>
                <w:kern w:val="0"/>
                <w:sz w:val="16"/>
                <w:szCs w:val="16"/>
              </w:rPr>
              <w:t>）个、基本完成（）个、未完成（）个</w:t>
            </w:r>
          </w:p>
        </w:tc>
        <w:tc>
          <w:tcPr>
            <w:tcW w:w="67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w:t>
            </w:r>
            <w:r>
              <w:rPr>
                <w:rFonts w:hint="eastAsia" w:ascii="方正仿宋_GBK" w:hAnsi="方正仿宋_GBK" w:eastAsia="方正仿宋_GBK" w:cs="方正仿宋_GBK"/>
                <w:b/>
                <w:bCs/>
                <w:color w:val="000000"/>
                <w:kern w:val="0"/>
                <w:sz w:val="16"/>
                <w:szCs w:val="16"/>
                <w:lang w:val="en-US" w:eastAsia="zh-CN"/>
              </w:rPr>
              <w:t>1</w:t>
            </w:r>
            <w:r>
              <w:rPr>
                <w:rFonts w:hint="eastAsia" w:ascii="方正仿宋_GBK" w:hAnsi="方正仿宋_GBK" w:eastAsia="方正仿宋_GBK" w:cs="方正仿宋_GBK"/>
                <w:b/>
                <w:bCs/>
                <w:color w:val="000000"/>
                <w:kern w:val="0"/>
                <w:sz w:val="16"/>
                <w:szCs w:val="16"/>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项</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万元</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lang w:eastAsia="zh-CN"/>
              </w:rPr>
            </w:pPr>
            <w:r>
              <w:rPr>
                <w:rFonts w:hint="eastAsia" w:ascii="方正仿宋_GBK" w:hAnsi="方正仿宋_GBK" w:eastAsia="方正仿宋_GBK" w:cs="方正仿宋_GBK"/>
                <w:b/>
                <w:bCs/>
                <w:kern w:val="0"/>
                <w:sz w:val="16"/>
                <w:szCs w:val="16"/>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人</w:t>
            </w:r>
          </w:p>
        </w:tc>
        <w:tc>
          <w:tcPr>
            <w:tcW w:w="9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　</w:t>
            </w:r>
          </w:p>
        </w:tc>
        <w:tc>
          <w:tcPr>
            <w:tcW w:w="299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已完成（</w:t>
            </w:r>
            <w:r>
              <w:rPr>
                <w:rFonts w:hint="eastAsia" w:ascii="方正仿宋_GBK" w:hAnsi="方正仿宋_GBK" w:eastAsia="方正仿宋_GBK" w:cs="方正仿宋_GBK"/>
                <w:b/>
                <w:bCs/>
                <w:kern w:val="0"/>
                <w:sz w:val="16"/>
                <w:szCs w:val="16"/>
                <w:lang w:val="en-US" w:eastAsia="zh-CN"/>
              </w:rPr>
              <w:t>5</w:t>
            </w:r>
            <w:r>
              <w:rPr>
                <w:rFonts w:hint="eastAsia" w:ascii="方正仿宋_GBK" w:hAnsi="方正仿宋_GBK" w:eastAsia="方正仿宋_GBK" w:cs="方正仿宋_GBK"/>
                <w:b/>
                <w:bCs/>
                <w:kern w:val="0"/>
                <w:sz w:val="16"/>
                <w:szCs w:val="16"/>
              </w:rPr>
              <w:t>）个、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基本完成（）个、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bCs/>
                <w:kern w:val="0"/>
                <w:sz w:val="16"/>
                <w:szCs w:val="16"/>
              </w:rPr>
            </w:pPr>
            <w:r>
              <w:rPr>
                <w:rFonts w:hint="eastAsia" w:ascii="方正仿宋_GBK" w:hAnsi="方正仿宋_GBK" w:eastAsia="方正仿宋_GBK" w:cs="方正仿宋_GBK"/>
                <w:b/>
                <w:bCs/>
                <w:kern w:val="0"/>
                <w:sz w:val="16"/>
                <w:szCs w:val="16"/>
              </w:rPr>
              <w:t>未完成（）个</w:t>
            </w:r>
          </w:p>
        </w:tc>
      </w:tr>
      <w:tr>
        <w:tblPrEx>
          <w:tblCellMar>
            <w:top w:w="0" w:type="dxa"/>
            <w:left w:w="108" w:type="dxa"/>
            <w:bottom w:w="0" w:type="dxa"/>
            <w:right w:w="108" w:type="dxa"/>
          </w:tblCellMar>
        </w:tblPrEx>
        <w:trPr>
          <w:trHeight w:val="1260" w:hRule="atLeast"/>
          <w:jc w:val="center"/>
        </w:trPr>
        <w:tc>
          <w:tcPr>
            <w:tcW w:w="986"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黑体_GBK" w:hAnsi="方正黑体_GBK" w:eastAsia="方正黑体_GBK" w:cs="方正黑体_GBK"/>
                <w:b/>
                <w:bCs/>
                <w:color w:val="000000"/>
                <w:kern w:val="0"/>
                <w:sz w:val="22"/>
                <w:szCs w:val="22"/>
              </w:rPr>
            </w:pPr>
            <w:r>
              <w:rPr>
                <w:rFonts w:hint="eastAsia" w:ascii="方正黑体_GBK" w:hAnsi="方正黑体_GBK" w:eastAsia="方正黑体_GBK" w:cs="方正黑体_GBK"/>
                <w:b/>
                <w:bCs/>
                <w:color w:val="000000"/>
                <w:kern w:val="0"/>
                <w:sz w:val="22"/>
                <w:szCs w:val="22"/>
              </w:rPr>
              <w:t>填表</w:t>
            </w:r>
          </w:p>
          <w:p>
            <w:pPr>
              <w:widowControl/>
              <w:jc w:val="center"/>
              <w:rPr>
                <w:rFonts w:ascii="黑体" w:hAnsi="宋体" w:eastAsia="黑体" w:cs="宋体"/>
                <w:b/>
                <w:bCs/>
                <w:color w:val="000000"/>
                <w:kern w:val="0"/>
                <w:sz w:val="22"/>
                <w:szCs w:val="22"/>
              </w:rPr>
            </w:pPr>
            <w:r>
              <w:rPr>
                <w:rFonts w:hint="eastAsia" w:ascii="方正黑体_GBK" w:hAnsi="方正黑体_GBK" w:eastAsia="方正黑体_GBK" w:cs="方正黑体_GBK"/>
                <w:b/>
                <w:bCs/>
                <w:color w:val="000000"/>
                <w:kern w:val="0"/>
                <w:sz w:val="22"/>
                <w:szCs w:val="22"/>
              </w:rPr>
              <w:t>说明</w:t>
            </w:r>
          </w:p>
        </w:tc>
        <w:tc>
          <w:tcPr>
            <w:tcW w:w="14388" w:type="dxa"/>
            <w:gridSpan w:val="10"/>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1.所填内容应与整改情况报告内容对应一致。</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2.成效清单界定按照正文有关要求把握并依据正文统计，应填写数量和具体内容，如：×个（具体内容）。</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rPr>
            </w:pPr>
            <w:r>
              <w:rPr>
                <w:rFonts w:hint="eastAsia" w:ascii="方正仿宋_GBK" w:hAnsi="方正仿宋_GBK" w:eastAsia="方正仿宋_GBK" w:cs="方正仿宋_GBK"/>
                <w:b/>
                <w:bCs/>
                <w:color w:val="000000"/>
                <w:kern w:val="0"/>
                <w:sz w:val="16"/>
                <w:szCs w:val="16"/>
              </w:rPr>
              <w:t xml:space="preserve">3.具体成效指除完善制度、挽回损失、问责外，其他整改比较突出的成效体现。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仿宋_GBK" w:hAnsi="方正仿宋_GBK" w:eastAsia="方正仿宋_GBK" w:cs="方正仿宋_GBK"/>
                <w:b/>
                <w:bCs/>
                <w:color w:val="000000"/>
                <w:kern w:val="0"/>
                <w:sz w:val="16"/>
                <w:szCs w:val="16"/>
                <w:lang w:eastAsia="zh-CN"/>
              </w:rPr>
            </w:pPr>
            <w:r>
              <w:rPr>
                <w:rFonts w:hint="eastAsia" w:ascii="方正仿宋_GBK" w:hAnsi="方正仿宋_GBK" w:eastAsia="方正仿宋_GBK" w:cs="方正仿宋_GBK"/>
                <w:b/>
                <w:bCs/>
                <w:color w:val="000000"/>
                <w:kern w:val="0"/>
                <w:sz w:val="16"/>
                <w:szCs w:val="16"/>
              </w:rPr>
              <w:t>4.统一使用E</w:t>
            </w:r>
            <w:r>
              <w:rPr>
                <w:rFonts w:hint="eastAsia" w:ascii="方正仿宋_GBK" w:hAnsi="方正仿宋_GBK" w:eastAsia="方正仿宋_GBK" w:cs="方正仿宋_GBK"/>
                <w:b/>
                <w:bCs/>
                <w:color w:val="000000"/>
                <w:kern w:val="0"/>
                <w:sz w:val="16"/>
                <w:szCs w:val="16"/>
                <w:lang w:val="en-US" w:eastAsia="zh-CN"/>
              </w:rPr>
              <w:t>x</w:t>
            </w:r>
            <w:r>
              <w:rPr>
                <w:rFonts w:hint="eastAsia" w:ascii="方正仿宋_GBK" w:hAnsi="方正仿宋_GBK" w:eastAsia="方正仿宋_GBK" w:cs="方正仿宋_GBK"/>
                <w:b/>
                <w:bCs/>
                <w:color w:val="000000"/>
                <w:kern w:val="0"/>
                <w:sz w:val="16"/>
                <w:szCs w:val="16"/>
              </w:rPr>
              <w:t>cel表格格式制表。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黑体" w:hAnsi="宋体" w:eastAsia="方正仿宋_GBK" w:cs="宋体"/>
                <w:b/>
                <w:bCs/>
                <w:color w:val="000000"/>
                <w:kern w:val="0"/>
                <w:sz w:val="24"/>
                <w:szCs w:val="24"/>
                <w:lang w:val="en-US" w:eastAsia="zh-CN"/>
              </w:rPr>
            </w:pPr>
            <w:r>
              <w:rPr>
                <w:rFonts w:hint="eastAsia" w:ascii="方正仿宋_GBK" w:hAnsi="方正仿宋_GBK" w:eastAsia="方正仿宋_GBK" w:cs="方正仿宋_GBK"/>
                <w:b/>
                <w:bCs/>
                <w:color w:val="000000"/>
                <w:kern w:val="0"/>
                <w:sz w:val="16"/>
                <w:szCs w:val="16"/>
                <w:lang w:val="en-US" w:eastAsia="zh-CN"/>
              </w:rPr>
              <w:t>5.巡察反馈意见整改落实情况台账报区纪委监委前，各被巡察单位需征求派驻派出纪检监察机构派出意见，由派驻纪检监察机构填写台账内“整改进度判定”情况。</w:t>
            </w:r>
          </w:p>
        </w:tc>
      </w:tr>
      <w:tr>
        <w:tblPrEx>
          <w:tblCellMar>
            <w:top w:w="0" w:type="dxa"/>
            <w:left w:w="108" w:type="dxa"/>
            <w:bottom w:w="0" w:type="dxa"/>
            <w:right w:w="108" w:type="dxa"/>
          </w:tblCellMar>
        </w:tblPrEx>
        <w:trPr>
          <w:trHeight w:val="360" w:hRule="atLeast"/>
          <w:jc w:val="center"/>
        </w:trPr>
        <w:tc>
          <w:tcPr>
            <w:tcW w:w="15374" w:type="dxa"/>
            <w:gridSpan w:val="11"/>
            <w:tcBorders>
              <w:top w:val="nil"/>
              <w:left w:val="nil"/>
              <w:bottom w:val="nil"/>
              <w:right w:val="nil"/>
            </w:tcBorders>
            <w:noWrap/>
            <w:vAlign w:val="center"/>
          </w:tcPr>
          <w:p>
            <w:pPr>
              <w:widowControl/>
              <w:jc w:val="left"/>
              <w:rPr>
                <w:rFonts w:ascii="宋体" w:hAnsi="宋体" w:cs="宋体"/>
                <w:kern w:val="0"/>
                <w:sz w:val="24"/>
                <w:szCs w:val="24"/>
              </w:rPr>
            </w:pPr>
          </w:p>
        </w:tc>
      </w:tr>
    </w:tbl>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zlkZGZiNTYxZjkwZGUyYTNhN2U2MzRkODIxYTEifQ=="/>
    <w:docVar w:name="KSO_WPS_MARK_KEY" w:val="8809dc1f-b71a-40ba-b14d-22d7566f913c"/>
  </w:docVars>
  <w:rsids>
    <w:rsidRoot w:val="526E6FAC"/>
    <w:rsid w:val="01192C1F"/>
    <w:rsid w:val="04133956"/>
    <w:rsid w:val="04294F27"/>
    <w:rsid w:val="04E13A54"/>
    <w:rsid w:val="06C44F16"/>
    <w:rsid w:val="09727371"/>
    <w:rsid w:val="0B9C2483"/>
    <w:rsid w:val="0E1979D4"/>
    <w:rsid w:val="12064357"/>
    <w:rsid w:val="13D334A2"/>
    <w:rsid w:val="1C2838BF"/>
    <w:rsid w:val="1D486E82"/>
    <w:rsid w:val="21F972B9"/>
    <w:rsid w:val="224F429B"/>
    <w:rsid w:val="26B26BA7"/>
    <w:rsid w:val="2916166F"/>
    <w:rsid w:val="345860C1"/>
    <w:rsid w:val="39184F8F"/>
    <w:rsid w:val="4C1A5808"/>
    <w:rsid w:val="526E6FAC"/>
    <w:rsid w:val="54A66EE6"/>
    <w:rsid w:val="5CD404B3"/>
    <w:rsid w:val="61354C2B"/>
    <w:rsid w:val="63894210"/>
    <w:rsid w:val="673A3A26"/>
    <w:rsid w:val="6B9B737D"/>
    <w:rsid w:val="6C6A5CE9"/>
    <w:rsid w:val="75CB425A"/>
    <w:rsid w:val="79295E21"/>
    <w:rsid w:val="7AA8721A"/>
    <w:rsid w:val="7C6F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next w:val="1"/>
    <w:qFormat/>
    <w:uiPriority w:val="0"/>
    <w:pPr>
      <w:tabs>
        <w:tab w:val="left" w:pos="360"/>
      </w:tabs>
    </w:p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1910</Words>
  <Characters>1937</Characters>
  <Lines>0</Lines>
  <Paragraphs>0</Paragraphs>
  <TotalTime>52</TotalTime>
  <ScaleCrop>false</ScaleCrop>
  <LinksUpToDate>false</LinksUpToDate>
  <CharactersWithSpaces>1988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2023-03-16T01:30:00Z</dcterms:created>
  <dc:creator>帆帆</dc:creator>
  <cp:lastModifiedBy>三月</cp:lastModifiedBy>
  <cp:lastPrinted>2023-04-21T03:15:00Z</cp:lastPrinted>
  <dcterms:modified xsi:type="dcterms:W3CDTF">2023-04-23T03:26:36Z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C9D6F70BD6F64092BF83A0AD7334D69B_13</vt:lpwstr>
  </property>
</Properties>
</file>