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B3" w:rsidRDefault="00F717D3" w:rsidP="005048FC">
      <w:pPr>
        <w:spacing w:line="360" w:lineRule="auto"/>
        <w:ind w:firstLineChars="100" w:firstLine="440"/>
        <w:rPr>
          <w:rFonts w:ascii="方正大标宋简体" w:eastAsia="方正大标宋简体" w:hAnsi="黑体" w:hint="eastAsia"/>
          <w:b/>
          <w:sz w:val="44"/>
          <w:szCs w:val="44"/>
        </w:rPr>
      </w:pPr>
      <w:r>
        <w:rPr>
          <w:rFonts w:ascii="方正大标宋简体" w:eastAsia="方正大标宋简体" w:hAnsi="黑体" w:hint="eastAsia"/>
          <w:b/>
          <w:sz w:val="44"/>
          <w:szCs w:val="44"/>
        </w:rPr>
        <w:t xml:space="preserve"> </w:t>
      </w:r>
    </w:p>
    <w:p w:rsidR="00D5740A" w:rsidRPr="00D5740A" w:rsidRDefault="00D5740A" w:rsidP="00D5740A">
      <w:pPr>
        <w:spacing w:line="360" w:lineRule="auto"/>
        <w:ind w:firstLineChars="100" w:firstLine="360"/>
        <w:rPr>
          <w:rFonts w:ascii="方正大标宋简体" w:eastAsia="方正大标宋简体" w:hAnsi="黑体"/>
          <w:b/>
          <w:sz w:val="36"/>
          <w:szCs w:val="36"/>
        </w:rPr>
      </w:pPr>
      <w:hyperlink r:id="rId6" w:tgtFrame="_blank" w:tooltip="农安县杨树林乡2022年政府信息公开工作年度报告" w:history="1">
        <w:r w:rsidRPr="00D5740A">
          <w:rPr>
            <w:rFonts w:ascii="方正大标宋简体" w:eastAsia="方正大标宋简体" w:hAnsi="黑体"/>
            <w:b/>
            <w:sz w:val="36"/>
            <w:szCs w:val="36"/>
          </w:rPr>
          <w:t>农安县</w:t>
        </w:r>
        <w:r w:rsidRPr="00D5740A">
          <w:rPr>
            <w:rFonts w:ascii="方正大标宋简体" w:eastAsia="方正大标宋简体" w:hAnsi="黑体" w:hint="eastAsia"/>
            <w:b/>
            <w:sz w:val="36"/>
            <w:szCs w:val="36"/>
          </w:rPr>
          <w:t>三岗镇</w:t>
        </w:r>
        <w:r w:rsidRPr="00D5740A">
          <w:rPr>
            <w:rFonts w:ascii="方正大标宋简体" w:eastAsia="方正大标宋简体" w:hAnsi="黑体"/>
            <w:b/>
            <w:sz w:val="36"/>
            <w:szCs w:val="36"/>
          </w:rPr>
          <w:t>202</w:t>
        </w:r>
        <w:r w:rsidRPr="00D5740A">
          <w:rPr>
            <w:rFonts w:ascii="方正大标宋简体" w:eastAsia="方正大标宋简体" w:hAnsi="黑体" w:hint="eastAsia"/>
            <w:b/>
            <w:sz w:val="36"/>
            <w:szCs w:val="36"/>
          </w:rPr>
          <w:t>3</w:t>
        </w:r>
        <w:r w:rsidRPr="00D5740A">
          <w:rPr>
            <w:rFonts w:ascii="方正大标宋简体" w:eastAsia="方正大标宋简体" w:hAnsi="黑体"/>
            <w:b/>
            <w:sz w:val="36"/>
            <w:szCs w:val="36"/>
          </w:rPr>
          <w:t>年政府信息公开</w:t>
        </w:r>
        <w:r w:rsidRPr="00D5740A">
          <w:rPr>
            <w:rFonts w:ascii="方正大标宋简体" w:eastAsia="方正大标宋简体" w:hAnsi="黑体"/>
            <w:b/>
            <w:sz w:val="36"/>
            <w:szCs w:val="36"/>
          </w:rPr>
          <w:t>工作年度报告</w:t>
        </w:r>
      </w:hyperlink>
    </w:p>
    <w:p w:rsidR="001E5FB3" w:rsidRDefault="001E5FB3" w:rsidP="00D5740A">
      <w:pPr>
        <w:spacing w:line="360" w:lineRule="auto"/>
        <w:ind w:firstLineChars="200" w:firstLine="720"/>
        <w:rPr>
          <w:rFonts w:ascii="仿宋_GB2312" w:eastAsia="仿宋_GB2312" w:hAnsi="Arial" w:hint="eastAsia"/>
          <w:bCs/>
          <w:sz w:val="36"/>
          <w:szCs w:val="36"/>
        </w:rPr>
      </w:pPr>
    </w:p>
    <w:p w:rsidR="000C573C" w:rsidRDefault="000C573C" w:rsidP="000C573C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年度报告是由X单位依据《中华人民共和国政府信息公开条例》（以下简称“《条例》”）和编制而成的。全文由总体情况，主动公开政府信息情况，收到和处理政府信息公开申请情况，政府信息公开行政复议和诉讼情况，存在的主要问题及改进情况，其他需要报告的事项共六部分组成。本报告中所列数据统计期限自2023年1月1日至2023年12月31日截止。本报告的电子版可在“农安县人民政府”门户网站（http://www.nongan.gov.cn/）政府信息公开专栏下载。如对本报告有疑问，请与X单位联系。咨询电话：</w:t>
      </w:r>
      <w:r w:rsidRPr="008A1930">
        <w:rPr>
          <w:rFonts w:ascii="宋体" w:hAnsi="宋体" w:cs="宋体" w:hint="eastAsia"/>
          <w:sz w:val="24"/>
          <w:u w:val="single"/>
        </w:rPr>
        <w:t>0431-83402007</w:t>
      </w:r>
      <w:r>
        <w:rPr>
          <w:rFonts w:ascii="宋体" w:hAnsi="宋体" w:cs="宋体" w:hint="eastAsia"/>
          <w:sz w:val="24"/>
        </w:rPr>
        <w:t>____；传真：_</w:t>
      </w:r>
      <w:r w:rsidRPr="008A1930">
        <w:rPr>
          <w:rFonts w:ascii="宋体" w:hAnsi="宋体" w:cs="宋体" w:hint="eastAsia"/>
          <w:sz w:val="24"/>
          <w:u w:val="single"/>
        </w:rPr>
        <w:t>0431-83402007</w:t>
      </w:r>
      <w:r>
        <w:rPr>
          <w:rFonts w:ascii="宋体" w:hAnsi="宋体" w:cs="宋体" w:hint="eastAsia"/>
          <w:sz w:val="24"/>
        </w:rPr>
        <w:t>____；</w:t>
      </w:r>
    </w:p>
    <w:p w:rsidR="000C573C" w:rsidRDefault="000C573C" w:rsidP="000C573C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地址：</w:t>
      </w:r>
      <w:r w:rsidRPr="008A1930">
        <w:rPr>
          <w:rFonts w:ascii="宋体" w:hAnsi="宋体" w:cs="宋体" w:hint="eastAsia"/>
          <w:sz w:val="24"/>
          <w:u w:val="single"/>
        </w:rPr>
        <w:t>农安县三岗镇长白公路34公里____</w:t>
      </w:r>
      <w:r>
        <w:rPr>
          <w:rFonts w:ascii="宋体" w:hAnsi="宋体" w:cs="宋体" w:hint="eastAsia"/>
          <w:sz w:val="24"/>
        </w:rPr>
        <w:t>，邮编：</w:t>
      </w:r>
      <w:r w:rsidRPr="008A1930">
        <w:rPr>
          <w:rFonts w:ascii="宋体" w:hAnsi="宋体" w:cs="宋体" w:hint="eastAsia"/>
          <w:sz w:val="24"/>
          <w:u w:val="single"/>
        </w:rPr>
        <w:t>130000_</w:t>
      </w:r>
      <w:r>
        <w:rPr>
          <w:rFonts w:ascii="宋体" w:hAnsi="宋体" w:cs="宋体" w:hint="eastAsia"/>
          <w:sz w:val="24"/>
        </w:rPr>
        <w:t>___。</w:t>
      </w:r>
    </w:p>
    <w:p w:rsidR="000C573C" w:rsidRDefault="000C573C" w:rsidP="00D5740A">
      <w:pPr>
        <w:spacing w:line="360" w:lineRule="auto"/>
        <w:ind w:firstLineChars="200" w:firstLine="720"/>
        <w:rPr>
          <w:rFonts w:ascii="仿宋_GB2312" w:eastAsia="仿宋_GB2312" w:hAnsi="Arial" w:hint="eastAsia"/>
          <w:bCs/>
          <w:sz w:val="36"/>
          <w:szCs w:val="36"/>
        </w:rPr>
      </w:pPr>
    </w:p>
    <w:p w:rsidR="000C573C" w:rsidRPr="00D5740A" w:rsidRDefault="000C573C" w:rsidP="000C573C">
      <w:pPr>
        <w:spacing w:line="360" w:lineRule="auto"/>
        <w:ind w:firstLineChars="200" w:firstLine="482"/>
        <w:rPr>
          <w:rFonts w:ascii="仿宋_GB2312" w:eastAsia="仿宋_GB2312" w:hAnsi="Arial"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24"/>
        </w:rPr>
        <w:t>一、总体情况</w:t>
      </w:r>
    </w:p>
    <w:p w:rsidR="001E5FB3" w:rsidRPr="000C573C" w:rsidRDefault="00F717D3" w:rsidP="000C573C">
      <w:pPr>
        <w:spacing w:line="360" w:lineRule="auto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0C573C">
        <w:rPr>
          <w:rFonts w:asciiTheme="minorEastAsia" w:eastAsiaTheme="minorEastAsia" w:hAnsiTheme="minorEastAsia" w:cs="仿宋_GB2312"/>
          <w:sz w:val="28"/>
          <w:szCs w:val="28"/>
        </w:rPr>
        <w:t>一年来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，在县委、县政府的坚强领导下，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新一届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党政领导班子坚持以习近平新时代中国特色社会主义思想为指导，认真贯彻落实党的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二十大会议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精神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按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照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“五五战略”部署、全面建设“五个农安”，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戮力同心、务实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重行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三岗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镇经济社会高质量发展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呈现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新局面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1E5FB3" w:rsidRPr="000C573C" w:rsidRDefault="00F717D3" w:rsidP="000C573C">
      <w:pPr>
        <w:spacing w:line="576" w:lineRule="exact"/>
        <w:ind w:firstLineChars="250" w:firstLine="703"/>
        <w:rPr>
          <w:rFonts w:asciiTheme="minorEastAsia" w:eastAsiaTheme="minorEastAsia" w:hAnsiTheme="minorEastAsia" w:cs="楷体"/>
          <w:b/>
          <w:bCs/>
          <w:sz w:val="28"/>
          <w:szCs w:val="28"/>
        </w:rPr>
      </w:pPr>
      <w:r w:rsidRPr="000C573C">
        <w:rPr>
          <w:rFonts w:asciiTheme="minorEastAsia" w:eastAsiaTheme="minorEastAsia" w:hAnsiTheme="minorEastAsia" w:cs="楷体" w:hint="eastAsia"/>
          <w:b/>
          <w:bCs/>
          <w:sz w:val="28"/>
          <w:szCs w:val="28"/>
        </w:rPr>
        <w:t>2023</w:t>
      </w:r>
      <w:r w:rsidRPr="000C573C">
        <w:rPr>
          <w:rFonts w:asciiTheme="minorEastAsia" w:eastAsiaTheme="minorEastAsia" w:hAnsiTheme="minorEastAsia" w:cs="楷体" w:hint="eastAsia"/>
          <w:b/>
          <w:bCs/>
          <w:sz w:val="28"/>
          <w:szCs w:val="28"/>
        </w:rPr>
        <w:t>年工作完成情况</w:t>
      </w:r>
    </w:p>
    <w:p w:rsidR="001E5FB3" w:rsidRPr="000C573C" w:rsidRDefault="00F717D3" w:rsidP="000C573C">
      <w:pPr>
        <w:spacing w:line="360" w:lineRule="auto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0C573C">
        <w:rPr>
          <w:rFonts w:asciiTheme="minorEastAsia" w:eastAsiaTheme="minorEastAsia" w:hAnsiTheme="minorEastAsia" w:cs="仿宋_GB2312"/>
          <w:sz w:val="28"/>
          <w:szCs w:val="28"/>
        </w:rPr>
        <w:t>（一）坚持党建引领，夯实基层党建基础</w:t>
      </w:r>
    </w:p>
    <w:p w:rsidR="001E5FB3" w:rsidRPr="000C573C" w:rsidRDefault="00F717D3" w:rsidP="00CE38AE">
      <w:pPr>
        <w:spacing w:line="576" w:lineRule="exact"/>
        <w:ind w:firstLineChars="200" w:firstLine="562"/>
        <w:jc w:val="left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0C573C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一是加强</w:t>
      </w:r>
      <w:r w:rsidRPr="000C573C">
        <w:rPr>
          <w:rFonts w:asciiTheme="minorEastAsia" w:eastAsiaTheme="minorEastAsia" w:hAnsiTheme="minorEastAsia" w:cs="仿宋_GB2312"/>
          <w:b/>
          <w:bCs/>
          <w:sz w:val="28"/>
          <w:szCs w:val="28"/>
        </w:rPr>
        <w:t>思想</w:t>
      </w:r>
      <w:r w:rsidRPr="000C573C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政治建设。</w:t>
      </w:r>
      <w:r w:rsidRPr="000C573C">
        <w:rPr>
          <w:rFonts w:asciiTheme="minorEastAsia" w:eastAsiaTheme="minorEastAsia" w:hAnsiTheme="minorEastAsia"/>
          <w:sz w:val="28"/>
          <w:szCs w:val="28"/>
        </w:rPr>
        <w:t>认真执行第一议题制度，结合第二批主题教育，将习近平总书记关于</w:t>
      </w:r>
      <w:r w:rsidRPr="000C573C">
        <w:rPr>
          <w:rFonts w:asciiTheme="minorEastAsia" w:eastAsiaTheme="minorEastAsia" w:hAnsiTheme="minorEastAsia"/>
          <w:sz w:val="28"/>
          <w:szCs w:val="28"/>
        </w:rPr>
        <w:t>“</w:t>
      </w:r>
      <w:r w:rsidRPr="000C573C">
        <w:rPr>
          <w:rFonts w:asciiTheme="minorEastAsia" w:eastAsiaTheme="minorEastAsia" w:hAnsiTheme="minorEastAsia"/>
          <w:sz w:val="28"/>
          <w:szCs w:val="28"/>
        </w:rPr>
        <w:t>三农</w:t>
      </w:r>
      <w:r w:rsidRPr="000C573C">
        <w:rPr>
          <w:rFonts w:asciiTheme="minorEastAsia" w:eastAsiaTheme="minorEastAsia" w:hAnsiTheme="minorEastAsia"/>
          <w:sz w:val="28"/>
          <w:szCs w:val="28"/>
        </w:rPr>
        <w:t>”</w:t>
      </w:r>
      <w:r w:rsidRPr="000C573C">
        <w:rPr>
          <w:rFonts w:asciiTheme="minorEastAsia" w:eastAsiaTheme="minorEastAsia" w:hAnsiTheme="minorEastAsia"/>
          <w:sz w:val="28"/>
          <w:szCs w:val="28"/>
        </w:rPr>
        <w:t>工作重要论述和重要指示批示精神纳入镇党委理论中心组学习内容</w:t>
      </w:r>
      <w:r w:rsidRPr="000C573C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0C573C">
        <w:rPr>
          <w:rFonts w:asciiTheme="minorEastAsia" w:eastAsiaTheme="minorEastAsia" w:hAnsiTheme="minorEastAsia"/>
          <w:sz w:val="28"/>
          <w:szCs w:val="28"/>
        </w:rPr>
        <w:t>坚持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以学铸魂，筑牢思想根基，</w:t>
      </w:r>
      <w:r w:rsidRPr="000C573C">
        <w:rPr>
          <w:rFonts w:asciiTheme="minorEastAsia" w:eastAsiaTheme="minorEastAsia" w:hAnsiTheme="minorEastAsia" w:cs="仿宋"/>
          <w:color w:val="000000"/>
          <w:sz w:val="28"/>
          <w:szCs w:val="28"/>
        </w:rPr>
        <w:t>组织全镇党员干部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开展</w:t>
      </w:r>
      <w:r w:rsidRPr="000C573C">
        <w:rPr>
          <w:rFonts w:asciiTheme="minorEastAsia" w:eastAsiaTheme="minorEastAsia" w:hAnsiTheme="minorEastAsia" w:cs="仿宋"/>
          <w:color w:val="000000"/>
          <w:sz w:val="28"/>
          <w:szCs w:val="28"/>
        </w:rPr>
        <w:t>系列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学习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300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余次，镇党委班子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成员及各村支部书记讲党课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26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次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。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开展“我为群众办实事”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实践活动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，办结实事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35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件，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兑现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微心愿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60</w:t>
      </w:r>
      <w:r w:rsidRPr="000C573C">
        <w:rPr>
          <w:rFonts w:asciiTheme="minorEastAsia" w:eastAsiaTheme="minorEastAsia" w:hAnsiTheme="minorEastAsia" w:cs="仿宋"/>
          <w:color w:val="000000"/>
          <w:sz w:val="28"/>
          <w:szCs w:val="28"/>
        </w:rPr>
        <w:t>个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。</w:t>
      </w:r>
      <w:r w:rsidRPr="000C573C">
        <w:rPr>
          <w:rFonts w:asciiTheme="minorEastAsia" w:eastAsiaTheme="minorEastAsia" w:hAnsiTheme="minorEastAsia" w:cs="仿宋" w:hint="eastAsia"/>
          <w:sz w:val="28"/>
          <w:szCs w:val="28"/>
        </w:rPr>
        <w:t>截至目前，共形成问题清单</w:t>
      </w:r>
      <w:r w:rsidRPr="000C573C">
        <w:rPr>
          <w:rFonts w:asciiTheme="minorEastAsia" w:eastAsiaTheme="minorEastAsia" w:hAnsiTheme="minorEastAsia" w:cs="仿宋" w:hint="eastAsia"/>
          <w:sz w:val="28"/>
          <w:szCs w:val="28"/>
        </w:rPr>
        <w:t>19</w:t>
      </w:r>
      <w:r w:rsidRPr="000C573C">
        <w:rPr>
          <w:rFonts w:asciiTheme="minorEastAsia" w:eastAsiaTheme="minorEastAsia" w:hAnsiTheme="minorEastAsia" w:cs="仿宋" w:hint="eastAsia"/>
          <w:sz w:val="28"/>
          <w:szCs w:val="28"/>
        </w:rPr>
        <w:t>条，均已整改完毕</w:t>
      </w:r>
      <w:r w:rsidRPr="000C573C">
        <w:rPr>
          <w:rFonts w:asciiTheme="minorEastAsia" w:eastAsiaTheme="minorEastAsia" w:hAnsiTheme="minorEastAsia" w:cs="仿宋"/>
          <w:sz w:val="28"/>
          <w:szCs w:val="28"/>
        </w:rPr>
        <w:t>。二</w:t>
      </w:r>
      <w:r w:rsidRPr="000C573C">
        <w:rPr>
          <w:rFonts w:asciiTheme="minorEastAsia" w:eastAsiaTheme="minorEastAsia" w:hAnsiTheme="minorEastAsia" w:cs="仿宋" w:hint="eastAsia"/>
          <w:b/>
          <w:bCs/>
          <w:color w:val="000000"/>
          <w:sz w:val="28"/>
          <w:szCs w:val="28"/>
        </w:rPr>
        <w:t>是规范</w:t>
      </w:r>
      <w:r w:rsidRPr="000C573C">
        <w:rPr>
          <w:rFonts w:asciiTheme="minorEastAsia" w:eastAsiaTheme="minorEastAsia" w:hAnsiTheme="minorEastAsia" w:cs="仿宋" w:hint="eastAsia"/>
          <w:b/>
          <w:bCs/>
          <w:color w:val="000000"/>
          <w:sz w:val="28"/>
          <w:szCs w:val="28"/>
        </w:rPr>
        <w:t>组织生活制度。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抓好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新时代吉林党支部标准体系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lastRenderedPageBreak/>
        <w:t>（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BTX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）建设工作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。今年发展党员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12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名，其中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35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岁以下党员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7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名，女性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3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名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。</w:t>
      </w:r>
      <w:r w:rsidRPr="000C573C">
        <w:rPr>
          <w:rFonts w:asciiTheme="minorEastAsia" w:eastAsiaTheme="minorEastAsia" w:hAnsiTheme="minorEastAsia" w:cs="仿宋"/>
          <w:color w:val="000000"/>
          <w:sz w:val="28"/>
          <w:szCs w:val="28"/>
        </w:rPr>
        <w:t>三</w:t>
      </w:r>
      <w:r w:rsidRPr="000C573C">
        <w:rPr>
          <w:rFonts w:asciiTheme="minorEastAsia" w:eastAsiaTheme="minorEastAsia" w:hAnsiTheme="minorEastAsia" w:cs="仿宋" w:hint="eastAsia"/>
          <w:b/>
          <w:bCs/>
          <w:color w:val="000000"/>
          <w:sz w:val="28"/>
          <w:szCs w:val="28"/>
        </w:rPr>
        <w:t>是</w:t>
      </w:r>
      <w:r w:rsidRPr="000C573C">
        <w:rPr>
          <w:rFonts w:asciiTheme="minorEastAsia" w:eastAsiaTheme="minorEastAsia" w:hAnsiTheme="minorEastAsia" w:cs="仿宋"/>
          <w:b/>
          <w:bCs/>
          <w:color w:val="000000"/>
          <w:sz w:val="28"/>
          <w:szCs w:val="28"/>
        </w:rPr>
        <w:t>促进乡村振兴发展</w:t>
      </w:r>
      <w:r w:rsidRPr="000C573C">
        <w:rPr>
          <w:rFonts w:asciiTheme="minorEastAsia" w:eastAsiaTheme="minorEastAsia" w:hAnsiTheme="minorEastAsia" w:cs="仿宋" w:hint="eastAsia"/>
          <w:b/>
          <w:bCs/>
          <w:color w:val="000000"/>
          <w:sz w:val="28"/>
          <w:szCs w:val="28"/>
        </w:rPr>
        <w:t>。</w:t>
      </w:r>
      <w:r w:rsidRPr="000C573C">
        <w:rPr>
          <w:rFonts w:asciiTheme="minorEastAsia" w:eastAsiaTheme="minorEastAsia" w:hAnsiTheme="minorEastAsia" w:cs="仿宋" w:hint="eastAsia"/>
          <w:sz w:val="28"/>
          <w:szCs w:val="28"/>
        </w:rPr>
        <w:t>全镇共创建支部领办合作社</w:t>
      </w:r>
      <w:r w:rsidRPr="000C573C">
        <w:rPr>
          <w:rFonts w:asciiTheme="minorEastAsia" w:eastAsiaTheme="minorEastAsia" w:hAnsiTheme="minorEastAsia" w:cs="仿宋" w:hint="eastAsia"/>
          <w:sz w:val="28"/>
          <w:szCs w:val="28"/>
        </w:rPr>
        <w:t>7</w:t>
      </w:r>
      <w:r w:rsidRPr="000C573C">
        <w:rPr>
          <w:rFonts w:asciiTheme="minorEastAsia" w:eastAsiaTheme="minorEastAsia" w:hAnsiTheme="minorEastAsia" w:cs="仿宋" w:hint="eastAsia"/>
          <w:sz w:val="28"/>
          <w:szCs w:val="28"/>
        </w:rPr>
        <w:t>个，两年共收回土地</w:t>
      </w:r>
      <w:r w:rsidRPr="000C573C">
        <w:rPr>
          <w:rFonts w:asciiTheme="minorEastAsia" w:eastAsiaTheme="minorEastAsia" w:hAnsiTheme="minorEastAsia" w:cs="仿宋" w:hint="eastAsia"/>
          <w:sz w:val="28"/>
          <w:szCs w:val="28"/>
        </w:rPr>
        <w:t>343.8</w:t>
      </w:r>
      <w:r w:rsidRPr="000C573C">
        <w:rPr>
          <w:rFonts w:asciiTheme="minorEastAsia" w:eastAsiaTheme="minorEastAsia" w:hAnsiTheme="minorEastAsia" w:cs="仿宋" w:hint="eastAsia"/>
          <w:sz w:val="28"/>
          <w:szCs w:val="28"/>
        </w:rPr>
        <w:t>公顷，资金</w:t>
      </w:r>
      <w:r w:rsidRPr="000C573C">
        <w:rPr>
          <w:rFonts w:asciiTheme="minorEastAsia" w:eastAsiaTheme="minorEastAsia" w:hAnsiTheme="minorEastAsia" w:cs="仿宋" w:hint="eastAsia"/>
          <w:sz w:val="28"/>
          <w:szCs w:val="28"/>
        </w:rPr>
        <w:t>361</w:t>
      </w:r>
      <w:r w:rsidRPr="000C573C">
        <w:rPr>
          <w:rFonts w:asciiTheme="minorEastAsia" w:eastAsiaTheme="minorEastAsia" w:hAnsiTheme="minorEastAsia" w:cs="仿宋" w:hint="eastAsia"/>
          <w:sz w:val="28"/>
          <w:szCs w:val="28"/>
        </w:rPr>
        <w:t>万元。</w:t>
      </w:r>
      <w:r w:rsidRPr="000C573C">
        <w:rPr>
          <w:rFonts w:asciiTheme="minorEastAsia" w:eastAsiaTheme="minorEastAsia" w:hAnsiTheme="minorEastAsia" w:cs="仿宋" w:hint="eastAsia"/>
          <w:sz w:val="28"/>
          <w:szCs w:val="28"/>
        </w:rPr>
        <w:t>7</w:t>
      </w:r>
      <w:r w:rsidRPr="000C573C">
        <w:rPr>
          <w:rFonts w:asciiTheme="minorEastAsia" w:eastAsiaTheme="minorEastAsia" w:hAnsiTheme="minorEastAsia" w:cs="仿宋" w:hint="eastAsia"/>
          <w:sz w:val="28"/>
          <w:szCs w:val="28"/>
        </w:rPr>
        <w:t>个村村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集体经济超过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50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万</w:t>
      </w:r>
      <w:r w:rsidRPr="000C573C">
        <w:rPr>
          <w:rFonts w:asciiTheme="minorEastAsia" w:eastAsiaTheme="minorEastAsia" w:hAnsiTheme="minorEastAsia" w:cs="仿宋"/>
          <w:color w:val="000000"/>
          <w:sz w:val="28"/>
          <w:szCs w:val="28"/>
        </w:rPr>
        <w:t>元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，剩余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7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个村村集体经济也在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20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万至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50</w:t>
      </w:r>
      <w:r w:rsidRPr="000C573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万之间。</w:t>
      </w:r>
    </w:p>
    <w:p w:rsidR="001E5FB3" w:rsidRPr="000C573C" w:rsidRDefault="00F717D3" w:rsidP="000C573C">
      <w:pPr>
        <w:spacing w:line="360" w:lineRule="auto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（二）突出质量兴农，深化农业供给侧结构性改革</w:t>
      </w:r>
    </w:p>
    <w:p w:rsidR="001E5FB3" w:rsidRPr="000C573C" w:rsidRDefault="00F717D3" w:rsidP="000C573C">
      <w:pPr>
        <w:spacing w:line="360" w:lineRule="auto"/>
        <w:ind w:firstLineChars="200" w:firstLine="562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0C573C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一是抓好粮食安全。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今年全镇播种面积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13946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公顷，其中玉米播种面积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12926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公顷，粮食产量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12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万吨；</w:t>
      </w:r>
      <w:r w:rsidRPr="000C573C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二是抓好结构调整。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全镇经济作物种植面积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558.2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公顷，主要是西瓜、甜瓜，</w:t>
      </w:r>
      <w:r w:rsidRPr="000C573C">
        <w:rPr>
          <w:rFonts w:asciiTheme="minorEastAsia" w:eastAsiaTheme="minorEastAsia" w:hAnsiTheme="minorEastAsia"/>
          <w:sz w:val="28"/>
          <w:szCs w:val="28"/>
        </w:rPr>
        <w:t>2023</w:t>
      </w:r>
      <w:r w:rsidRPr="000C573C">
        <w:rPr>
          <w:rFonts w:asciiTheme="minorEastAsia" w:eastAsiaTheme="minorEastAsia" w:hAnsiTheme="minorEastAsia"/>
          <w:sz w:val="28"/>
          <w:szCs w:val="28"/>
        </w:rPr>
        <w:t>年西甜瓜种植面积</w:t>
      </w:r>
      <w:r w:rsidRPr="000C573C">
        <w:rPr>
          <w:rFonts w:asciiTheme="minorEastAsia" w:eastAsiaTheme="minorEastAsia" w:hAnsiTheme="minorEastAsia"/>
          <w:sz w:val="28"/>
          <w:szCs w:val="28"/>
        </w:rPr>
        <w:t>336</w:t>
      </w:r>
      <w:r w:rsidRPr="000C573C">
        <w:rPr>
          <w:rFonts w:asciiTheme="minorEastAsia" w:eastAsiaTheme="minorEastAsia" w:hAnsiTheme="minorEastAsia"/>
          <w:sz w:val="28"/>
          <w:szCs w:val="28"/>
        </w:rPr>
        <w:t>公顷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。</w:t>
      </w:r>
      <w:r w:rsidRPr="000C573C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三是抓好保护性耕作。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春耕春播取得全面性胜利。全镇今年落实保护性耕作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10000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公顷，其中全量还田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1150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公顷。</w:t>
      </w:r>
      <w:r w:rsidRPr="000C573C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四是抓好现代农业产业带建设。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围绕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334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国道沿线，打造采摘园、开发打造特色农副产品，重点打造宝泉涌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泉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水稻等农副产品。</w:t>
      </w:r>
    </w:p>
    <w:p w:rsidR="001E5FB3" w:rsidRPr="000C573C" w:rsidRDefault="00F717D3" w:rsidP="000C573C">
      <w:pPr>
        <w:spacing w:line="360" w:lineRule="auto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(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三）坚持内外兼修，标本兼治，实现“颜值美”到“内在美”</w:t>
      </w:r>
    </w:p>
    <w:p w:rsidR="001E5FB3" w:rsidRPr="000C573C" w:rsidRDefault="00F717D3" w:rsidP="000C573C">
      <w:pPr>
        <w:spacing w:line="360" w:lineRule="auto"/>
        <w:ind w:firstLineChars="200" w:firstLine="56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全力做好人居环境整治工作。把改善人居环境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与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助力乡村振兴有效衔接，树立以人民为中心的发展思想，为全面振兴蓄势赋能。坚持走好“清理”“美化”两步棋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。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一是垃圾清理专项行动。全镇共有保洁员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138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人，保洁车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47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台，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采取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“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定岗定责定时定点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”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的方式对镇域内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主次干道沿线进行彻底无死角无盲点清理；二是河道整治专项行动。坚持将河道整治行动列为全年工作重点，建立镇、村两级“河长制”，制定一河一策，全面形成河长主抓、上下协同、村民参与的工作格局，对河道进行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彻底清理。三是村庄美化绿化行动。今年三岗镇累计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购置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小桃李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3000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余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棵，金叶榆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1500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余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棵，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同时组织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购买各式花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lastRenderedPageBreak/>
        <w:t>草种子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数万粒栽种在镇、村主干道路两侧，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巩固了美化绿化成果，保证了景观效果。</w:t>
      </w:r>
    </w:p>
    <w:p w:rsidR="001E5FB3" w:rsidRPr="000C573C" w:rsidRDefault="00F717D3" w:rsidP="000C573C">
      <w:pPr>
        <w:spacing w:line="360" w:lineRule="auto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(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四）坚持协调统筹，促进城乡融合发展</w:t>
      </w:r>
    </w:p>
    <w:p w:rsidR="001E5FB3" w:rsidRPr="000C573C" w:rsidRDefault="00F717D3" w:rsidP="000C573C">
      <w:pPr>
        <w:ind w:firstLineChars="200" w:firstLine="56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一是修整破损道路，</w:t>
      </w:r>
      <w:r w:rsidRPr="000C573C">
        <w:rPr>
          <w:rFonts w:asciiTheme="minorEastAsia" w:eastAsiaTheme="minorEastAsia" w:hAnsiTheme="minorEastAsia" w:cs="仿宋" w:hint="eastAsia"/>
          <w:spacing w:val="-6"/>
          <w:sz w:val="28"/>
          <w:szCs w:val="28"/>
        </w:rPr>
        <w:t>投资</w:t>
      </w:r>
      <w:r w:rsidRPr="000C573C">
        <w:rPr>
          <w:rFonts w:asciiTheme="minorEastAsia" w:eastAsiaTheme="minorEastAsia" w:hAnsiTheme="minorEastAsia" w:cs="仿宋" w:hint="eastAsia"/>
          <w:spacing w:val="-6"/>
          <w:sz w:val="28"/>
          <w:szCs w:val="28"/>
        </w:rPr>
        <w:t>180</w:t>
      </w:r>
      <w:r w:rsidRPr="000C573C">
        <w:rPr>
          <w:rFonts w:asciiTheme="minorEastAsia" w:eastAsiaTheme="minorEastAsia" w:hAnsiTheme="minorEastAsia" w:cs="仿宋" w:hint="eastAsia"/>
          <w:spacing w:val="-6"/>
          <w:sz w:val="28"/>
          <w:szCs w:val="28"/>
        </w:rPr>
        <w:t>万元对镇区两侧</w:t>
      </w:r>
      <w:r w:rsidRPr="000C573C">
        <w:rPr>
          <w:rFonts w:asciiTheme="minorEastAsia" w:eastAsiaTheme="minorEastAsia" w:hAnsiTheme="minorEastAsia" w:cs="仿宋" w:hint="eastAsia"/>
          <w:spacing w:val="-6"/>
          <w:sz w:val="28"/>
          <w:szCs w:val="28"/>
        </w:rPr>
        <w:t>14</w:t>
      </w:r>
      <w:r w:rsidRPr="000C573C">
        <w:rPr>
          <w:rFonts w:asciiTheme="minorEastAsia" w:eastAsiaTheme="minorEastAsia" w:hAnsiTheme="minorEastAsia" w:cs="仿宋" w:hint="eastAsia"/>
          <w:spacing w:val="-6"/>
          <w:sz w:val="28"/>
          <w:szCs w:val="28"/>
        </w:rPr>
        <w:t>条巷道共计</w:t>
      </w:r>
      <w:r w:rsidRPr="000C573C">
        <w:rPr>
          <w:rFonts w:asciiTheme="minorEastAsia" w:eastAsiaTheme="minorEastAsia" w:hAnsiTheme="minorEastAsia" w:cs="仿宋" w:hint="eastAsia"/>
          <w:spacing w:val="-6"/>
          <w:sz w:val="28"/>
          <w:szCs w:val="28"/>
        </w:rPr>
        <w:t>3.2</w:t>
      </w:r>
      <w:r w:rsidRPr="000C573C">
        <w:rPr>
          <w:rFonts w:asciiTheme="minorEastAsia" w:eastAsiaTheme="minorEastAsia" w:hAnsiTheme="minorEastAsia" w:cs="仿宋" w:hint="eastAsia"/>
          <w:spacing w:val="-6"/>
          <w:sz w:val="28"/>
          <w:szCs w:val="28"/>
        </w:rPr>
        <w:t>公里进行“白改黑”升级，投资</w:t>
      </w:r>
      <w:r w:rsidRPr="000C573C">
        <w:rPr>
          <w:rFonts w:asciiTheme="minorEastAsia" w:eastAsiaTheme="minorEastAsia" w:hAnsiTheme="minorEastAsia" w:cs="仿宋" w:hint="eastAsia"/>
          <w:spacing w:val="-6"/>
          <w:sz w:val="28"/>
          <w:szCs w:val="28"/>
        </w:rPr>
        <w:t>10</w:t>
      </w:r>
      <w:r w:rsidRPr="000C573C">
        <w:rPr>
          <w:rFonts w:asciiTheme="minorEastAsia" w:eastAsiaTheme="minorEastAsia" w:hAnsiTheme="minorEastAsia" w:cs="仿宋"/>
          <w:spacing w:val="-6"/>
          <w:sz w:val="28"/>
          <w:szCs w:val="28"/>
        </w:rPr>
        <w:t>3</w:t>
      </w:r>
      <w:r w:rsidRPr="000C573C">
        <w:rPr>
          <w:rFonts w:asciiTheme="minorEastAsia" w:eastAsiaTheme="minorEastAsia" w:hAnsiTheme="minorEastAsia" w:cs="仿宋" w:hint="eastAsia"/>
          <w:spacing w:val="-6"/>
          <w:sz w:val="28"/>
          <w:szCs w:val="28"/>
        </w:rPr>
        <w:t>万元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对政府院内外，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休闲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广场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进行升级改造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，保证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了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百姓出行方便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，提升了政府整体形象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。二是新建宝泉村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部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、扩建固守村部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，提升基层服务质量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。三是光荣村、河西村作为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23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年千村示范村进行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了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重点打造，争取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到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乡村振兴资金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200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万元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。其中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建设产业项目牛舍两栋，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其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占地面积分别为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2378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米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²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和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2150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米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²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，建筑面积总计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776.16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米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²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，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拓宽了村民增收渠道，提升了村集体经济；修建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光荣村郜小铺屯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1025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米水泥路，改善村民出行条件，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对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河西村刘小店屯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进行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排水沟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修建共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1125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米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，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优化村排水能力。由于长春市一小时经济环线途径三岗镇，今年三岗镇计划征收土地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109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公顷，涉及户数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xx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，现在全力推进中。</w:t>
      </w:r>
    </w:p>
    <w:p w:rsidR="001E5FB3" w:rsidRPr="000C573C" w:rsidRDefault="00F717D3" w:rsidP="000C573C">
      <w:pPr>
        <w:spacing w:line="360" w:lineRule="auto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（五）抓建设，重治理，环境品质持续改善</w:t>
      </w:r>
    </w:p>
    <w:p w:rsidR="001E5FB3" w:rsidRPr="000C573C" w:rsidRDefault="00F717D3" w:rsidP="000C573C">
      <w:pPr>
        <w:spacing w:line="360" w:lineRule="auto"/>
        <w:ind w:firstLineChars="200" w:firstLine="560"/>
        <w:rPr>
          <w:rFonts w:asciiTheme="minorEastAsia" w:eastAsiaTheme="minorEastAsia" w:hAnsiTheme="minorEastAsia" w:cs="仿宋_GB2312"/>
          <w:bCs/>
          <w:sz w:val="28"/>
          <w:szCs w:val="28"/>
        </w:rPr>
      </w:pPr>
      <w:bookmarkStart w:id="0" w:name="_GoBack"/>
      <w:bookmarkEnd w:id="0"/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大力发展肉牛养殖，帮助村集体“发牛财”。全镇现有肉牛养殖户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1215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户，截止目前牛存栏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1.38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万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头，其中能繁母牛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7387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头，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100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头以上规模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5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户，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51-100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头规模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39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户。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同时为保证不以牺牲环境为代价发展肉牛经济，我镇建设了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6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个粪污收集中心，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79</w:t>
      </w:r>
      <w:r w:rsidRPr="000C573C">
        <w:rPr>
          <w:rFonts w:asciiTheme="minorEastAsia" w:eastAsiaTheme="minorEastAsia" w:hAnsiTheme="minorEastAsia" w:cs="仿宋_GB2312"/>
          <w:bCs/>
          <w:sz w:val="28"/>
          <w:szCs w:val="28"/>
        </w:rPr>
        <w:t>个储粪场，方便百姓倾倒</w:t>
      </w:r>
      <w:r w:rsidRPr="000C573C">
        <w:rPr>
          <w:rFonts w:asciiTheme="minorEastAsia" w:eastAsiaTheme="minorEastAsia" w:hAnsiTheme="minorEastAsia" w:cs="仿宋_GB2312" w:hint="eastAsia"/>
          <w:bCs/>
          <w:sz w:val="28"/>
          <w:szCs w:val="28"/>
        </w:rPr>
        <w:t>。</w:t>
      </w:r>
    </w:p>
    <w:p w:rsidR="001E5FB3" w:rsidRPr="000C573C" w:rsidRDefault="00F717D3" w:rsidP="000C573C">
      <w:pPr>
        <w:spacing w:line="360" w:lineRule="auto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（六）保基本，惠民生，群众生活更加美好</w:t>
      </w:r>
    </w:p>
    <w:p w:rsidR="001E5FB3" w:rsidRDefault="00F717D3" w:rsidP="000C573C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全镇现有建档立卡脱贫户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227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户，脱贫人口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465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人。监测户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18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lastRenderedPageBreak/>
        <w:t>户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46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人，脱贫户学生享受外地就读（幸福长春项目）待遇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23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人，享受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2023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年春季雨露计划的有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11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户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13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人，秋季雨露计划的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6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户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8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人，持续巩固了两不愁、三保障，及时落实了各项帮扶措施，今年全镇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227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户脱贫户人均收入都已达到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10000</w:t>
      </w:r>
      <w:r w:rsidRPr="000C573C">
        <w:rPr>
          <w:rFonts w:asciiTheme="minorEastAsia" w:eastAsiaTheme="minorEastAsia" w:hAnsiTheme="minorEastAsia" w:cs="仿宋_GB2312" w:hint="eastAsia"/>
          <w:sz w:val="28"/>
          <w:szCs w:val="28"/>
        </w:rPr>
        <w:t>元红线以上。</w:t>
      </w:r>
    </w:p>
    <w:p w:rsidR="00094E43" w:rsidRDefault="00094E43" w:rsidP="00094E43">
      <w:pPr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二、主动公开政府信息情况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2245"/>
        <w:gridCol w:w="2205"/>
        <w:gridCol w:w="2520"/>
      </w:tblGrid>
      <w:tr w:rsidR="00094E43" w:rsidTr="00E77C8C">
        <w:trPr>
          <w:trHeight w:val="650"/>
        </w:trPr>
        <w:tc>
          <w:tcPr>
            <w:tcW w:w="9100" w:type="dxa"/>
            <w:gridSpan w:val="4"/>
            <w:shd w:val="clear" w:color="auto" w:fill="99CCFF"/>
            <w:vAlign w:val="center"/>
          </w:tcPr>
          <w:p w:rsidR="00094E43" w:rsidRDefault="00094E43" w:rsidP="00E77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第二十条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第（一）项</w:t>
            </w:r>
          </w:p>
        </w:tc>
      </w:tr>
      <w:tr w:rsidR="00094E43" w:rsidTr="00E77C8C">
        <w:trPr>
          <w:trHeight w:val="614"/>
        </w:trPr>
        <w:tc>
          <w:tcPr>
            <w:tcW w:w="2130" w:type="dxa"/>
            <w:vAlign w:val="center"/>
          </w:tcPr>
          <w:p w:rsidR="00094E43" w:rsidRDefault="00094E43" w:rsidP="00E77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2245" w:type="dxa"/>
            <w:vAlign w:val="center"/>
          </w:tcPr>
          <w:p w:rsidR="00094E43" w:rsidRDefault="00094E43" w:rsidP="00E77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本年制发件数</w:t>
            </w:r>
          </w:p>
        </w:tc>
        <w:tc>
          <w:tcPr>
            <w:tcW w:w="2205" w:type="dxa"/>
            <w:vAlign w:val="center"/>
          </w:tcPr>
          <w:p w:rsidR="00094E43" w:rsidRDefault="00094E43" w:rsidP="00E77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本年废止件数</w:t>
            </w:r>
          </w:p>
        </w:tc>
        <w:tc>
          <w:tcPr>
            <w:tcW w:w="2520" w:type="dxa"/>
            <w:vAlign w:val="center"/>
          </w:tcPr>
          <w:p w:rsidR="00094E43" w:rsidRDefault="00094E43" w:rsidP="00E77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现行有效件数</w:t>
            </w:r>
          </w:p>
        </w:tc>
      </w:tr>
      <w:tr w:rsidR="00094E43" w:rsidTr="00E77C8C">
        <w:trPr>
          <w:trHeight w:val="614"/>
        </w:trPr>
        <w:tc>
          <w:tcPr>
            <w:tcW w:w="2130" w:type="dxa"/>
            <w:vAlign w:val="center"/>
          </w:tcPr>
          <w:p w:rsidR="00094E43" w:rsidRDefault="00094E43" w:rsidP="00E77C8C">
            <w:pPr>
              <w:rPr>
                <w:sz w:val="24"/>
              </w:rPr>
            </w:pPr>
            <w:r>
              <w:rPr>
                <w:sz w:val="24"/>
              </w:rPr>
              <w:t>规章</w:t>
            </w:r>
          </w:p>
        </w:tc>
        <w:tc>
          <w:tcPr>
            <w:tcW w:w="2245" w:type="dxa"/>
          </w:tcPr>
          <w:p w:rsidR="00094E43" w:rsidRDefault="00094E43" w:rsidP="00E77C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205" w:type="dxa"/>
          </w:tcPr>
          <w:p w:rsidR="00094E43" w:rsidRDefault="00094E43" w:rsidP="00E77C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520" w:type="dxa"/>
          </w:tcPr>
          <w:p w:rsidR="00094E43" w:rsidRDefault="00094E43" w:rsidP="00E77C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094E43" w:rsidTr="00E77C8C">
        <w:trPr>
          <w:trHeight w:val="614"/>
        </w:trPr>
        <w:tc>
          <w:tcPr>
            <w:tcW w:w="2130" w:type="dxa"/>
            <w:vAlign w:val="center"/>
          </w:tcPr>
          <w:p w:rsidR="00094E43" w:rsidRDefault="00094E43" w:rsidP="00E77C8C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行政规范性文件</w:t>
            </w:r>
          </w:p>
        </w:tc>
        <w:tc>
          <w:tcPr>
            <w:tcW w:w="2245" w:type="dxa"/>
          </w:tcPr>
          <w:p w:rsidR="00094E43" w:rsidRDefault="00094E43" w:rsidP="00E77C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205" w:type="dxa"/>
          </w:tcPr>
          <w:p w:rsidR="00094E43" w:rsidRDefault="00094E43" w:rsidP="00E77C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520" w:type="dxa"/>
          </w:tcPr>
          <w:p w:rsidR="00094E43" w:rsidRDefault="00094E43" w:rsidP="00E77C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094E43" w:rsidTr="00E77C8C">
        <w:trPr>
          <w:trHeight w:val="614"/>
        </w:trPr>
        <w:tc>
          <w:tcPr>
            <w:tcW w:w="9100" w:type="dxa"/>
            <w:gridSpan w:val="4"/>
            <w:shd w:val="clear" w:color="auto" w:fill="99CCFF"/>
            <w:vAlign w:val="center"/>
          </w:tcPr>
          <w:p w:rsidR="00094E43" w:rsidRDefault="00094E43" w:rsidP="00E77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第二十条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第（五）项</w:t>
            </w:r>
          </w:p>
        </w:tc>
      </w:tr>
      <w:tr w:rsidR="00094E43" w:rsidTr="00E77C8C">
        <w:trPr>
          <w:trHeight w:val="770"/>
        </w:trPr>
        <w:tc>
          <w:tcPr>
            <w:tcW w:w="2130" w:type="dxa"/>
            <w:vAlign w:val="center"/>
          </w:tcPr>
          <w:p w:rsidR="00094E43" w:rsidRDefault="00094E43" w:rsidP="00E77C8C">
            <w:pPr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6970" w:type="dxa"/>
            <w:gridSpan w:val="3"/>
            <w:vAlign w:val="center"/>
          </w:tcPr>
          <w:p w:rsidR="00094E43" w:rsidRDefault="00094E43" w:rsidP="00E77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本年处理决定数量</w:t>
            </w:r>
          </w:p>
        </w:tc>
      </w:tr>
      <w:tr w:rsidR="00094E43" w:rsidTr="00E77C8C">
        <w:trPr>
          <w:trHeight w:val="614"/>
        </w:trPr>
        <w:tc>
          <w:tcPr>
            <w:tcW w:w="2130" w:type="dxa"/>
            <w:vAlign w:val="center"/>
          </w:tcPr>
          <w:p w:rsidR="00094E43" w:rsidRDefault="00094E43" w:rsidP="00E77C8C">
            <w:pPr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6970" w:type="dxa"/>
            <w:gridSpan w:val="3"/>
          </w:tcPr>
          <w:p w:rsidR="00094E43" w:rsidRDefault="00094E43" w:rsidP="00E77C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094E43" w:rsidTr="00E77C8C">
        <w:trPr>
          <w:trHeight w:val="614"/>
        </w:trPr>
        <w:tc>
          <w:tcPr>
            <w:tcW w:w="9100" w:type="dxa"/>
            <w:gridSpan w:val="4"/>
            <w:shd w:val="clear" w:color="auto" w:fill="99CCFF"/>
            <w:vAlign w:val="center"/>
          </w:tcPr>
          <w:p w:rsidR="00094E43" w:rsidRDefault="00094E43" w:rsidP="00E77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第二十条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第（六）项</w:t>
            </w:r>
          </w:p>
        </w:tc>
      </w:tr>
      <w:tr w:rsidR="00094E43" w:rsidTr="00E77C8C">
        <w:trPr>
          <w:trHeight w:val="614"/>
        </w:trPr>
        <w:tc>
          <w:tcPr>
            <w:tcW w:w="2130" w:type="dxa"/>
            <w:vAlign w:val="center"/>
          </w:tcPr>
          <w:p w:rsidR="00094E43" w:rsidRDefault="00094E43" w:rsidP="00E77C8C">
            <w:pPr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6970" w:type="dxa"/>
            <w:gridSpan w:val="3"/>
            <w:vAlign w:val="center"/>
          </w:tcPr>
          <w:p w:rsidR="00094E43" w:rsidRDefault="00094E43" w:rsidP="00E77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本年处理决定数量</w:t>
            </w:r>
          </w:p>
        </w:tc>
      </w:tr>
      <w:tr w:rsidR="00094E43" w:rsidTr="00E77C8C">
        <w:trPr>
          <w:trHeight w:val="614"/>
        </w:trPr>
        <w:tc>
          <w:tcPr>
            <w:tcW w:w="2130" w:type="dxa"/>
            <w:vAlign w:val="center"/>
          </w:tcPr>
          <w:p w:rsidR="00094E43" w:rsidRDefault="00094E43" w:rsidP="00E77C8C">
            <w:pPr>
              <w:rPr>
                <w:sz w:val="24"/>
              </w:rPr>
            </w:pPr>
            <w:r>
              <w:rPr>
                <w:sz w:val="24"/>
              </w:rPr>
              <w:t>行政处罚</w:t>
            </w:r>
          </w:p>
        </w:tc>
        <w:tc>
          <w:tcPr>
            <w:tcW w:w="6970" w:type="dxa"/>
            <w:gridSpan w:val="3"/>
          </w:tcPr>
          <w:p w:rsidR="00094E43" w:rsidRDefault="00094E43" w:rsidP="00E77C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094E43" w:rsidTr="00E77C8C">
        <w:trPr>
          <w:trHeight w:val="614"/>
        </w:trPr>
        <w:tc>
          <w:tcPr>
            <w:tcW w:w="2130" w:type="dxa"/>
            <w:vAlign w:val="center"/>
          </w:tcPr>
          <w:p w:rsidR="00094E43" w:rsidRDefault="00094E43" w:rsidP="00E77C8C">
            <w:pPr>
              <w:rPr>
                <w:sz w:val="24"/>
              </w:rPr>
            </w:pPr>
            <w:r>
              <w:rPr>
                <w:sz w:val="24"/>
              </w:rPr>
              <w:t>行政强制</w:t>
            </w:r>
          </w:p>
        </w:tc>
        <w:tc>
          <w:tcPr>
            <w:tcW w:w="6970" w:type="dxa"/>
            <w:gridSpan w:val="3"/>
          </w:tcPr>
          <w:p w:rsidR="00094E43" w:rsidRDefault="00094E43" w:rsidP="00E77C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094E43" w:rsidTr="00E77C8C">
        <w:trPr>
          <w:trHeight w:val="614"/>
        </w:trPr>
        <w:tc>
          <w:tcPr>
            <w:tcW w:w="9100" w:type="dxa"/>
            <w:gridSpan w:val="4"/>
            <w:shd w:val="clear" w:color="auto" w:fill="99CCFF"/>
            <w:vAlign w:val="center"/>
          </w:tcPr>
          <w:p w:rsidR="00094E43" w:rsidRDefault="00094E43" w:rsidP="00E77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第二十条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第（八）项</w:t>
            </w:r>
          </w:p>
        </w:tc>
      </w:tr>
      <w:tr w:rsidR="00094E43" w:rsidTr="00E77C8C">
        <w:trPr>
          <w:trHeight w:val="770"/>
        </w:trPr>
        <w:tc>
          <w:tcPr>
            <w:tcW w:w="2130" w:type="dxa"/>
            <w:vAlign w:val="center"/>
          </w:tcPr>
          <w:p w:rsidR="00094E43" w:rsidRDefault="00094E43" w:rsidP="00E77C8C">
            <w:pPr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6970" w:type="dxa"/>
            <w:gridSpan w:val="3"/>
            <w:vAlign w:val="center"/>
          </w:tcPr>
          <w:p w:rsidR="00094E43" w:rsidRDefault="00094E43" w:rsidP="00E77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本年收费金额（单位：万元）</w:t>
            </w:r>
          </w:p>
        </w:tc>
      </w:tr>
      <w:tr w:rsidR="00094E43" w:rsidTr="00E77C8C">
        <w:trPr>
          <w:trHeight w:val="760"/>
        </w:trPr>
        <w:tc>
          <w:tcPr>
            <w:tcW w:w="2130" w:type="dxa"/>
            <w:vAlign w:val="center"/>
          </w:tcPr>
          <w:p w:rsidR="00094E43" w:rsidRDefault="00094E43" w:rsidP="00E77C8C">
            <w:pPr>
              <w:rPr>
                <w:sz w:val="24"/>
              </w:rPr>
            </w:pPr>
            <w:r>
              <w:rPr>
                <w:sz w:val="24"/>
              </w:rPr>
              <w:t>行政事业性收费</w:t>
            </w:r>
          </w:p>
        </w:tc>
        <w:tc>
          <w:tcPr>
            <w:tcW w:w="6970" w:type="dxa"/>
            <w:gridSpan w:val="3"/>
          </w:tcPr>
          <w:p w:rsidR="00094E43" w:rsidRDefault="00094E43" w:rsidP="00E77C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</w:tbl>
    <w:p w:rsidR="00094E43" w:rsidRDefault="00094E43" w:rsidP="00094E43">
      <w:pPr>
        <w:ind w:firstLineChars="200" w:firstLine="482"/>
        <w:rPr>
          <w:rFonts w:ascii="宋体" w:hAnsi="宋体" w:cs="宋体" w:hint="eastAsia"/>
          <w:b/>
          <w:bCs/>
          <w:sz w:val="24"/>
        </w:rPr>
      </w:pPr>
    </w:p>
    <w:p w:rsidR="00094E43" w:rsidRDefault="00094E43" w:rsidP="00094E43">
      <w:pPr>
        <w:ind w:firstLineChars="200" w:firstLine="482"/>
        <w:rPr>
          <w:rFonts w:ascii="宋体" w:hAnsi="宋体" w:cs="宋体" w:hint="eastAsia"/>
          <w:b/>
          <w:bCs/>
          <w:sz w:val="24"/>
        </w:rPr>
      </w:pPr>
    </w:p>
    <w:p w:rsidR="00094E43" w:rsidRDefault="00094E43" w:rsidP="00094E43">
      <w:pPr>
        <w:rPr>
          <w:rFonts w:ascii="宋体" w:hAnsi="宋体" w:cs="宋体" w:hint="eastAsia"/>
          <w:b/>
          <w:bCs/>
          <w:sz w:val="24"/>
        </w:rPr>
      </w:pPr>
    </w:p>
    <w:p w:rsidR="00094E43" w:rsidRDefault="00094E43" w:rsidP="00094E43">
      <w:pPr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三、收到和处理政府信息公开申请情况</w:t>
      </w:r>
    </w:p>
    <w:p w:rsidR="00094E43" w:rsidRDefault="00094E43" w:rsidP="00094E43">
      <w:pPr>
        <w:rPr>
          <w:rFonts w:ascii="宋体" w:hAnsi="宋体" w:cs="宋体" w:hint="eastAsia"/>
          <w:b/>
          <w:bCs/>
          <w:sz w:val="24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753"/>
        <w:gridCol w:w="2757"/>
        <w:gridCol w:w="552"/>
        <w:gridCol w:w="630"/>
        <w:gridCol w:w="630"/>
        <w:gridCol w:w="628"/>
        <w:gridCol w:w="839"/>
        <w:gridCol w:w="738"/>
        <w:gridCol w:w="838"/>
      </w:tblGrid>
      <w:tr w:rsidR="00094E43" w:rsidTr="00094E43">
        <w:trPr>
          <w:trHeight w:val="339"/>
        </w:trPr>
        <w:tc>
          <w:tcPr>
            <w:tcW w:w="4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E43" w:rsidRDefault="00094E43" w:rsidP="00094E43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4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ind w:firstLineChars="1177" w:firstLine="2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申请人情况</w:t>
            </w:r>
          </w:p>
        </w:tc>
      </w:tr>
      <w:tr w:rsidR="00094E43" w:rsidTr="00094E43">
        <w:trPr>
          <w:trHeight w:val="458"/>
        </w:trPr>
        <w:tc>
          <w:tcPr>
            <w:tcW w:w="424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4E43" w:rsidRDefault="00094E43" w:rsidP="00E77C8C"/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法人或其他组织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 w:rsidR="00094E43" w:rsidTr="00094E43">
        <w:tc>
          <w:tcPr>
            <w:tcW w:w="42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/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商业企业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科研机构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社会公益组织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法律服务机构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</w:tr>
      <w:tr w:rsidR="00094E43" w:rsidTr="00094E43">
        <w:trPr>
          <w:trHeight w:val="46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094E43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1</w:t>
            </w:r>
          </w:p>
        </w:tc>
      </w:tr>
      <w:tr w:rsidR="00094E43" w:rsidTr="00094E43">
        <w:trPr>
          <w:trHeight w:val="458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094E43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rPr>
          <w:trHeight w:val="458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三、本年度办理结果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（一）予以公开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1</w:t>
            </w:r>
          </w:p>
        </w:tc>
      </w:tr>
      <w:tr w:rsidR="00094E43" w:rsidTr="00094E43">
        <w:trPr>
          <w:trHeight w:val="587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（二）部分公开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（区分处理的，只计这一情况，不计其他情形）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rPr>
          <w:trHeight w:val="265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（三）不予公开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属于国家秘密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rPr>
          <w:trHeight w:val="255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其他法律行政法规禁止公开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rPr>
          <w:trHeight w:val="245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危及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三安全一稳定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rPr>
          <w:trHeight w:val="302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保护第三方合法权益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rPr>
          <w:trHeight w:val="225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属于三类内容事务信息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rPr>
          <w:trHeight w:val="302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属于四类过程性信息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rPr>
          <w:trHeight w:val="361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属于行政执法案卷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rPr>
          <w:trHeight w:val="302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>属于行政查询事项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（四）无法提供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本机关不掌握相关政府信息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4E43" w:rsidRDefault="00094E43" w:rsidP="00E77C8C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没有现成信息需要另行制作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补正后申请内容仍不明确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rPr>
          <w:trHeight w:val="302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（五）不予处理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信访举报投诉类申请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rPr>
          <w:trHeight w:val="302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重复申请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rPr>
          <w:trHeight w:val="408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要求提供公开出版物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rPr>
          <w:trHeight w:val="398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无正当理由大量反复申请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rPr>
          <w:trHeight w:val="68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要求行政机关确认或重新出具已获取信息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（六）其他处理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4E43" w:rsidRDefault="00094E43" w:rsidP="00E77C8C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申请人逾期未按收费通知要求缴纳费用、行政机关不再处理其政府信息公开申请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rPr>
          <w:trHeight w:val="448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  <w:tr w:rsidR="00094E43" w:rsidTr="00094E43">
        <w:trPr>
          <w:trHeight w:val="458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43" w:rsidRDefault="00094E43" w:rsidP="00E77C8C"/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（七）总计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1</w:t>
            </w:r>
          </w:p>
        </w:tc>
      </w:tr>
      <w:tr w:rsidR="00094E43" w:rsidTr="00094E43">
        <w:trPr>
          <w:trHeight w:val="418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094E43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四、结转下年度继续办理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3" w:rsidRDefault="00094E43" w:rsidP="00E77C8C">
            <w:r>
              <w:rPr>
                <w:rFonts w:hint="eastAsia"/>
              </w:rPr>
              <w:t>0</w:t>
            </w:r>
          </w:p>
        </w:tc>
      </w:tr>
    </w:tbl>
    <w:p w:rsidR="00094E43" w:rsidRDefault="00094E43" w:rsidP="00094E43"/>
    <w:p w:rsidR="00094E43" w:rsidRDefault="00094E43" w:rsidP="00094E43">
      <w:pPr>
        <w:rPr>
          <w:rFonts w:ascii="宋体" w:hAnsi="宋体" w:cs="宋体" w:hint="eastAsia"/>
          <w:b/>
          <w:bCs/>
          <w:sz w:val="24"/>
        </w:rPr>
      </w:pPr>
    </w:p>
    <w:p w:rsidR="00094E43" w:rsidRDefault="00094E43" w:rsidP="00094E43">
      <w:pPr>
        <w:rPr>
          <w:rFonts w:ascii="宋体" w:hAnsi="宋体" w:cs="宋体" w:hint="eastAsia"/>
          <w:b/>
          <w:bCs/>
          <w:sz w:val="24"/>
        </w:rPr>
      </w:pPr>
    </w:p>
    <w:p w:rsidR="00094E43" w:rsidRDefault="00094E43" w:rsidP="00094E43">
      <w:pPr>
        <w:rPr>
          <w:rFonts w:ascii="宋体" w:hAnsi="宋体" w:cs="宋体" w:hint="eastAsia"/>
          <w:b/>
          <w:bCs/>
          <w:sz w:val="24"/>
        </w:rPr>
      </w:pPr>
    </w:p>
    <w:p w:rsidR="00094E43" w:rsidRDefault="00094E43" w:rsidP="00094E43">
      <w:pPr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四、政府信息公开行政复议、行政诉讼情况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94"/>
        <w:gridCol w:w="594"/>
        <w:gridCol w:w="594"/>
        <w:gridCol w:w="462"/>
        <w:gridCol w:w="595"/>
        <w:gridCol w:w="595"/>
        <w:gridCol w:w="595"/>
        <w:gridCol w:w="595"/>
        <w:gridCol w:w="462"/>
        <w:gridCol w:w="595"/>
        <w:gridCol w:w="595"/>
        <w:gridCol w:w="595"/>
        <w:gridCol w:w="595"/>
        <w:gridCol w:w="462"/>
      </w:tblGrid>
      <w:tr w:rsidR="00094E43" w:rsidTr="00E77C8C"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tcBorders>
              <w:left w:val="single" w:sz="4" w:space="0" w:color="auto"/>
            </w:tcBorders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行政诉讼</w:t>
            </w:r>
          </w:p>
        </w:tc>
      </w:tr>
      <w:tr w:rsidR="00094E43" w:rsidTr="00E77C8C"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</w:tcPr>
          <w:p w:rsidR="00094E43" w:rsidRDefault="00094E43" w:rsidP="00E7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复议后起诉</w:t>
            </w:r>
          </w:p>
        </w:tc>
      </w:tr>
      <w:tr w:rsidR="00094E43" w:rsidTr="00E77C8C">
        <w:tc>
          <w:tcPr>
            <w:tcW w:w="0" w:type="auto"/>
            <w:vMerge/>
          </w:tcPr>
          <w:p w:rsidR="00094E43" w:rsidRDefault="00094E43" w:rsidP="00E77C8C"/>
        </w:tc>
        <w:tc>
          <w:tcPr>
            <w:tcW w:w="0" w:type="auto"/>
            <w:vMerge/>
          </w:tcPr>
          <w:p w:rsidR="00094E43" w:rsidRDefault="00094E43" w:rsidP="00E77C8C"/>
        </w:tc>
        <w:tc>
          <w:tcPr>
            <w:tcW w:w="0" w:type="auto"/>
            <w:vMerge/>
          </w:tcPr>
          <w:p w:rsidR="00094E43" w:rsidRDefault="00094E43" w:rsidP="00E77C8C"/>
        </w:tc>
        <w:tc>
          <w:tcPr>
            <w:tcW w:w="0" w:type="auto"/>
            <w:vMerge/>
          </w:tcPr>
          <w:p w:rsidR="00094E43" w:rsidRDefault="00094E43" w:rsidP="00E77C8C"/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94E43" w:rsidRDefault="00094E43" w:rsidP="00E77C8C"/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 w:rsidR="00094E43" w:rsidTr="00E77C8C">
        <w:trPr>
          <w:trHeight w:val="550"/>
        </w:trPr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94E43" w:rsidRDefault="00094E43" w:rsidP="00E77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</w:tbl>
    <w:p w:rsidR="00094E43" w:rsidRDefault="00094E43" w:rsidP="00094E43">
      <w:pPr>
        <w:rPr>
          <w:rFonts w:hint="eastAsia"/>
        </w:rPr>
      </w:pPr>
    </w:p>
    <w:p w:rsidR="00094E43" w:rsidRDefault="00094E43" w:rsidP="00094E43">
      <w:pPr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五、存在的主要问题及改进情况</w:t>
      </w:r>
    </w:p>
    <w:p w:rsidR="00094E43" w:rsidRPr="00094E43" w:rsidRDefault="00094E43" w:rsidP="00E345B2">
      <w:pPr>
        <w:ind w:firstLineChars="150" w:firstLine="360"/>
        <w:rPr>
          <w:rFonts w:ascii="宋体" w:hAnsi="宋体" w:cs="宋体"/>
          <w:sz w:val="24"/>
        </w:rPr>
      </w:pPr>
      <w:r w:rsidRPr="00094E43">
        <w:rPr>
          <w:rFonts w:ascii="宋体" w:hAnsi="宋体" w:cs="宋体" w:hint="eastAsia"/>
          <w:sz w:val="24"/>
        </w:rPr>
        <w:t xml:space="preserve">政府网站仍然存在一些主要问题，如信息不全面、更新不及时、不易查找等。为了有效开展政务公开工作，提高政府服务质量，以下是一些针对这些问题的建议和改进措施。  </w:t>
      </w:r>
    </w:p>
    <w:p w:rsidR="00E345B2" w:rsidRDefault="00094E43" w:rsidP="00E345B2">
      <w:pPr>
        <w:ind w:firstLineChars="150" w:firstLine="360"/>
        <w:rPr>
          <w:rFonts w:ascii="宋体" w:hAnsi="宋体" w:cs="宋体" w:hint="eastAsia"/>
          <w:sz w:val="24"/>
        </w:rPr>
      </w:pPr>
      <w:r w:rsidRPr="00094E43">
        <w:rPr>
          <w:rFonts w:ascii="宋体" w:hAnsi="宋体" w:cs="宋体" w:hint="eastAsia"/>
          <w:sz w:val="24"/>
        </w:rPr>
        <w:t>政府应该加强信息公开制度建设，制定明确的信息公开范围和标准，确保各级政府部门及时、全面公开相关信息。另外，政府部门应该加强信息整理和更新，确保所公布的信息真实有效，并定期进行审核和更新。</w:t>
      </w:r>
    </w:p>
    <w:p w:rsidR="00094E43" w:rsidRDefault="00094E43" w:rsidP="00094E43"/>
    <w:p w:rsidR="00094E43" w:rsidRPr="000C573C" w:rsidRDefault="00094E43" w:rsidP="000C573C">
      <w:pPr>
        <w:spacing w:line="360" w:lineRule="auto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</w:p>
    <w:sectPr w:rsidR="00094E43" w:rsidRPr="000C573C" w:rsidSect="001E5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7D3" w:rsidRDefault="00F717D3" w:rsidP="005048FC">
      <w:r>
        <w:separator/>
      </w:r>
    </w:p>
  </w:endnote>
  <w:endnote w:type="continuationSeparator" w:id="0">
    <w:p w:rsidR="00F717D3" w:rsidRDefault="00F717D3" w:rsidP="00504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7D3" w:rsidRDefault="00F717D3" w:rsidP="005048FC">
      <w:r>
        <w:separator/>
      </w:r>
    </w:p>
  </w:footnote>
  <w:footnote w:type="continuationSeparator" w:id="0">
    <w:p w:rsidR="00F717D3" w:rsidRDefault="00F717D3" w:rsidP="00504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FB3"/>
    <w:rsid w:val="00094E43"/>
    <w:rsid w:val="000C573C"/>
    <w:rsid w:val="001E5FB3"/>
    <w:rsid w:val="005048FC"/>
    <w:rsid w:val="00A95328"/>
    <w:rsid w:val="00CE38AE"/>
    <w:rsid w:val="00D5740A"/>
    <w:rsid w:val="00E345B2"/>
    <w:rsid w:val="00F34F1B"/>
    <w:rsid w:val="00F4448B"/>
    <w:rsid w:val="00F717D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B3"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qFormat/>
    <w:rsid w:val="001E5FB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1E5FB3"/>
  </w:style>
  <w:style w:type="paragraph" w:styleId="2">
    <w:name w:val="Body Text First Indent 2"/>
    <w:basedOn w:val="a3"/>
    <w:qFormat/>
    <w:rsid w:val="001E5FB3"/>
    <w:pPr>
      <w:ind w:firstLineChars="200" w:firstLine="420"/>
    </w:pPr>
    <w:rPr>
      <w:rFonts w:ascii="Times New Roman" w:hAnsi="Times New Roman"/>
    </w:rPr>
  </w:style>
  <w:style w:type="paragraph" w:styleId="a4">
    <w:name w:val="header"/>
    <w:basedOn w:val="a"/>
    <w:link w:val="Char"/>
    <w:uiPriority w:val="99"/>
    <w:semiHidden/>
    <w:unhideWhenUsed/>
    <w:rsid w:val="00504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48FC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4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48FC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574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740A"/>
    <w:rPr>
      <w:rFonts w:cs="Times New Roman"/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5740A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wgk.changchun.gov.cn/na/xzrmzf/naxyslxrmzf/zfxxgknb/202212/t20221228_310078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于洋</dc:creator>
  <cp:lastModifiedBy>Administrator</cp:lastModifiedBy>
  <cp:revision>7</cp:revision>
  <dcterms:created xsi:type="dcterms:W3CDTF">2024-01-22T03:06:00Z</dcterms:created>
  <dcterms:modified xsi:type="dcterms:W3CDTF">2024-01-22T04:14:00Z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C3CC45089E7B40C6BD90ADD90DB24C90_13</vt:lpwstr>
  </property>
</Properties>
</file>