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left="0" w:leftChars="0" w:right="0" w:firstLine="0"/>
        <w:jc w:val="center"/>
        <w:textAlignment w:val="auto"/>
        <w:outlineLvl w:val="9"/>
        <w:rPr>
          <w:rFonts w:hint="eastAsia" w:ascii="宋体" w:hAnsi="宋体" w:eastAsia="宋体" w:cs="宋体"/>
          <w:b/>
          <w:bCs w:val="0"/>
          <w:i w:val="0"/>
          <w:caps w:val="0"/>
          <w:color w:val="333333"/>
          <w:spacing w:val="0"/>
          <w:sz w:val="36"/>
          <w:szCs w:val="36"/>
          <w:shd w:val="clear" w:color="080000" w:fill="FFFFFF"/>
        </w:rPr>
      </w:pPr>
      <w:r>
        <w:rPr>
          <w:rFonts w:hint="eastAsia" w:ascii="宋体" w:hAnsi="宋体" w:eastAsia="宋体" w:cs="宋体"/>
          <w:b/>
          <w:bCs w:val="0"/>
          <w:i w:val="0"/>
          <w:caps w:val="0"/>
          <w:color w:val="333333"/>
          <w:spacing w:val="0"/>
          <w:sz w:val="36"/>
          <w:szCs w:val="36"/>
          <w:shd w:val="clear" w:color="080000" w:fill="FFFFFF"/>
        </w:rPr>
        <w:t>政府信息公开工作年度报告</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left="0" w:leftChars="0" w:right="0" w:firstLine="0"/>
        <w:jc w:val="center"/>
        <w:textAlignment w:val="auto"/>
        <w:outlineLvl w:val="9"/>
        <w:rPr>
          <w:rFonts w:hint="eastAsia" w:ascii="宋体" w:hAnsi="宋体" w:eastAsia="宋体" w:cs="宋体"/>
          <w:b/>
          <w:bCs w:val="0"/>
          <w:i w:val="0"/>
          <w:caps w:val="0"/>
          <w:color w:val="333333"/>
          <w:spacing w:val="0"/>
          <w:sz w:val="36"/>
          <w:szCs w:val="36"/>
          <w:shd w:val="clear" w:color="080000" w:fill="FFFFFF"/>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left="0" w:leftChars="0" w:right="0" w:firstLine="420"/>
        <w:jc w:val="both"/>
        <w:textAlignment w:val="auto"/>
        <w:outlineLvl w:val="9"/>
        <w:rPr>
          <w:rFonts w:hint="eastAsia" w:ascii="黑体" w:hAnsi="黑体" w:eastAsia="黑体" w:cs="黑体"/>
          <w:b/>
          <w:bCs w:val="0"/>
          <w:i w:val="0"/>
          <w:caps w:val="0"/>
          <w:color w:val="333333"/>
          <w:spacing w:val="0"/>
          <w:sz w:val="32"/>
          <w:szCs w:val="32"/>
        </w:rPr>
      </w:pPr>
      <w:r>
        <w:rPr>
          <w:rFonts w:hint="eastAsia" w:ascii="宋体" w:hAnsi="宋体" w:cs="宋体"/>
          <w:b/>
          <w:i w:val="0"/>
          <w:caps w:val="0"/>
          <w:color w:val="333333"/>
          <w:spacing w:val="0"/>
          <w:sz w:val="32"/>
          <w:szCs w:val="32"/>
          <w:shd w:val="clear" w:color="080000" w:fill="FFFFFF"/>
          <w:lang w:val="en-US" w:eastAsia="zh-CN"/>
        </w:rPr>
        <w:t xml:space="preserve"> </w:t>
      </w:r>
      <w:r>
        <w:rPr>
          <w:rFonts w:hint="eastAsia" w:ascii="黑体" w:hAnsi="黑体" w:eastAsia="黑体" w:cs="黑体"/>
          <w:b/>
          <w:bCs w:val="0"/>
          <w:i w:val="0"/>
          <w:caps w:val="0"/>
          <w:color w:val="333333"/>
          <w:spacing w:val="0"/>
          <w:sz w:val="32"/>
          <w:szCs w:val="32"/>
          <w:shd w:val="clear" w:color="080000" w:fill="FFFFFF"/>
          <w:lang w:val="en-US" w:eastAsia="zh-CN"/>
        </w:rPr>
        <w:t xml:space="preserve"> </w:t>
      </w:r>
      <w:r>
        <w:rPr>
          <w:rFonts w:hint="eastAsia" w:ascii="黑体" w:hAnsi="黑体" w:eastAsia="黑体" w:cs="黑体"/>
          <w:b/>
          <w:bCs w:val="0"/>
          <w:i w:val="0"/>
          <w:caps w:val="0"/>
          <w:color w:val="333333"/>
          <w:spacing w:val="0"/>
          <w:sz w:val="32"/>
          <w:szCs w:val="32"/>
          <w:shd w:val="clear" w:color="080000" w:fill="FFFFFF"/>
        </w:rPr>
        <w:t>一、总体情况</w:t>
      </w:r>
    </w:p>
    <w:p>
      <w:pPr>
        <w:wordWrap/>
        <w:adjustRightInd w:val="0"/>
        <w:snapToGrid w:val="0"/>
        <w:spacing w:before="0" w:line="560" w:lineRule="exact"/>
        <w:ind w:left="0" w:leftChars="0" w:right="0"/>
        <w:textAlignment w:val="auto"/>
        <w:outlineLvl w:val="9"/>
        <w:rPr>
          <w:rFonts w:ascii="仿宋_GB2312" w:eastAsia="仿宋_GB2312"/>
          <w:sz w:val="32"/>
          <w:szCs w:val="32"/>
        </w:rPr>
      </w:pPr>
      <w:r>
        <w:rPr>
          <w:rFonts w:hint="eastAsia" w:ascii="仿宋_GB2312" w:hAnsi="宋体" w:eastAsia="仿宋_GB2312"/>
          <w:sz w:val="32"/>
          <w:szCs w:val="32"/>
          <w:lang w:val="en-US" w:eastAsia="zh-CN"/>
        </w:rPr>
        <w:t xml:space="preserve">    为进一步做好政府信息公开工作，按照主动公开和依申请公开原则，经过认真梳理，全年没有发生与信息公开事务相关的行政复议和行政诉讼案件。工作程序符合</w:t>
      </w:r>
      <w:r>
        <w:rPr>
          <w:rFonts w:hint="eastAsia" w:ascii="仿宋_GB2312" w:eastAsia="仿宋_GB2312"/>
          <w:sz w:val="32"/>
          <w:szCs w:val="32"/>
        </w:rPr>
        <w:t>《中华人民共和国政府信息公开条例》</w:t>
      </w:r>
      <w:r>
        <w:rPr>
          <w:rFonts w:hint="eastAsia" w:ascii="仿宋_GB2312" w:eastAsia="仿宋_GB2312"/>
          <w:sz w:val="32"/>
          <w:szCs w:val="32"/>
          <w:lang w:eastAsia="zh-CN"/>
        </w:rPr>
        <w:t>及</w:t>
      </w:r>
      <w:r>
        <w:rPr>
          <w:rFonts w:hint="eastAsia" w:ascii="仿宋_GB2312" w:eastAsia="仿宋_GB2312"/>
          <w:sz w:val="32"/>
          <w:szCs w:val="32"/>
        </w:rPr>
        <w:t>相关法律</w:t>
      </w:r>
      <w:r>
        <w:rPr>
          <w:rFonts w:hint="eastAsia" w:ascii="仿宋_GB2312" w:eastAsia="仿宋_GB2312"/>
          <w:sz w:val="32"/>
          <w:szCs w:val="32"/>
          <w:lang w:eastAsia="zh-CN"/>
        </w:rPr>
        <w:t>规定</w:t>
      </w:r>
      <w:r>
        <w:rPr>
          <w:rFonts w:hint="eastAsia" w:ascii="仿宋_GB2312" w:eastAsia="仿宋_GB2312"/>
          <w:sz w:val="32"/>
          <w:szCs w:val="32"/>
        </w:rPr>
        <w:t>。</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240" w:afterAutospacing="0" w:line="560" w:lineRule="exact"/>
        <w:ind w:left="0" w:leftChars="0" w:right="0" w:firstLine="420"/>
        <w:jc w:val="both"/>
        <w:textAlignment w:val="auto"/>
        <w:outlineLvl w:val="9"/>
        <w:rPr>
          <w:rFonts w:hint="eastAsia" w:ascii="黑体" w:hAnsi="黑体" w:eastAsia="黑体" w:cs="黑体"/>
          <w:b/>
          <w:bCs w:val="0"/>
          <w:i w:val="0"/>
          <w:caps w:val="0"/>
          <w:color w:val="333333"/>
          <w:spacing w:val="0"/>
          <w:sz w:val="32"/>
          <w:szCs w:val="32"/>
        </w:rPr>
      </w:pPr>
      <w:r>
        <w:rPr>
          <w:rFonts w:hint="eastAsia" w:ascii="宋体" w:hAnsi="宋体" w:cs="宋体"/>
          <w:b/>
          <w:i w:val="0"/>
          <w:caps w:val="0"/>
          <w:color w:val="333333"/>
          <w:spacing w:val="0"/>
          <w:sz w:val="32"/>
          <w:szCs w:val="32"/>
          <w:shd w:val="clear" w:color="080000" w:fill="FFFFFF"/>
          <w:lang w:val="en-US" w:eastAsia="zh-CN"/>
        </w:rPr>
        <w:t xml:space="preserve">  </w:t>
      </w:r>
      <w:r>
        <w:rPr>
          <w:rFonts w:hint="eastAsia" w:ascii="黑体" w:hAnsi="黑体" w:eastAsia="黑体" w:cs="黑体"/>
          <w:b/>
          <w:bCs w:val="0"/>
          <w:i w:val="0"/>
          <w:caps w:val="0"/>
          <w:color w:val="333333"/>
          <w:spacing w:val="0"/>
          <w:sz w:val="32"/>
          <w:szCs w:val="32"/>
          <w:shd w:val="clear" w:color="080000" w:fill="FFFFFF"/>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w:t>
            </w: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rPr>
                <w:rFonts w:hint="default"/>
                <w:lang w:val="en-US"/>
              </w:rP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51</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rPr>
                <w:rFonts w:hint="default"/>
                <w:lang w:val="en-US"/>
              </w:rP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减20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rPr>
                <w:rFonts w:hint="default"/>
                <w:lang w:val="en-US"/>
              </w:rPr>
            </w:pPr>
            <w:r>
              <w:rPr>
                <w:rFonts w:hint="eastAsia" w:ascii="宋体" w:hAnsi="宋体" w:cs="宋体"/>
                <w:color w:val="000000"/>
                <w:kern w:val="0"/>
                <w:sz w:val="20"/>
                <w:szCs w:val="20"/>
                <w:lang w:val="en-US" w:eastAsia="zh-CN"/>
              </w:rPr>
              <w:t xml:space="preserve">    </w:t>
            </w: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tabs>
                <w:tab w:val="center" w:pos="832"/>
              </w:tabs>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ab/>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cs="宋体"/>
                <w:color w:val="000000"/>
                <w:kern w:val="0"/>
                <w:sz w:val="20"/>
                <w:szCs w:val="20"/>
                <w:lang w:val="en-US" w:eastAsia="zh-CN"/>
              </w:rPr>
              <w:t xml:space="preserve">   </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cs="宋体"/>
                <w:color w:val="000000"/>
                <w:kern w:val="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0 </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0 </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 xml:space="preserve">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lang w:val="en-US"/>
              </w:rPr>
            </w:pPr>
            <w:r>
              <w:rPr>
                <w:rFonts w:hint="eastAsia" w:ascii="宋体" w:hAnsi="宋体" w:cs="宋体"/>
                <w:color w:val="000000"/>
                <w:kern w:val="0"/>
                <w:sz w:val="20"/>
                <w:szCs w:val="20"/>
                <w:lang w:val="en-US" w:eastAsia="zh-CN"/>
              </w:rPr>
              <w:t>2</w:t>
            </w:r>
            <w:bookmarkStart w:id="0" w:name="_GoBack"/>
            <w:bookmarkEnd w:id="0"/>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eastAsia" w:eastAsia="宋体"/>
                <w:lang w:val="en-US" w:eastAsia="zh-CN"/>
              </w:rP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color w:val="000000"/>
                <w:kern w:val="0"/>
                <w:sz w:val="20"/>
                <w:szCs w:val="20"/>
                <w:lang w:val="en-US" w:eastAsia="zh-CN"/>
              </w:rPr>
              <w:t>　</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r>
    </w:tbl>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240" w:afterAutospacing="0" w:line="560" w:lineRule="exact"/>
        <w:ind w:right="0" w:firstLine="643" w:firstLineChars="200"/>
        <w:jc w:val="both"/>
        <w:textAlignment w:val="auto"/>
        <w:outlineLvl w:val="9"/>
        <w:rPr>
          <w:rFonts w:hint="eastAsia" w:ascii="黑体" w:hAnsi="黑体" w:eastAsia="黑体" w:cs="黑体"/>
          <w:b/>
          <w:i w:val="0"/>
          <w:caps w:val="0"/>
          <w:color w:val="333333"/>
          <w:spacing w:val="0"/>
          <w:sz w:val="32"/>
          <w:szCs w:val="32"/>
          <w:shd w:val="clear" w:color="080000" w:fill="FFFFFF"/>
        </w:rPr>
      </w:pPr>
      <w:r>
        <w:rPr>
          <w:rFonts w:hint="eastAsia" w:ascii="黑体" w:hAnsi="黑体" w:eastAsia="黑体" w:cs="黑体"/>
          <w:b/>
          <w:i w:val="0"/>
          <w:caps w:val="0"/>
          <w:color w:val="333333"/>
          <w:spacing w:val="0"/>
          <w:sz w:val="32"/>
          <w:szCs w:val="32"/>
          <w:shd w:val="clear" w:color="080000" w:fill="FFFFFF"/>
        </w:rPr>
        <w:t>三、收到和处理政府信息公开申请情况</w:t>
      </w:r>
    </w:p>
    <w:tbl>
      <w:tblPr>
        <w:tblStyle w:val="5"/>
        <w:tblW w:w="870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68"/>
        <w:gridCol w:w="722"/>
        <w:gridCol w:w="2086"/>
        <w:gridCol w:w="813"/>
        <w:gridCol w:w="755"/>
        <w:gridCol w:w="755"/>
        <w:gridCol w:w="12"/>
        <w:gridCol w:w="801"/>
        <w:gridCol w:w="12"/>
        <w:gridCol w:w="961"/>
        <w:gridCol w:w="12"/>
        <w:gridCol w:w="699"/>
        <w:gridCol w:w="12"/>
        <w:gridCol w:w="683"/>
        <w:gridCol w:w="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17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11"/>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17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自然人</w:t>
            </w:r>
          </w:p>
        </w:tc>
        <w:tc>
          <w:tcPr>
            <w:tcW w:w="4007" w:type="dxa"/>
            <w:gridSpan w:val="8"/>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法人或其他组织</w:t>
            </w:r>
          </w:p>
        </w:tc>
        <w:tc>
          <w:tcPr>
            <w:tcW w:w="695"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50" w:hRule="atLeast"/>
          <w:jc w:val="center"/>
        </w:trPr>
        <w:tc>
          <w:tcPr>
            <w:tcW w:w="317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商业企业</w:t>
            </w:r>
          </w:p>
        </w:tc>
        <w:tc>
          <w:tcPr>
            <w:tcW w:w="767"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科研机构</w:t>
            </w:r>
          </w:p>
        </w:tc>
        <w:tc>
          <w:tcPr>
            <w:tcW w:w="813"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社会公益组织</w:t>
            </w:r>
          </w:p>
        </w:tc>
        <w:tc>
          <w:tcPr>
            <w:tcW w:w="973"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法律服务机构</w:t>
            </w:r>
          </w:p>
        </w:tc>
        <w:tc>
          <w:tcPr>
            <w:tcW w:w="71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其他</w:t>
            </w:r>
          </w:p>
        </w:tc>
        <w:tc>
          <w:tcPr>
            <w:tcW w:w="695" w:type="dxa"/>
            <w:gridSpan w:val="2"/>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7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67"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17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三、本年度办理结果</w:t>
            </w:r>
          </w:p>
        </w:tc>
        <w:tc>
          <w:tcPr>
            <w:tcW w:w="280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80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722"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80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280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12" w:type="dxa"/>
          <w:jc w:val="center"/>
        </w:trPr>
        <w:tc>
          <w:tcPr>
            <w:tcW w:w="317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81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97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71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p>
        </w:tc>
        <w:tc>
          <w:tcPr>
            <w:tcW w:w="695" w:type="dxa"/>
            <w:gridSpan w:val="2"/>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r>
    </w:tbl>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right="0"/>
        <w:jc w:val="both"/>
        <w:textAlignment w:val="auto"/>
        <w:outlineLvl w:val="9"/>
        <w:rPr>
          <w:rFonts w:hint="eastAsia" w:ascii="黑体" w:hAnsi="黑体" w:eastAsia="黑体" w:cs="黑体"/>
          <w:i w:val="0"/>
          <w:caps w:val="0"/>
          <w:color w:val="333333"/>
          <w:spacing w:val="0"/>
          <w:sz w:val="32"/>
          <w:szCs w:val="32"/>
        </w:rPr>
      </w:pPr>
      <w:r>
        <w:rPr>
          <w:rFonts w:hint="eastAsia" w:ascii="宋体" w:hAnsi="宋体" w:cs="宋体"/>
          <w:b/>
          <w:i w:val="0"/>
          <w:caps w:val="0"/>
          <w:color w:val="333333"/>
          <w:spacing w:val="0"/>
          <w:sz w:val="32"/>
          <w:szCs w:val="32"/>
          <w:shd w:val="clear" w:color="080000" w:fill="FFFFFF"/>
          <w:lang w:val="en-US" w:eastAsia="zh-CN"/>
        </w:rPr>
        <w:t xml:space="preserve">   </w:t>
      </w:r>
      <w:r>
        <w:rPr>
          <w:rFonts w:hint="eastAsia" w:ascii="黑体" w:hAnsi="黑体" w:eastAsia="黑体" w:cs="黑体"/>
          <w:b/>
          <w:i w:val="0"/>
          <w:caps w:val="0"/>
          <w:color w:val="333333"/>
          <w:spacing w:val="0"/>
          <w:sz w:val="32"/>
          <w:szCs w:val="32"/>
          <w:shd w:val="clear" w:color="080000" w:fill="FFFFFF"/>
        </w:rPr>
        <w:t>四、政府信息公开行政复议、行政诉讼情况</w:t>
      </w:r>
    </w:p>
    <w:tbl>
      <w:tblPr>
        <w:tblStyle w:val="5"/>
        <w:tblW w:w="88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55"/>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2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textAlignment w:val="auto"/>
              <w:outlineLvl w:val="9"/>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eastAsia="宋体" w:cs="Calibri"/>
                <w:kern w:val="0"/>
                <w:sz w:val="20"/>
                <w:szCs w:val="20"/>
                <w:lang w:val="en-US" w:eastAsia="zh-CN"/>
              </w:rPr>
              <w:t> </w:t>
            </w:r>
            <w:r>
              <w:rPr>
                <w:rFonts w:hint="default"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both"/>
              <w:textAlignment w:val="auto"/>
              <w:outlineLvl w:val="9"/>
              <w:rPr>
                <w:rFonts w:hint="default" w:ascii="Calibri" w:hAnsi="Calibri" w:cs="Calibri"/>
              </w:rPr>
            </w:pPr>
            <w:r>
              <w:rPr>
                <w:rFonts w:hint="default" w:ascii="Calibri" w:hAnsi="Calibri" w:eastAsia="宋体" w:cs="Calibri"/>
                <w:kern w:val="0"/>
                <w:sz w:val="20"/>
                <w:szCs w:val="20"/>
                <w:lang w:val="en-US" w:eastAsia="zh-CN"/>
              </w:rPr>
              <w:t> </w:t>
            </w:r>
            <w:r>
              <w:rPr>
                <w:rFonts w:hint="default"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eastAsia="宋体" w:cs="Calibri"/>
                <w:kern w:val="0"/>
                <w:sz w:val="20"/>
                <w:szCs w:val="20"/>
                <w:lang w:val="en-US" w:eastAsia="zh-CN"/>
              </w:rPr>
              <w:t> </w:t>
            </w:r>
            <w:r>
              <w:rPr>
                <w:rFonts w:hint="default"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eastAsia="宋体" w:cs="Calibri"/>
                <w:color w:val="000000"/>
                <w:kern w:val="0"/>
                <w:sz w:val="20"/>
                <w:szCs w:val="20"/>
                <w:lang w:val="en-US" w:eastAsia="zh-CN"/>
              </w:rPr>
              <w:t> </w:t>
            </w:r>
            <w:r>
              <w:rPr>
                <w:rFonts w:hint="default" w:ascii="Calibri" w:hAnsi="Calibri" w:cs="Calibri"/>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eastAsia="宋体" w:cs="Calibri"/>
                <w:kern w:val="0"/>
                <w:sz w:val="20"/>
                <w:szCs w:val="20"/>
                <w:lang w:val="en-US" w:eastAsia="zh-CN"/>
              </w:rPr>
              <w:t> </w:t>
            </w:r>
            <w:r>
              <w:rPr>
                <w:rFonts w:hint="default"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cs="Calibri"/>
                <w:color w:val="000000"/>
                <w:kern w:val="0"/>
                <w:sz w:val="20"/>
                <w:szCs w:val="20"/>
                <w:lang w:val="en-US" w:eastAsia="zh-CN"/>
              </w:rPr>
              <w:t>0</w:t>
            </w:r>
            <w:r>
              <w:rPr>
                <w:rFonts w:hint="default" w:ascii="Calibri" w:hAnsi="Calibri" w:eastAsia="宋体" w:cs="Calibri"/>
                <w:color w:val="000000"/>
                <w:kern w:val="0"/>
                <w:sz w:val="20"/>
                <w:szCs w:val="20"/>
                <w:lang w:val="en-US" w:eastAsia="zh-CN"/>
              </w:rPr>
              <w:t>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val="0"/>
              <w:snapToGrid w:val="0"/>
              <w:spacing w:before="0" w:beforeAutospacing="0" w:after="180" w:afterAutospacing="0" w:line="560" w:lineRule="exact"/>
              <w:ind w:left="0" w:leftChars="0" w:right="0"/>
              <w:jc w:val="center"/>
              <w:textAlignment w:val="auto"/>
              <w:outlineLvl w:val="9"/>
              <w:rPr>
                <w:rFonts w:hint="default" w:ascii="Calibri" w:hAnsi="Calibri" w:cs="Calibri"/>
              </w:rPr>
            </w:pPr>
            <w:r>
              <w:rPr>
                <w:rFonts w:hint="default" w:ascii="Calibri" w:hAnsi="Calibri" w:eastAsia="宋体" w:cs="Calibri"/>
                <w:kern w:val="0"/>
                <w:sz w:val="20"/>
                <w:szCs w:val="20"/>
                <w:lang w:val="en-US" w:eastAsia="zh-CN"/>
              </w:rPr>
              <w:t> </w:t>
            </w:r>
            <w:r>
              <w:rPr>
                <w:rFonts w:hint="default"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before="0" w:line="560" w:lineRule="exact"/>
              <w:ind w:left="0" w:leftChars="0" w:right="0"/>
              <w:jc w:val="both"/>
              <w:textAlignment w:val="auto"/>
              <w:outlineLvl w:val="9"/>
              <w:rPr>
                <w:rFonts w:hint="default" w:ascii="Calibri" w:hAnsi="Calibri" w:eastAsia="宋体" w:cs="Calibri"/>
                <w:sz w:val="24"/>
                <w:szCs w:val="24"/>
                <w:lang w:val="en-US" w:eastAsia="zh-CN"/>
              </w:rPr>
            </w:pPr>
            <w:r>
              <w:rPr>
                <w:rFonts w:hint="eastAsia" w:cs="Calibri"/>
                <w:sz w:val="20"/>
                <w:szCs w:val="20"/>
                <w:lang w:val="en-US" w:eastAsia="zh-CN"/>
              </w:rPr>
              <w:t xml:space="preserve">  0</w:t>
            </w:r>
          </w:p>
        </w:tc>
      </w:tr>
    </w:tbl>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right="0"/>
        <w:jc w:val="both"/>
        <w:textAlignment w:val="auto"/>
        <w:outlineLvl w:val="9"/>
        <w:rPr>
          <w:rFonts w:hint="eastAsia" w:ascii="黑体" w:hAnsi="黑体" w:eastAsia="黑体" w:cs="黑体"/>
          <w:b/>
          <w:bCs w:val="0"/>
          <w:i w:val="0"/>
          <w:caps w:val="0"/>
          <w:color w:val="333333"/>
          <w:spacing w:val="0"/>
          <w:sz w:val="32"/>
          <w:szCs w:val="32"/>
          <w:shd w:val="clear" w:color="080000" w:fill="FFFFFF"/>
        </w:rPr>
      </w:pPr>
      <w:r>
        <w:rPr>
          <w:rFonts w:hint="eastAsia" w:ascii="宋体" w:hAnsi="宋体" w:cs="宋体"/>
          <w:b/>
          <w:i w:val="0"/>
          <w:caps w:val="0"/>
          <w:color w:val="333333"/>
          <w:spacing w:val="0"/>
          <w:sz w:val="32"/>
          <w:szCs w:val="32"/>
          <w:shd w:val="clear" w:color="080000" w:fill="FFFFFF"/>
          <w:lang w:val="en-US" w:eastAsia="zh-CN"/>
        </w:rPr>
        <w:t xml:space="preserve">    </w:t>
      </w:r>
      <w:r>
        <w:rPr>
          <w:rFonts w:hint="eastAsia" w:ascii="黑体" w:hAnsi="黑体" w:eastAsia="黑体" w:cs="黑体"/>
          <w:b/>
          <w:bCs w:val="0"/>
          <w:i w:val="0"/>
          <w:caps w:val="0"/>
          <w:color w:val="333333"/>
          <w:spacing w:val="0"/>
          <w:sz w:val="32"/>
          <w:szCs w:val="32"/>
          <w:shd w:val="clear" w:color="080000" w:fill="FFFFFF"/>
        </w:rPr>
        <w:t>五、存在的主要问题及改进情况</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right="0" w:firstLine="640" w:firstLineChars="200"/>
        <w:jc w:val="both"/>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val="0"/>
          <w:i w:val="0"/>
          <w:color w:val="000000"/>
          <w:sz w:val="32"/>
          <w:szCs w:val="32"/>
          <w:shd w:val="clear" w:color="auto" w:fill="FFFFFF"/>
          <w:lang w:eastAsia="zh-CN"/>
        </w:rPr>
        <w:t>信息公开工作在制度机制建设、提升规范化和信息化水平、增强公开实效等方面，取得了一定成效，但与全面落实 “公开为常态、不公开为例外”的原则要求，与保障人民群众知情、参与和监督的实际需求相比，还存在较大差距。</w:t>
      </w:r>
      <w:r>
        <w:rPr>
          <w:rFonts w:hint="eastAsia" w:ascii="仿宋" w:hAnsi="仿宋" w:eastAsia="仿宋" w:cs="仿宋"/>
          <w:b/>
          <w:bCs/>
          <w:i w:val="0"/>
          <w:color w:val="000000"/>
          <w:sz w:val="32"/>
          <w:szCs w:val="32"/>
          <w:shd w:val="clear" w:color="auto" w:fill="FFFFFF"/>
          <w:lang w:eastAsia="zh-CN"/>
        </w:rPr>
        <w:t>一是制度机制建设需完善。</w:t>
      </w:r>
      <w:r>
        <w:rPr>
          <w:rFonts w:hint="eastAsia" w:ascii="仿宋" w:hAnsi="仿宋" w:eastAsia="仿宋" w:cs="仿宋"/>
          <w:b w:val="0"/>
          <w:i w:val="0"/>
          <w:color w:val="000000"/>
          <w:sz w:val="32"/>
          <w:szCs w:val="32"/>
          <w:shd w:val="clear" w:color="auto" w:fill="FFFFFF"/>
          <w:lang w:eastAsia="zh-CN"/>
        </w:rPr>
        <w:t>围绕贯彻《条例》，建立完善主动公开、依申请公开信息等制度规范不够，健全公开工作机制不够，将政府信息公开工作实践上升为制度规范不够，推进公开工作的标准化建设不够。</w:t>
      </w:r>
      <w:r>
        <w:rPr>
          <w:rFonts w:hint="eastAsia" w:ascii="仿宋" w:hAnsi="仿宋" w:eastAsia="仿宋" w:cs="仿宋"/>
          <w:b/>
          <w:bCs/>
          <w:i w:val="0"/>
          <w:color w:val="000000"/>
          <w:sz w:val="32"/>
          <w:szCs w:val="32"/>
          <w:shd w:val="clear" w:color="auto" w:fill="FFFFFF"/>
          <w:lang w:eastAsia="zh-CN"/>
        </w:rPr>
        <w:t>二是政府信息公开工作落实力度需加大。</w:t>
      </w:r>
      <w:r>
        <w:rPr>
          <w:rFonts w:hint="eastAsia" w:ascii="仿宋" w:hAnsi="仿宋" w:eastAsia="仿宋" w:cs="仿宋"/>
          <w:b w:val="0"/>
          <w:bCs w:val="0"/>
          <w:i w:val="0"/>
          <w:color w:val="000000"/>
          <w:sz w:val="32"/>
          <w:szCs w:val="32"/>
          <w:shd w:val="clear" w:color="auto" w:fill="FFFFFF"/>
          <w:lang w:eastAsia="zh-CN"/>
        </w:rPr>
        <w:t>存在</w:t>
      </w:r>
      <w:r>
        <w:rPr>
          <w:rFonts w:hint="eastAsia" w:ascii="仿宋" w:hAnsi="仿宋" w:eastAsia="仿宋" w:cs="仿宋"/>
          <w:b w:val="0"/>
          <w:i w:val="0"/>
          <w:color w:val="000000"/>
          <w:sz w:val="32"/>
          <w:szCs w:val="32"/>
          <w:shd w:val="clear" w:color="auto" w:fill="FFFFFF"/>
          <w:lang w:eastAsia="zh-CN"/>
        </w:rPr>
        <w:t>公开意识不强，与群众切身利益、方便群众办事、群众关心关注的信息公开不及时、不全面，公开方式单一化、陈旧化，与真正畅通联系群众“最后一公里”还有距离。</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val="0"/>
        <w:snapToGrid w:val="0"/>
        <w:spacing w:before="0" w:beforeAutospacing="0" w:after="0" w:afterAutospacing="0" w:line="560" w:lineRule="exact"/>
        <w:ind w:right="0" w:firstLine="640" w:firstLineChars="200"/>
        <w:jc w:val="both"/>
        <w:textAlignment w:val="auto"/>
        <w:outlineLvl w:val="9"/>
        <w:rPr>
          <w:rFonts w:hint="eastAsia" w:ascii="仿宋" w:hAnsi="仿宋" w:eastAsia="仿宋" w:cs="仿宋"/>
          <w:b w:val="0"/>
          <w:bCs w:val="0"/>
          <w:i w:val="0"/>
          <w:color w:val="000000"/>
          <w:sz w:val="32"/>
          <w:szCs w:val="32"/>
          <w:shd w:val="clear" w:color="auto" w:fill="FFFFFF"/>
          <w:lang w:eastAsia="zh-CN"/>
        </w:rPr>
      </w:pPr>
      <w:r>
        <w:rPr>
          <w:rFonts w:hint="eastAsia" w:ascii="仿宋" w:hAnsi="仿宋" w:eastAsia="仿宋" w:cs="仿宋"/>
          <w:b w:val="0"/>
          <w:i w:val="0"/>
          <w:color w:val="000000"/>
          <w:sz w:val="32"/>
          <w:szCs w:val="32"/>
          <w:shd w:val="clear" w:color="auto" w:fill="FFFFFF"/>
          <w:lang w:eastAsia="zh-CN"/>
        </w:rPr>
        <w:t>为进一步做好政府信息公开工作，</w:t>
      </w:r>
      <w:r>
        <w:rPr>
          <w:rFonts w:hint="eastAsia" w:ascii="仿宋" w:hAnsi="仿宋" w:eastAsia="仿宋" w:cs="仿宋"/>
          <w:b w:val="0"/>
          <w:bCs w:val="0"/>
          <w:i w:val="0"/>
          <w:color w:val="000000"/>
          <w:sz w:val="32"/>
          <w:szCs w:val="32"/>
          <w:shd w:val="clear" w:color="auto" w:fill="FFFFFF"/>
          <w:lang w:eastAsia="zh-CN"/>
        </w:rPr>
        <w:t>主要采取以下措施：</w:t>
      </w:r>
      <w:r>
        <w:rPr>
          <w:rFonts w:hint="eastAsia" w:ascii="仿宋" w:hAnsi="仿宋" w:eastAsia="仿宋" w:cs="仿宋"/>
          <w:b/>
          <w:bCs/>
          <w:i w:val="0"/>
          <w:color w:val="000000"/>
          <w:sz w:val="32"/>
          <w:szCs w:val="32"/>
          <w:shd w:val="clear" w:color="auto" w:fill="FFFFFF"/>
          <w:lang w:eastAsia="zh-CN"/>
        </w:rPr>
        <w:t>一是健全完善公开制度体系</w:t>
      </w:r>
      <w:r>
        <w:rPr>
          <w:rFonts w:hint="eastAsia" w:ascii="仿宋" w:hAnsi="仿宋" w:eastAsia="仿宋" w:cs="仿宋"/>
          <w:b w:val="0"/>
          <w:bCs w:val="0"/>
          <w:i w:val="0"/>
          <w:color w:val="000000"/>
          <w:sz w:val="32"/>
          <w:szCs w:val="32"/>
          <w:shd w:val="clear" w:color="auto" w:fill="FFFFFF"/>
          <w:lang w:eastAsia="zh-CN"/>
        </w:rPr>
        <w:t>。研究制定贯彻全面推进政务公开工作的实施办法，建立健全政府信息公开工作领导和协调机制以及政府信息公开申请接受、登记、办理、审核、答复、归档环节等工作制度，建立完善政府信息公开工作考核、社会评议和举报办理制度，推进政府信息公开标准化建设。二</w:t>
      </w:r>
      <w:r>
        <w:rPr>
          <w:rFonts w:hint="eastAsia" w:ascii="仿宋" w:hAnsi="仿宋" w:eastAsia="仿宋" w:cs="仿宋"/>
          <w:b/>
          <w:bCs/>
          <w:i w:val="0"/>
          <w:color w:val="000000"/>
          <w:sz w:val="32"/>
          <w:szCs w:val="32"/>
          <w:shd w:val="clear" w:color="auto" w:fill="FFFFFF"/>
          <w:lang w:eastAsia="zh-CN"/>
        </w:rPr>
        <w:t>是加大政府信息公开工作落实力度。</w:t>
      </w:r>
      <w:r>
        <w:rPr>
          <w:rFonts w:hint="eastAsia" w:ascii="仿宋" w:hAnsi="仿宋" w:eastAsia="仿宋" w:cs="仿宋"/>
          <w:b w:val="0"/>
          <w:bCs w:val="0"/>
          <w:i w:val="0"/>
          <w:color w:val="000000"/>
          <w:sz w:val="32"/>
          <w:szCs w:val="32"/>
          <w:shd w:val="clear" w:color="auto" w:fill="FFFFFF"/>
          <w:lang w:eastAsia="zh-CN"/>
        </w:rPr>
        <w:t>通过采取有效措施，增强落实政府信息公开工作意识，切实做到及时、有效公开非涉密内容，同时，着力加强信息公开工作队伍建设，充实人员力量，保障必要的经费、设备等工作条件，开展相关业务培训，从而提升信息公开工作人员的综合素质和业务能力。</w:t>
      </w:r>
    </w:p>
    <w:p>
      <w:pPr>
        <w:widowControl w:val="0"/>
        <w:shd w:val="solid" w:color="FFFFFF" w:fill="auto"/>
        <w:wordWrap/>
        <w:autoSpaceDN w:val="0"/>
        <w:adjustRightInd w:val="0"/>
        <w:snapToGrid w:val="0"/>
        <w:spacing w:before="0" w:after="0" w:line="560" w:lineRule="exact"/>
        <w:ind w:left="0" w:leftChars="0" w:right="0" w:firstLine="643"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080000" w:fill="FFFFFF"/>
        </w:rPr>
        <w:t>六、其他需要报告的事项</w:t>
      </w:r>
    </w:p>
    <w:p>
      <w:pPr>
        <w:wordWrap/>
        <w:adjustRightInd w:val="0"/>
        <w:snapToGrid w:val="0"/>
        <w:spacing w:before="0" w:line="560" w:lineRule="exact"/>
        <w:ind w:left="0" w:leftChars="0" w:right="0"/>
        <w:textAlignment w:val="auto"/>
        <w:outlineLvl w:val="9"/>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我局暂时没有其他需要报告的事项。</w:t>
      </w:r>
    </w:p>
    <w:p>
      <w:pPr>
        <w:wordWrap/>
        <w:adjustRightInd w:val="0"/>
        <w:snapToGrid w:val="0"/>
        <w:spacing w:before="0" w:line="560" w:lineRule="exact"/>
        <w:ind w:left="0" w:leftChars="0" w:right="0"/>
        <w:textAlignment w:val="auto"/>
        <w:outlineLvl w:val="9"/>
        <w:rPr>
          <w:rFonts w:hint="eastAsia" w:ascii="仿宋" w:hAnsi="仿宋" w:eastAsia="仿宋" w:cs="仿宋"/>
          <w:sz w:val="32"/>
          <w:szCs w:val="32"/>
          <w:lang w:val="en-US" w:eastAsia="zh-CN"/>
        </w:rPr>
      </w:pPr>
    </w:p>
    <w:p>
      <w:pPr>
        <w:wordWrap/>
        <w:adjustRightInd w:val="0"/>
        <w:snapToGrid w:val="0"/>
        <w:spacing w:before="0" w:line="560" w:lineRule="exact"/>
        <w:ind w:left="0" w:leftChars="0" w:right="0"/>
        <w:textAlignment w:val="auto"/>
        <w:outlineLvl w:val="9"/>
        <w:rPr>
          <w:rFonts w:hint="eastAsia" w:ascii="仿宋" w:hAnsi="仿宋" w:eastAsia="仿宋" w:cs="仿宋"/>
          <w:sz w:val="32"/>
          <w:szCs w:val="32"/>
          <w:lang w:val="en-US" w:eastAsia="zh-CN"/>
        </w:rPr>
      </w:pPr>
    </w:p>
    <w:p>
      <w:pPr>
        <w:wordWrap/>
        <w:adjustRightInd w:val="0"/>
        <w:snapToGrid w:val="0"/>
        <w:spacing w:before="0" w:line="560" w:lineRule="exact"/>
        <w:ind w:left="0" w:leftChars="0" w:right="0"/>
        <w:textAlignment w:val="auto"/>
        <w:outlineLvl w:val="9"/>
        <w:rPr>
          <w:rFonts w:hint="eastAsia" w:ascii="仿宋" w:hAnsi="仿宋" w:eastAsia="仿宋" w:cs="仿宋"/>
          <w:sz w:val="32"/>
          <w:szCs w:val="32"/>
          <w:lang w:val="en-US" w:eastAsia="zh-CN"/>
        </w:rPr>
      </w:pPr>
    </w:p>
    <w:p>
      <w:pPr>
        <w:wordWrap/>
        <w:adjustRightInd w:val="0"/>
        <w:snapToGrid w:val="0"/>
        <w:spacing w:before="0" w:line="560" w:lineRule="exact"/>
        <w:ind w:left="0" w:leftChars="0" w:right="0"/>
        <w:textAlignment w:val="auto"/>
        <w:outlineLvl w:val="9"/>
        <w:rPr>
          <w:rFonts w:hint="eastAsia" w:ascii="仿宋" w:hAnsi="仿宋" w:eastAsia="仿宋" w:cs="仿宋"/>
          <w:sz w:val="32"/>
          <w:szCs w:val="32"/>
          <w:lang w:val="en-US" w:eastAsia="zh-CN"/>
        </w:rPr>
      </w:pPr>
    </w:p>
    <w:p>
      <w:pPr>
        <w:wordWrap/>
        <w:adjustRightInd w:val="0"/>
        <w:snapToGrid w:val="0"/>
        <w:spacing w:before="0" w:line="560" w:lineRule="exact"/>
        <w:ind w:left="0" w:leftChars="0" w:right="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农安县水利局</w:t>
      </w:r>
    </w:p>
    <w:p>
      <w:pPr>
        <w:wordWrap/>
        <w:adjustRightInd w:val="0"/>
        <w:snapToGrid w:val="0"/>
        <w:spacing w:before="0" w:line="560" w:lineRule="exact"/>
        <w:ind w:left="0" w:leftChars="0" w:right="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2020年1月7日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7576DDC"/>
    <w:rsid w:val="25232F69"/>
    <w:rsid w:val="3E6755B1"/>
    <w:rsid w:val="44266678"/>
    <w:rsid w:val="5D1E2F0B"/>
    <w:rsid w:val="665B1D07"/>
    <w:rsid w:val="717E1462"/>
    <w:rsid w:val="76A11E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2019-11-29T01:56:00Z</dcterms:created>
  <dc:creator>酌酒当哥:D档</dc:creator>
  <cp:lastModifiedBy>潇洒哥</cp:lastModifiedBy>
  <cp:lastPrinted>2020-01-08T05:24:00Z</cp:lastPrinted>
  <dcterms:modified xsi:type="dcterms:W3CDTF">2020-01-10T06:20:43Z</dcterms:modified>
  <dc:title>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