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shd w:val="clear" w:color="auto" w:fill="FFFFFF"/>
        <w:jc w:val="center"/>
        <w:rPr>
          <w:rFonts w:ascii="宋体" w:hAnsi="宋体" w:eastAsia="宋体" w:cs="宋体"/>
          <w:b/>
          <w:bCs/>
          <w:color w:val="333333"/>
          <w:kern w:val="0"/>
          <w:sz w:val="36"/>
          <w:szCs w:val="36"/>
        </w:rPr>
      </w:pPr>
    </w:p>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政府信息公开工作年度</w:t>
      </w:r>
      <w:r>
        <w:rPr>
          <w:rFonts w:hint="eastAsia" w:ascii="宋体" w:hAnsi="宋体" w:eastAsia="宋体" w:cs="宋体"/>
          <w:b/>
          <w:bCs/>
          <w:color w:val="333333"/>
          <w:kern w:val="0"/>
          <w:sz w:val="36"/>
          <w:szCs w:val="36"/>
          <w:lang w:eastAsia="zh-CN"/>
        </w:rPr>
        <w:t>报告</w:t>
      </w: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ind w:firstLine="48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2020年农安县林业和草原局严格按照县委、县政府的统一安排部署，认真落实政务公开工作，坚持“依法公开、不公开为例外“的原则。除涉及国家秘密；商业秘密及个人隐私必须公开。成立农安县林业和草原局政务公开领导工作小组，具体承担林业和草原局政府公开工作，健全政务公开工作机制，规范有序地推进政府公开工作。使我局政府公开工作做到了有领导分管、有工作机构负责、有专人承办，确保我局政务公开工作落实到实处。全年我局共主动上报双公示行政许可信息达2000余条，办结行政处罚案件7条，苗木采购总金额2402377.52元，并将部门预算、决算及时公开，全面展现林业和草原的发展风貌。</w:t>
      </w:r>
    </w:p>
    <w:p>
      <w:pPr>
        <w:widowControl/>
        <w:shd w:val="clear" w:color="auto" w:fill="FFFFFF"/>
        <w:ind w:firstLine="480"/>
        <w:rPr>
          <w:rFonts w:hint="eastAsia" w:ascii="宋体" w:hAnsi="宋体" w:eastAsia="宋体" w:cs="宋体"/>
          <w:b w:val="0"/>
          <w:bCs w:val="0"/>
          <w:color w:val="333333"/>
          <w:kern w:val="0"/>
          <w:sz w:val="24"/>
          <w:szCs w:val="24"/>
          <w:lang w:val="en-US" w:eastAsia="zh-CN"/>
        </w:rPr>
      </w:pPr>
      <w:bookmarkStart w:id="0" w:name="_GoBack"/>
      <w:bookmarkEnd w:id="0"/>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5"/>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2012</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9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苗木采购</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2402377.52元</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color w:val="000000"/>
                <w:kern w:val="0"/>
                <w:sz w:val="20"/>
                <w:szCs w:val="20"/>
              </w:rPr>
              <w:t>2020年本行政区域（或本部门）政府信息公开发布总数量（非新闻类、消息类）：</w:t>
            </w:r>
            <w:r>
              <w:rPr>
                <w:rFonts w:hint="eastAsia" w:ascii="宋体" w:hAnsi="宋体" w:eastAsia="宋体" w:cs="宋体"/>
                <w:color w:val="000000"/>
                <w:kern w:val="0"/>
                <w:sz w:val="20"/>
                <w:szCs w:val="20"/>
                <w:lang w:val="en-US" w:eastAsia="zh-CN"/>
              </w:rPr>
              <w:t>10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2</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2</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2</w:t>
            </w:r>
            <w:r>
              <w:rPr>
                <w:rFonts w:ascii="Calibri" w:hAnsi="Calibri" w:eastAsia="宋体" w:cs="Calibri"/>
                <w:kern w:val="0"/>
                <w:sz w:val="20"/>
                <w:szCs w:val="20"/>
              </w:rPr>
              <w:t> </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pStyle w:val="4"/>
        <w:shd w:val="clear" w:color="auto" w:fill="FEFEFE"/>
        <w:spacing w:before="0" w:beforeAutospacing="0" w:after="0" w:afterAutospacing="0"/>
        <w:ind w:firstLine="480" w:firstLineChars="200"/>
        <w:jc w:val="both"/>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bidi="ar-SA"/>
        </w:rPr>
        <w:t>为推进全县林业又快又好发展提供了强有力的支持和服务</w:t>
      </w:r>
      <w:r>
        <w:rPr>
          <w:rFonts w:hint="eastAsia" w:cs="宋体"/>
          <w:b w:val="0"/>
          <w:bCs w:val="0"/>
          <w:color w:val="333333"/>
          <w:kern w:val="0"/>
          <w:sz w:val="24"/>
          <w:szCs w:val="24"/>
          <w:lang w:val="en-US" w:eastAsia="zh-CN" w:bidi="ar-SA"/>
        </w:rPr>
        <w:t>，</w:t>
      </w:r>
      <w:r>
        <w:rPr>
          <w:rFonts w:hint="eastAsia" w:ascii="宋体" w:hAnsi="宋体" w:eastAsia="宋体" w:cs="宋体"/>
          <w:b w:val="0"/>
          <w:bCs w:val="0"/>
          <w:color w:val="333333"/>
          <w:kern w:val="0"/>
          <w:sz w:val="24"/>
          <w:szCs w:val="24"/>
          <w:lang w:val="en-US" w:eastAsia="zh-CN" w:bidi="ar-SA"/>
        </w:rPr>
        <w:t>在下一步工作中，农安县林业和草原局计划缩短公开时限并组织全体职工认真学习政务公开条例，并将所学到的内容认真落实到工作中去，确保政务公开工作有序高效的进行。</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无</w:t>
      </w:r>
    </w:p>
    <w:p/>
    <w:p>
      <w:pPr>
        <w:widowControl/>
        <w:jc w:val="left"/>
        <w:rPr>
          <w:rFonts w:ascii="仿宋_GB2312" w:eastAsia="仿宋_GB2312"/>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B2C9D"/>
    <w:rsid w:val="00CB6627"/>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4DB4B90"/>
    <w:rsid w:val="07316E98"/>
    <w:rsid w:val="0D8C2782"/>
    <w:rsid w:val="224D57D8"/>
    <w:rsid w:val="22534CC0"/>
    <w:rsid w:val="25DE68B3"/>
    <w:rsid w:val="2D0832E1"/>
    <w:rsid w:val="2E216538"/>
    <w:rsid w:val="2E6A399B"/>
    <w:rsid w:val="2EBC1F0B"/>
    <w:rsid w:val="2FD40719"/>
    <w:rsid w:val="34347EFC"/>
    <w:rsid w:val="34B357A9"/>
    <w:rsid w:val="37A7239D"/>
    <w:rsid w:val="40C94476"/>
    <w:rsid w:val="46C51405"/>
    <w:rsid w:val="47990858"/>
    <w:rsid w:val="50642CF4"/>
    <w:rsid w:val="52BC4173"/>
    <w:rsid w:val="56410BF9"/>
    <w:rsid w:val="56A52251"/>
    <w:rsid w:val="5BCA152B"/>
    <w:rsid w:val="5C1C756A"/>
    <w:rsid w:val="5DAF5956"/>
    <w:rsid w:val="60BD47F0"/>
    <w:rsid w:val="60CD26B8"/>
    <w:rsid w:val="625D0D2D"/>
    <w:rsid w:val="660C6655"/>
    <w:rsid w:val="683A4BDD"/>
    <w:rsid w:val="695F3768"/>
    <w:rsid w:val="69907989"/>
    <w:rsid w:val="69A21EAB"/>
    <w:rsid w:val="6E525592"/>
    <w:rsid w:val="70DD1C33"/>
    <w:rsid w:val="73AB00AE"/>
    <w:rsid w:val="79221504"/>
    <w:rsid w:val="7E42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3</TotalTime>
  <ScaleCrop>false</ScaleCrop>
  <LinksUpToDate>false</LinksUpToDate>
  <CharactersWithSpaces>5790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WPS_1528959085</cp:lastModifiedBy>
  <cp:lastPrinted>2020-12-15T06:21:00Z</cp:lastPrinted>
  <dcterms:modified xsi:type="dcterms:W3CDTF">2021-01-27T03:25:34Z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