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28109">
      <w:pPr>
        <w:keepNext/>
        <w:keepLines/>
        <w:pageBreakBefore w:val="0"/>
        <w:widowControl w:val="0"/>
        <w:kinsoku/>
        <w:wordWrap/>
        <w:overflowPunct/>
        <w:topLinePunct w:val="0"/>
        <w:autoSpaceDE/>
        <w:autoSpaceDN/>
        <w:bidi w:val="0"/>
        <w:adjustRightInd w:val="0"/>
        <w:snapToGrid w:val="0"/>
        <w:spacing w:line="700" w:lineRule="exact"/>
        <w:ind w:firstLine="0" w:firstLineChars="0"/>
        <w:jc w:val="center"/>
        <w:textAlignment w:val="auto"/>
        <w:outlineLvl w:val="9"/>
        <w:rPr>
          <w:rFonts w:hint="eastAsia" w:ascii="Times New Roman" w:hAnsi="Times New Roman" w:eastAsia="方正小标宋_GBK"/>
          <w:sz w:val="44"/>
          <w:lang w:val="en-US" w:eastAsia="zh-CN"/>
        </w:rPr>
      </w:pPr>
      <w:bookmarkStart w:id="0" w:name="OLE_LINK3"/>
      <w:r>
        <w:rPr>
          <w:rFonts w:hint="eastAsia" w:ascii="Times New Roman" w:hAnsi="Times New Roman" w:eastAsia="方正小标宋_GBK"/>
          <w:sz w:val="44"/>
          <w:lang w:val="en-US" w:eastAsia="zh-CN"/>
        </w:rPr>
        <w:t>农安县国民经济和社会发展</w:t>
      </w:r>
    </w:p>
    <w:p w14:paraId="3B511672">
      <w:pPr>
        <w:keepNext/>
        <w:keepLines/>
        <w:pageBreakBefore w:val="0"/>
        <w:widowControl w:val="0"/>
        <w:kinsoku/>
        <w:wordWrap/>
        <w:overflowPunct/>
        <w:topLinePunct w:val="0"/>
        <w:autoSpaceDE/>
        <w:autoSpaceDN/>
        <w:bidi w:val="0"/>
        <w:adjustRightInd w:val="0"/>
        <w:snapToGrid w:val="0"/>
        <w:spacing w:line="700" w:lineRule="exact"/>
        <w:ind w:firstLine="0" w:firstLineChars="0"/>
        <w:jc w:val="center"/>
        <w:textAlignment w:val="auto"/>
        <w:outlineLvl w:val="9"/>
        <w:rPr>
          <w:rFonts w:hint="default" w:ascii="Times New Roman" w:hAnsi="Times New Roman" w:eastAsia="方正小标宋_GBK"/>
          <w:sz w:val="44"/>
          <w:lang w:val="en-US" w:eastAsia="zh-CN"/>
        </w:rPr>
      </w:pPr>
      <w:r>
        <w:rPr>
          <w:rFonts w:hint="eastAsia" w:ascii="Times New Roman" w:hAnsi="Times New Roman" w:eastAsia="方正小标宋_GBK"/>
          <w:sz w:val="44"/>
          <w:lang w:val="en-US" w:eastAsia="zh-CN"/>
        </w:rPr>
        <w:t>第十五个五年规划</w:t>
      </w:r>
      <w:r>
        <w:rPr>
          <w:rFonts w:hint="eastAsia" w:eastAsia="方正小标宋_GBK"/>
          <w:sz w:val="44"/>
          <w:lang w:val="en-US" w:eastAsia="zh-CN"/>
        </w:rPr>
        <w:t>纲要</w:t>
      </w:r>
    </w:p>
    <w:bookmarkEnd w:id="0"/>
    <w:p w14:paraId="7351682F">
      <w:pPr>
        <w:rPr>
          <w:rFonts w:hint="eastAsia" w:ascii="Times New Roman" w:hAnsi="Times New Roman"/>
          <w:lang w:val="en-US" w:eastAsia="zh-CN"/>
        </w:rPr>
      </w:pPr>
    </w:p>
    <w:p w14:paraId="04438137">
      <w:pPr>
        <w:pStyle w:val="6"/>
        <w:rPr>
          <w:rFonts w:hint="eastAsia" w:ascii="Times New Roman" w:hAnsi="Times New Roman"/>
          <w:lang w:val="en-US" w:eastAsia="zh-CN"/>
        </w:rPr>
      </w:pPr>
    </w:p>
    <w:p w14:paraId="3E28BEEC">
      <w:pPr>
        <w:rPr>
          <w:rFonts w:hint="eastAsia" w:ascii="Times New Roman" w:hAnsi="Times New Roman"/>
          <w:lang w:val="en-US" w:eastAsia="zh-CN"/>
        </w:rPr>
      </w:pPr>
    </w:p>
    <w:p w14:paraId="0F6EDCDE">
      <w:pPr>
        <w:pStyle w:val="6"/>
        <w:rPr>
          <w:rFonts w:hint="eastAsia" w:ascii="Times New Roman" w:hAnsi="Times New Roman"/>
          <w:lang w:val="en-US" w:eastAsia="zh-CN"/>
        </w:rPr>
      </w:pPr>
    </w:p>
    <w:p w14:paraId="7CF546A5">
      <w:pPr>
        <w:rPr>
          <w:rFonts w:hint="eastAsia" w:ascii="Times New Roman" w:hAnsi="Times New Roman"/>
          <w:lang w:val="en-US" w:eastAsia="zh-CN"/>
        </w:rPr>
      </w:pPr>
    </w:p>
    <w:p w14:paraId="33CCAAE8">
      <w:pPr>
        <w:pStyle w:val="6"/>
        <w:rPr>
          <w:rFonts w:hint="eastAsia" w:ascii="Times New Roman" w:hAnsi="Times New Roman"/>
          <w:lang w:val="en-US" w:eastAsia="zh-CN"/>
        </w:rPr>
      </w:pPr>
    </w:p>
    <w:p w14:paraId="10C0D56F">
      <w:pPr>
        <w:rPr>
          <w:rFonts w:hint="eastAsia" w:ascii="Times New Roman" w:hAnsi="Times New Roman"/>
          <w:lang w:val="en-US" w:eastAsia="zh-CN"/>
        </w:rPr>
      </w:pPr>
    </w:p>
    <w:p w14:paraId="7D4C417D">
      <w:pPr>
        <w:pStyle w:val="6"/>
        <w:rPr>
          <w:rFonts w:hint="eastAsia" w:ascii="Times New Roman" w:hAnsi="Times New Roman"/>
          <w:lang w:val="en-US" w:eastAsia="zh-CN"/>
        </w:rPr>
      </w:pPr>
    </w:p>
    <w:p w14:paraId="0588AC71">
      <w:pPr>
        <w:rPr>
          <w:rFonts w:hint="eastAsia" w:ascii="Times New Roman" w:hAnsi="Times New Roman"/>
          <w:lang w:val="en-US" w:eastAsia="zh-CN"/>
        </w:rPr>
      </w:pPr>
    </w:p>
    <w:p w14:paraId="5EC17CEA">
      <w:pPr>
        <w:pStyle w:val="6"/>
        <w:rPr>
          <w:rFonts w:hint="eastAsia" w:ascii="Times New Roman" w:hAnsi="Times New Roman"/>
          <w:lang w:val="en-US" w:eastAsia="zh-CN"/>
        </w:rPr>
      </w:pPr>
    </w:p>
    <w:p w14:paraId="0BA383A2">
      <w:pPr>
        <w:rPr>
          <w:rFonts w:hint="eastAsia" w:ascii="Times New Roman" w:hAnsi="Times New Roman"/>
          <w:lang w:val="en-US" w:eastAsia="zh-CN"/>
        </w:rPr>
      </w:pPr>
    </w:p>
    <w:p w14:paraId="51BB5018">
      <w:pPr>
        <w:pStyle w:val="6"/>
        <w:rPr>
          <w:rFonts w:hint="eastAsia" w:ascii="Times New Roman" w:hAnsi="Times New Roman"/>
          <w:lang w:val="en-US" w:eastAsia="zh-CN"/>
        </w:rPr>
      </w:pPr>
    </w:p>
    <w:p w14:paraId="6CD64356">
      <w:pPr>
        <w:pStyle w:val="6"/>
        <w:rPr>
          <w:rFonts w:hint="eastAsia" w:ascii="Times New Roman" w:hAnsi="Times New Roman"/>
          <w:lang w:val="en-US" w:eastAsia="zh-CN"/>
        </w:rPr>
      </w:pPr>
    </w:p>
    <w:p w14:paraId="045F2E41">
      <w:pPr>
        <w:pStyle w:val="6"/>
        <w:rPr>
          <w:rFonts w:hint="eastAsia" w:ascii="Times New Roman" w:hAnsi="Times New Roman"/>
          <w:lang w:val="en-US" w:eastAsia="zh-CN"/>
        </w:rPr>
      </w:pPr>
    </w:p>
    <w:p w14:paraId="5BD37DB6">
      <w:pPr>
        <w:rPr>
          <w:rFonts w:hint="eastAsia" w:ascii="Times New Roman" w:hAnsi="Times New Roman"/>
          <w:lang w:val="en-US" w:eastAsia="zh-CN"/>
        </w:rPr>
      </w:pPr>
    </w:p>
    <w:p w14:paraId="7271A6C1">
      <w:pPr>
        <w:pStyle w:val="6"/>
        <w:rPr>
          <w:rFonts w:hint="eastAsia" w:ascii="Times New Roman" w:hAnsi="Times New Roman"/>
          <w:lang w:val="en-US" w:eastAsia="zh-CN"/>
        </w:rPr>
      </w:pPr>
    </w:p>
    <w:p w14:paraId="64AAB698">
      <w:pPr>
        <w:pStyle w:val="6"/>
        <w:ind w:left="0" w:leftChars="0" w:firstLine="0" w:firstLineChars="0"/>
        <w:jc w:val="center"/>
        <w:rPr>
          <w:rFonts w:hint="eastAsia" w:ascii="Times New Roman" w:hAnsi="Times New Roman"/>
          <w:b/>
          <w:bCs/>
          <w:lang w:val="en-US" w:eastAsia="zh-CN"/>
        </w:rPr>
      </w:pPr>
      <w:r>
        <w:rPr>
          <w:rFonts w:hint="eastAsia" w:ascii="Times New Roman" w:hAnsi="Times New Roman"/>
          <w:b/>
          <w:bCs/>
          <w:lang w:val="en-US" w:eastAsia="zh-CN"/>
        </w:rPr>
        <w:t>农安县人民政府</w:t>
      </w:r>
    </w:p>
    <w:p w14:paraId="7B460817">
      <w:pPr>
        <w:ind w:left="0" w:leftChars="0" w:firstLine="0" w:firstLineChars="0"/>
        <w:jc w:val="center"/>
        <w:rPr>
          <w:rFonts w:hint="eastAsia" w:ascii="Times New Roman" w:hAnsi="Times New Roman"/>
          <w:b/>
          <w:bCs/>
          <w:lang w:val="en-US" w:eastAsia="zh-CN"/>
        </w:rPr>
      </w:pPr>
      <w:r>
        <w:rPr>
          <w:rFonts w:hint="eastAsia" w:ascii="Times New Roman" w:hAnsi="Times New Roman"/>
          <w:b/>
          <w:bCs/>
          <w:lang w:val="en-US" w:eastAsia="zh-CN"/>
        </w:rPr>
        <w:t>202</w:t>
      </w:r>
      <w:r>
        <w:rPr>
          <w:rFonts w:hint="eastAsia"/>
          <w:b/>
          <w:bCs/>
          <w:lang w:val="en-US" w:eastAsia="zh-CN"/>
        </w:rPr>
        <w:t>6</w:t>
      </w:r>
      <w:r>
        <w:rPr>
          <w:rFonts w:hint="eastAsia" w:ascii="Times New Roman" w:hAnsi="Times New Roman"/>
          <w:b/>
          <w:bCs/>
          <w:lang w:val="en-US" w:eastAsia="zh-CN"/>
        </w:rPr>
        <w:t>年</w:t>
      </w:r>
      <w:r>
        <w:rPr>
          <w:rFonts w:hint="eastAsia"/>
          <w:b/>
          <w:bCs/>
          <w:lang w:val="en-US" w:eastAsia="zh-CN"/>
        </w:rPr>
        <w:t>5</w:t>
      </w:r>
      <w:r>
        <w:rPr>
          <w:rFonts w:hint="eastAsia" w:ascii="Times New Roman" w:hAnsi="Times New Roman"/>
          <w:b/>
          <w:bCs/>
          <w:lang w:val="en-US" w:eastAsia="zh-CN"/>
        </w:rPr>
        <w:t>月</w:t>
      </w:r>
    </w:p>
    <w:p w14:paraId="0F7A90AF">
      <w:pPr>
        <w:rPr>
          <w:rFonts w:hint="eastAsia" w:ascii="Times New Roman" w:hAnsi="Times New Roman"/>
          <w:b/>
          <w:bCs/>
          <w:lang w:val="en-US" w:eastAsia="zh-CN"/>
        </w:rPr>
      </w:pPr>
      <w:r>
        <w:rPr>
          <w:rFonts w:hint="eastAsia" w:ascii="Times New Roman" w:hAnsi="Times New Roman"/>
          <w:b/>
          <w:bCs/>
          <w:lang w:val="en-US" w:eastAsia="zh-CN"/>
        </w:rPr>
        <w:br w:type="page"/>
      </w:r>
    </w:p>
    <w:p w14:paraId="277F0827">
      <w:pPr>
        <w:rPr>
          <w:rFonts w:hint="eastAsia"/>
          <w:lang w:val="en-US" w:eastAsia="zh-CN"/>
        </w:rPr>
      </w:pPr>
    </w:p>
    <w:p w14:paraId="6F4CC3BD">
      <w:pPr>
        <w:rPr>
          <w:rFonts w:hint="eastAsia" w:ascii="Times New Roman" w:hAnsi="Times New Roman"/>
          <w:lang w:val="en-US" w:eastAsia="zh-CN"/>
        </w:rPr>
        <w:sectPr>
          <w:footnotePr>
            <w:numFmt w:val="decimal"/>
          </w:footnotePr>
          <w:pgSz w:w="11906" w:h="16838"/>
          <w:pgMar w:top="2098" w:right="1474" w:bottom="1984" w:left="1587" w:header="851" w:footer="992" w:gutter="0"/>
          <w:pgNumType w:fmt="decimal" w:start="1"/>
          <w:cols w:space="425" w:num="1"/>
          <w:docGrid w:type="lines" w:linePitch="312" w:charSpace="0"/>
        </w:sectPr>
      </w:pPr>
    </w:p>
    <w:p w14:paraId="2E8EE787">
      <w:pPr>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pPr>
      <w:r>
        <w:rPr>
          <w:rFonts w:hint="eastAsia" w:ascii="Times New Roman" w:hAnsi="Times New Roman" w:eastAsia="黑体" w:cs="黑体"/>
          <w:kern w:val="2"/>
          <w:sz w:val="32"/>
          <w:szCs w:val="22"/>
          <w:lang w:val="en-US" w:eastAsia="zh-CN" w:bidi="ar-SA"/>
          <w14:ligatures w14:val="standardContextual"/>
        </w:rPr>
        <w:t>目</w:t>
      </w:r>
      <w:r>
        <w:rPr>
          <w:rFonts w:hint="eastAsia" w:eastAsia="黑体" w:cs="黑体"/>
          <w:kern w:val="2"/>
          <w:sz w:val="32"/>
          <w:szCs w:val="22"/>
          <w:lang w:val="en-US" w:eastAsia="zh-CN" w:bidi="ar-SA"/>
          <w14:ligatures w14:val="standardContextual"/>
        </w:rPr>
        <w:t xml:space="preserve">  </w:t>
      </w:r>
      <w:r>
        <w:rPr>
          <w:rFonts w:hint="eastAsia" w:ascii="Times New Roman" w:hAnsi="Times New Roman" w:eastAsia="黑体" w:cs="黑体"/>
          <w:kern w:val="2"/>
          <w:sz w:val="32"/>
          <w:szCs w:val="22"/>
          <w:lang w:val="en-US" w:eastAsia="zh-CN" w:bidi="ar-SA"/>
          <w14:ligatures w14:val="standardContextual"/>
        </w:rPr>
        <w:t>录</w:t>
      </w:r>
    </w:p>
    <w:p w14:paraId="27A31A58">
      <w:pPr>
        <w:pStyle w:val="16"/>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0" w:firstLineChars="0"/>
        <w:textAlignment w:val="auto"/>
      </w:pPr>
      <w:r>
        <w:fldChar w:fldCharType="begin"/>
      </w:r>
      <w:r>
        <w:instrText xml:space="preserve">TOC \o "1-4" \h \u </w:instrText>
      </w:r>
      <w:r>
        <w:fldChar w:fldCharType="separate"/>
      </w:r>
      <w:r>
        <w:fldChar w:fldCharType="begin"/>
      </w:r>
      <w:r>
        <w:instrText xml:space="preserve"> HYPERLINK \l _Toc2824 </w:instrText>
      </w:r>
      <w:r>
        <w:fldChar w:fldCharType="separate"/>
      </w:r>
      <w:r>
        <w:rPr>
          <w:rFonts w:hint="eastAsia" w:ascii="Times New Roman" w:hAnsi="Times New Roman" w:eastAsia="方正黑体_GBK" w:cs="方正黑体_GBK"/>
          <w:kern w:val="2"/>
          <w:szCs w:val="36"/>
        </w:rPr>
        <w:t>前</w:t>
      </w:r>
      <w:r>
        <w:rPr>
          <w:rFonts w:hint="eastAsia" w:ascii="Times New Roman" w:hAnsi="Times New Roman" w:eastAsia="方正黑体_GBK" w:cs="Times New Roman"/>
          <w:kern w:val="2"/>
          <w:szCs w:val="36"/>
        </w:rPr>
        <w:t xml:space="preserve">  </w:t>
      </w:r>
      <w:r>
        <w:rPr>
          <w:rFonts w:hint="eastAsia" w:ascii="Times New Roman" w:hAnsi="Times New Roman" w:eastAsia="方正黑体_GBK" w:cs="方正黑体_GBK"/>
          <w:kern w:val="2"/>
          <w:szCs w:val="36"/>
        </w:rPr>
        <w:t>言</w:t>
      </w:r>
      <w:r>
        <w:tab/>
      </w:r>
      <w:r>
        <w:fldChar w:fldCharType="begin"/>
      </w:r>
      <w:r>
        <w:instrText xml:space="preserve"> PAGEREF _Toc2824 \h </w:instrText>
      </w:r>
      <w:r>
        <w:fldChar w:fldCharType="separate"/>
      </w:r>
      <w:r>
        <w:t>1</w:t>
      </w:r>
      <w:r>
        <w:fldChar w:fldCharType="end"/>
      </w:r>
      <w:r>
        <w:fldChar w:fldCharType="end"/>
      </w:r>
    </w:p>
    <w:p w14:paraId="5450FA72">
      <w:pPr>
        <w:pStyle w:val="16"/>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0" w:firstLineChars="0"/>
        <w:textAlignment w:val="auto"/>
      </w:pPr>
      <w:r>
        <w:fldChar w:fldCharType="begin"/>
      </w:r>
      <w:r>
        <w:instrText xml:space="preserve"> HYPERLINK \l _Toc18493 </w:instrText>
      </w:r>
      <w:r>
        <w:fldChar w:fldCharType="separate"/>
      </w:r>
      <w:r>
        <w:rPr>
          <w:rFonts w:hint="eastAsia" w:ascii="Times New Roman" w:hAnsi="Times New Roman" w:eastAsia="方正黑体_GBK" w:cs="方正黑体_GBK"/>
          <w:kern w:val="2"/>
          <w:szCs w:val="36"/>
        </w:rPr>
        <w:t>愿景篇</w:t>
      </w:r>
      <w:r>
        <w:rPr>
          <w:rFonts w:hint="eastAsia" w:ascii="Times New Roman" w:hAnsi="Times New Roman" w:eastAsia="方正黑体_GBK" w:cs="方正黑体_GBK"/>
          <w:kern w:val="2"/>
          <w:szCs w:val="36"/>
          <w:lang w:eastAsia="zh-CN"/>
        </w:rPr>
        <w:t>：</w:t>
      </w:r>
      <w:r>
        <w:rPr>
          <w:rFonts w:hint="eastAsia" w:ascii="Times New Roman" w:hAnsi="Times New Roman" w:eastAsia="方正黑体_GBK" w:cs="方正黑体_GBK"/>
          <w:kern w:val="2"/>
          <w:szCs w:val="36"/>
        </w:rPr>
        <w:t>谋篇布局，奋力谱写中国式现代化农安篇章</w:t>
      </w:r>
      <w:r>
        <w:tab/>
      </w:r>
      <w:r>
        <w:fldChar w:fldCharType="begin"/>
      </w:r>
      <w:r>
        <w:instrText xml:space="preserve"> PAGEREF _Toc18493 \h </w:instrText>
      </w:r>
      <w:r>
        <w:fldChar w:fldCharType="separate"/>
      </w:r>
      <w:r>
        <w:t>3</w:t>
      </w:r>
      <w:r>
        <w:fldChar w:fldCharType="end"/>
      </w:r>
      <w:r>
        <w:fldChar w:fldCharType="end"/>
      </w:r>
    </w:p>
    <w:p w14:paraId="3D054A68">
      <w:pPr>
        <w:pStyle w:val="9"/>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0" w:firstLineChars="0"/>
        <w:textAlignment w:val="auto"/>
      </w:pPr>
      <w:r>
        <w:fldChar w:fldCharType="begin"/>
      </w:r>
      <w:r>
        <w:instrText xml:space="preserve"> HYPERLINK \l _Toc10983 </w:instrText>
      </w:r>
      <w:r>
        <w:fldChar w:fldCharType="separate"/>
      </w:r>
      <w:r>
        <w:rPr>
          <w:rFonts w:hint="eastAsia" w:ascii="Times New Roman" w:hAnsi="Times New Roman"/>
          <w:b/>
          <w:bCs/>
        </w:rPr>
        <w:t>第一章 发展基础和发展环境</w:t>
      </w:r>
      <w:r>
        <w:tab/>
      </w:r>
      <w:r>
        <w:fldChar w:fldCharType="begin"/>
      </w:r>
      <w:r>
        <w:instrText xml:space="preserve"> PAGEREF _Toc10983 \h </w:instrText>
      </w:r>
      <w:r>
        <w:fldChar w:fldCharType="separate"/>
      </w:r>
      <w:r>
        <w:t>3</w:t>
      </w:r>
      <w:r>
        <w:fldChar w:fldCharType="end"/>
      </w:r>
      <w:r>
        <w:fldChar w:fldCharType="end"/>
      </w:r>
    </w:p>
    <w:p w14:paraId="6D0B0120">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_Toc23550 </w:instrText>
      </w:r>
      <w:r>
        <w:fldChar w:fldCharType="separate"/>
      </w:r>
      <w:r>
        <w:rPr>
          <w:rFonts w:hint="eastAsia" w:ascii="Times New Roman" w:hAnsi="Times New Roman"/>
          <w:lang w:val="en-US" w:eastAsia="zh-CN"/>
        </w:rPr>
        <w:t>第一节  发展基础</w:t>
      </w:r>
      <w:r>
        <w:tab/>
      </w:r>
      <w:r>
        <w:fldChar w:fldCharType="begin"/>
      </w:r>
      <w:r>
        <w:instrText xml:space="preserve"> PAGEREF _Toc23550 \h </w:instrText>
      </w:r>
      <w:r>
        <w:fldChar w:fldCharType="separate"/>
      </w:r>
      <w:r>
        <w:t>3</w:t>
      </w:r>
      <w:r>
        <w:fldChar w:fldCharType="end"/>
      </w:r>
      <w:r>
        <w:fldChar w:fldCharType="end"/>
      </w:r>
    </w:p>
    <w:p w14:paraId="45E3D90E">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_Toc1452 </w:instrText>
      </w:r>
      <w:r>
        <w:fldChar w:fldCharType="separate"/>
      </w:r>
      <w:r>
        <w:rPr>
          <w:rFonts w:hint="eastAsia" w:ascii="Times New Roman" w:hAnsi="Times New Roman"/>
          <w:lang w:val="en-US" w:eastAsia="zh-CN"/>
        </w:rPr>
        <w:t>第二节  发展环境</w:t>
      </w:r>
      <w:r>
        <w:tab/>
      </w:r>
      <w:r>
        <w:fldChar w:fldCharType="begin"/>
      </w:r>
      <w:r>
        <w:instrText xml:space="preserve"> PAGEREF _Toc1452 \h </w:instrText>
      </w:r>
      <w:r>
        <w:fldChar w:fldCharType="separate"/>
      </w:r>
      <w:r>
        <w:t>8</w:t>
      </w:r>
      <w:r>
        <w:fldChar w:fldCharType="end"/>
      </w:r>
      <w:r>
        <w:fldChar w:fldCharType="end"/>
      </w:r>
    </w:p>
    <w:p w14:paraId="2EFE6DD9">
      <w:pPr>
        <w:pStyle w:val="9"/>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0" w:firstLineChars="0"/>
        <w:textAlignment w:val="auto"/>
      </w:pPr>
      <w:r>
        <w:fldChar w:fldCharType="begin"/>
      </w:r>
      <w:r>
        <w:instrText xml:space="preserve"> HYPERLINK \l _Toc14648 </w:instrText>
      </w:r>
      <w:r>
        <w:fldChar w:fldCharType="separate"/>
      </w:r>
      <w:r>
        <w:rPr>
          <w:rFonts w:hint="eastAsia" w:ascii="Times New Roman" w:hAnsi="Times New Roman"/>
          <w:b/>
          <w:bCs/>
        </w:rPr>
        <w:t>第二章 指导思想和</w:t>
      </w:r>
      <w:r>
        <w:rPr>
          <w:rFonts w:hint="eastAsia" w:ascii="Times New Roman" w:hAnsi="Times New Roman"/>
          <w:b/>
          <w:bCs/>
          <w:lang w:val="en-US" w:eastAsia="zh-CN"/>
        </w:rPr>
        <w:t>基本原则</w:t>
      </w:r>
      <w:r>
        <w:tab/>
      </w:r>
      <w:r>
        <w:fldChar w:fldCharType="begin"/>
      </w:r>
      <w:r>
        <w:instrText xml:space="preserve"> PAGEREF _Toc14648 \h </w:instrText>
      </w:r>
      <w:r>
        <w:fldChar w:fldCharType="separate"/>
      </w:r>
      <w:r>
        <w:t>11</w:t>
      </w:r>
      <w:r>
        <w:fldChar w:fldCharType="end"/>
      </w:r>
      <w:r>
        <w:fldChar w:fldCharType="end"/>
      </w:r>
    </w:p>
    <w:p w14:paraId="7C39B8B5">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_Toc5758 </w:instrText>
      </w:r>
      <w:r>
        <w:fldChar w:fldCharType="separate"/>
      </w:r>
      <w:r>
        <w:rPr>
          <w:rFonts w:hint="eastAsia" w:ascii="Times New Roman" w:hAnsi="Times New Roman"/>
          <w:lang w:val="en-US" w:eastAsia="zh-CN"/>
        </w:rPr>
        <w:t>第一节  指导思想</w:t>
      </w:r>
      <w:r>
        <w:tab/>
      </w:r>
      <w:r>
        <w:fldChar w:fldCharType="begin"/>
      </w:r>
      <w:r>
        <w:instrText xml:space="preserve"> PAGEREF _Toc5758 \h </w:instrText>
      </w:r>
      <w:r>
        <w:fldChar w:fldCharType="separate"/>
      </w:r>
      <w:r>
        <w:t>11</w:t>
      </w:r>
      <w:r>
        <w:fldChar w:fldCharType="end"/>
      </w:r>
      <w:r>
        <w:fldChar w:fldCharType="end"/>
      </w:r>
    </w:p>
    <w:p w14:paraId="11F312A9">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_Toc14808 </w:instrText>
      </w:r>
      <w:r>
        <w:fldChar w:fldCharType="separate"/>
      </w:r>
      <w:r>
        <w:rPr>
          <w:rFonts w:hint="eastAsia" w:ascii="Times New Roman" w:hAnsi="Times New Roman"/>
          <w:lang w:val="en-US" w:eastAsia="zh-CN"/>
        </w:rPr>
        <w:t>第二节  基本原则</w:t>
      </w:r>
      <w:r>
        <w:tab/>
      </w:r>
      <w:r>
        <w:fldChar w:fldCharType="begin"/>
      </w:r>
      <w:r>
        <w:instrText xml:space="preserve"> PAGEREF _Toc14808 \h </w:instrText>
      </w:r>
      <w:r>
        <w:fldChar w:fldCharType="separate"/>
      </w:r>
      <w:r>
        <w:t>12</w:t>
      </w:r>
      <w:r>
        <w:fldChar w:fldCharType="end"/>
      </w:r>
      <w:r>
        <w:fldChar w:fldCharType="end"/>
      </w:r>
    </w:p>
    <w:p w14:paraId="254BD861">
      <w:pPr>
        <w:pStyle w:val="9"/>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0" w:firstLineChars="0"/>
        <w:textAlignment w:val="auto"/>
      </w:pPr>
      <w:r>
        <w:fldChar w:fldCharType="begin"/>
      </w:r>
      <w:r>
        <w:instrText xml:space="preserve"> HYPERLINK \l _Toc30069 </w:instrText>
      </w:r>
      <w:r>
        <w:fldChar w:fldCharType="separate"/>
      </w:r>
      <w:r>
        <w:rPr>
          <w:rFonts w:hint="eastAsia" w:ascii="Times New Roman" w:hAnsi="Times New Roman"/>
          <w:b/>
          <w:bCs/>
        </w:rPr>
        <w:t xml:space="preserve">第三章 </w:t>
      </w:r>
      <w:r>
        <w:rPr>
          <w:rFonts w:hint="eastAsia" w:ascii="Times New Roman" w:hAnsi="Times New Roman"/>
          <w:b/>
          <w:bCs/>
          <w:lang w:val="en-US" w:eastAsia="zh-CN"/>
        </w:rPr>
        <w:t>发展目标和</w:t>
      </w:r>
      <w:r>
        <w:rPr>
          <w:rFonts w:hint="eastAsia" w:ascii="Times New Roman" w:hAnsi="Times New Roman"/>
          <w:b/>
          <w:bCs/>
        </w:rPr>
        <w:t>空间布局</w:t>
      </w:r>
      <w:r>
        <w:tab/>
      </w:r>
      <w:r>
        <w:fldChar w:fldCharType="begin"/>
      </w:r>
      <w:r>
        <w:instrText xml:space="preserve"> PAGEREF _Toc30069 \h </w:instrText>
      </w:r>
      <w:r>
        <w:fldChar w:fldCharType="separate"/>
      </w:r>
      <w:r>
        <w:t>13</w:t>
      </w:r>
      <w:r>
        <w:fldChar w:fldCharType="end"/>
      </w:r>
      <w:r>
        <w:fldChar w:fldCharType="end"/>
      </w:r>
    </w:p>
    <w:p w14:paraId="464BDD10">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_Toc3083 </w:instrText>
      </w:r>
      <w:r>
        <w:fldChar w:fldCharType="separate"/>
      </w:r>
      <w:r>
        <w:rPr>
          <w:rFonts w:hint="eastAsia" w:ascii="Times New Roman" w:hAnsi="Times New Roman"/>
          <w:lang w:val="en-US" w:eastAsia="zh-CN"/>
        </w:rPr>
        <w:t>第一节  发展定位</w:t>
      </w:r>
      <w:r>
        <w:tab/>
      </w:r>
      <w:r>
        <w:fldChar w:fldCharType="begin"/>
      </w:r>
      <w:r>
        <w:instrText xml:space="preserve"> PAGEREF _Toc3083 \h </w:instrText>
      </w:r>
      <w:r>
        <w:fldChar w:fldCharType="separate"/>
      </w:r>
      <w:r>
        <w:t>13</w:t>
      </w:r>
      <w:r>
        <w:fldChar w:fldCharType="end"/>
      </w:r>
      <w:r>
        <w:fldChar w:fldCharType="end"/>
      </w:r>
    </w:p>
    <w:p w14:paraId="14E04FC9">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_Toc31923 </w:instrText>
      </w:r>
      <w:r>
        <w:fldChar w:fldCharType="separate"/>
      </w:r>
      <w:r>
        <w:rPr>
          <w:rFonts w:hint="eastAsia" w:ascii="Times New Roman" w:hAnsi="Times New Roman"/>
          <w:lang w:val="en-US" w:eastAsia="zh-CN"/>
        </w:rPr>
        <w:t>第二节  发展目标</w:t>
      </w:r>
      <w:r>
        <w:tab/>
      </w:r>
      <w:r>
        <w:fldChar w:fldCharType="begin"/>
      </w:r>
      <w:r>
        <w:instrText xml:space="preserve"> PAGEREF _Toc31923 \h </w:instrText>
      </w:r>
      <w:r>
        <w:fldChar w:fldCharType="separate"/>
      </w:r>
      <w:r>
        <w:t>14</w:t>
      </w:r>
      <w:r>
        <w:fldChar w:fldCharType="end"/>
      </w:r>
      <w:r>
        <w:fldChar w:fldCharType="end"/>
      </w:r>
    </w:p>
    <w:p w14:paraId="32B8A292">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_Toc7019 </w:instrText>
      </w:r>
      <w:r>
        <w:fldChar w:fldCharType="separate"/>
      </w:r>
      <w:r>
        <w:rPr>
          <w:rFonts w:hint="eastAsia" w:ascii="Times New Roman" w:hAnsi="Times New Roman"/>
          <w:lang w:val="en-US" w:eastAsia="zh-CN"/>
        </w:rPr>
        <w:t>第三节  空间布局</w:t>
      </w:r>
      <w:r>
        <w:tab/>
      </w:r>
      <w:r>
        <w:fldChar w:fldCharType="begin"/>
      </w:r>
      <w:r>
        <w:instrText xml:space="preserve"> PAGEREF _Toc7019 \h </w:instrText>
      </w:r>
      <w:r>
        <w:fldChar w:fldCharType="separate"/>
      </w:r>
      <w:r>
        <w:t>18</w:t>
      </w:r>
      <w:r>
        <w:fldChar w:fldCharType="end"/>
      </w:r>
      <w:r>
        <w:fldChar w:fldCharType="end"/>
      </w:r>
    </w:p>
    <w:p w14:paraId="03B55ABE">
      <w:pPr>
        <w:pStyle w:val="16"/>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0" w:firstLineChars="0"/>
        <w:textAlignment w:val="auto"/>
      </w:pPr>
      <w:r>
        <w:fldChar w:fldCharType="begin"/>
      </w:r>
      <w:r>
        <w:instrText xml:space="preserve"> HYPERLINK \l _Toc868 </w:instrText>
      </w:r>
      <w:r>
        <w:fldChar w:fldCharType="separate"/>
      </w:r>
      <w:r>
        <w:rPr>
          <w:rFonts w:hint="eastAsia" w:ascii="Times New Roman" w:hAnsi="Times New Roman" w:eastAsia="方正黑体_GBK" w:cs="方正黑体_GBK"/>
          <w:kern w:val="2"/>
          <w:szCs w:val="36"/>
        </w:rPr>
        <w:t>产业篇</w:t>
      </w:r>
      <w:r>
        <w:rPr>
          <w:rFonts w:hint="eastAsia" w:ascii="Times New Roman" w:hAnsi="Times New Roman" w:eastAsia="方正黑体_GBK" w:cs="方正黑体_GBK"/>
          <w:kern w:val="2"/>
          <w:szCs w:val="36"/>
          <w:lang w:eastAsia="zh-CN"/>
        </w:rPr>
        <w:t>：</w:t>
      </w:r>
      <w:r>
        <w:rPr>
          <w:rFonts w:hint="eastAsia" w:ascii="Times New Roman" w:hAnsi="Times New Roman" w:eastAsia="方正黑体_GBK" w:cs="方正黑体_GBK"/>
          <w:kern w:val="2"/>
          <w:szCs w:val="36"/>
        </w:rPr>
        <w:t>向新求质，加快构建现代化产业体系</w:t>
      </w:r>
      <w:r>
        <w:tab/>
      </w:r>
      <w:r>
        <w:fldChar w:fldCharType="begin"/>
      </w:r>
      <w:r>
        <w:instrText xml:space="preserve"> PAGEREF _Toc868 \h </w:instrText>
      </w:r>
      <w:r>
        <w:fldChar w:fldCharType="separate"/>
      </w:r>
      <w:r>
        <w:t>21</w:t>
      </w:r>
      <w:r>
        <w:fldChar w:fldCharType="end"/>
      </w:r>
      <w:r>
        <w:fldChar w:fldCharType="end"/>
      </w:r>
    </w:p>
    <w:p w14:paraId="6B4972CA">
      <w:pPr>
        <w:pStyle w:val="9"/>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0" w:firstLineChars="0"/>
        <w:textAlignment w:val="auto"/>
      </w:pPr>
      <w:r>
        <w:fldChar w:fldCharType="begin"/>
      </w:r>
      <w:r>
        <w:instrText xml:space="preserve"> HYPERLINK \l _Toc31880 </w:instrText>
      </w:r>
      <w:r>
        <w:fldChar w:fldCharType="separate"/>
      </w:r>
      <w:r>
        <w:rPr>
          <w:rFonts w:hint="eastAsia" w:ascii="Times New Roman" w:hAnsi="Times New Roman"/>
          <w:b/>
          <w:bCs/>
        </w:rPr>
        <w:t>第</w:t>
      </w:r>
      <w:r>
        <w:rPr>
          <w:rFonts w:hint="eastAsia" w:ascii="Times New Roman" w:hAnsi="Times New Roman"/>
          <w:b/>
          <w:bCs/>
          <w:lang w:val="en-US" w:eastAsia="zh-CN"/>
        </w:rPr>
        <w:t>四</w:t>
      </w:r>
      <w:r>
        <w:rPr>
          <w:rFonts w:hint="eastAsia" w:ascii="Times New Roman" w:hAnsi="Times New Roman"/>
          <w:b/>
          <w:bCs/>
        </w:rPr>
        <w:t>章 全面推进农业现代化，筑牢乡村振兴产业根基</w:t>
      </w:r>
      <w:r>
        <w:tab/>
      </w:r>
      <w:r>
        <w:fldChar w:fldCharType="begin"/>
      </w:r>
      <w:r>
        <w:instrText xml:space="preserve"> PAGEREF _Toc31880 \h </w:instrText>
      </w:r>
      <w:r>
        <w:fldChar w:fldCharType="separate"/>
      </w:r>
      <w:r>
        <w:t>21</w:t>
      </w:r>
      <w:r>
        <w:fldChar w:fldCharType="end"/>
      </w:r>
      <w:r>
        <w:fldChar w:fldCharType="end"/>
      </w:r>
    </w:p>
    <w:p w14:paraId="26849593">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_Toc17825 </w:instrText>
      </w:r>
      <w:r>
        <w:fldChar w:fldCharType="separate"/>
      </w:r>
      <w:r>
        <w:rPr>
          <w:rFonts w:hint="eastAsia" w:ascii="Times New Roman" w:hAnsi="Times New Roman"/>
          <w:lang w:val="en-US" w:eastAsia="zh-CN"/>
        </w:rPr>
        <w:t>第一节  全力夯实粮食安全根基</w:t>
      </w:r>
      <w:r>
        <w:tab/>
      </w:r>
      <w:r>
        <w:fldChar w:fldCharType="begin"/>
      </w:r>
      <w:r>
        <w:instrText xml:space="preserve"> PAGEREF _Toc17825 \h </w:instrText>
      </w:r>
      <w:r>
        <w:fldChar w:fldCharType="separate"/>
      </w:r>
      <w:r>
        <w:t>21</w:t>
      </w:r>
      <w:r>
        <w:fldChar w:fldCharType="end"/>
      </w:r>
      <w:r>
        <w:fldChar w:fldCharType="end"/>
      </w:r>
    </w:p>
    <w:p w14:paraId="1AA8092C">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_Toc13749 </w:instrText>
      </w:r>
      <w:r>
        <w:fldChar w:fldCharType="separate"/>
      </w:r>
      <w:r>
        <w:rPr>
          <w:rFonts w:hint="eastAsia" w:ascii="Times New Roman" w:hAnsi="Times New Roman"/>
          <w:lang w:val="en-US" w:eastAsia="zh-CN"/>
        </w:rPr>
        <w:t>第二节  持续做大做强特色农业</w:t>
      </w:r>
      <w:r>
        <w:tab/>
      </w:r>
      <w:r>
        <w:fldChar w:fldCharType="begin"/>
      </w:r>
      <w:r>
        <w:instrText xml:space="preserve"> PAGEREF _Toc13749 \h </w:instrText>
      </w:r>
      <w:r>
        <w:fldChar w:fldCharType="separate"/>
      </w:r>
      <w:r>
        <w:t>22</w:t>
      </w:r>
      <w:r>
        <w:fldChar w:fldCharType="end"/>
      </w:r>
      <w:r>
        <w:fldChar w:fldCharType="end"/>
      </w:r>
    </w:p>
    <w:p w14:paraId="5A320884">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_Toc2188 </w:instrText>
      </w:r>
      <w:r>
        <w:fldChar w:fldCharType="separate"/>
      </w:r>
      <w:r>
        <w:rPr>
          <w:rFonts w:hint="eastAsia" w:ascii="Times New Roman" w:hAnsi="Times New Roman"/>
          <w:lang w:val="en-US" w:eastAsia="zh-CN"/>
        </w:rPr>
        <w:t>第三节  全领域推进农业科技装备创新</w:t>
      </w:r>
      <w:r>
        <w:tab/>
      </w:r>
      <w:r>
        <w:fldChar w:fldCharType="begin"/>
      </w:r>
      <w:r>
        <w:instrText xml:space="preserve"> PAGEREF _Toc2188 \h </w:instrText>
      </w:r>
      <w:r>
        <w:fldChar w:fldCharType="separate"/>
      </w:r>
      <w:r>
        <w:t>24</w:t>
      </w:r>
      <w:r>
        <w:fldChar w:fldCharType="end"/>
      </w:r>
      <w:r>
        <w:fldChar w:fldCharType="end"/>
      </w:r>
    </w:p>
    <w:p w14:paraId="3C3F515F">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_Toc22339 </w:instrText>
      </w:r>
      <w:r>
        <w:fldChar w:fldCharType="separate"/>
      </w:r>
      <w:r>
        <w:rPr>
          <w:rFonts w:hint="eastAsia" w:ascii="Times New Roman" w:hAnsi="Times New Roman"/>
          <w:lang w:val="en-US" w:eastAsia="zh-CN"/>
        </w:rPr>
        <w:t>第四节  全环节完善现代农业经营体系</w:t>
      </w:r>
      <w:r>
        <w:tab/>
      </w:r>
      <w:r>
        <w:fldChar w:fldCharType="begin"/>
      </w:r>
      <w:r>
        <w:instrText xml:space="preserve"> PAGEREF _Toc22339 \h </w:instrText>
      </w:r>
      <w:r>
        <w:fldChar w:fldCharType="separate"/>
      </w:r>
      <w:r>
        <w:t>26</w:t>
      </w:r>
      <w:r>
        <w:fldChar w:fldCharType="end"/>
      </w:r>
      <w:r>
        <w:fldChar w:fldCharType="end"/>
      </w:r>
    </w:p>
    <w:p w14:paraId="7AA84280">
      <w:pPr>
        <w:pStyle w:val="9"/>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0" w:firstLineChars="0"/>
        <w:textAlignment w:val="auto"/>
      </w:pPr>
      <w:r>
        <w:fldChar w:fldCharType="begin"/>
      </w:r>
      <w:r>
        <w:instrText xml:space="preserve"> HYPERLINK \l _Toc17434 </w:instrText>
      </w:r>
      <w:r>
        <w:fldChar w:fldCharType="separate"/>
      </w:r>
      <w:r>
        <w:rPr>
          <w:rFonts w:hint="eastAsia" w:ascii="Times New Roman" w:hAnsi="Times New Roman"/>
          <w:b/>
          <w:bCs/>
        </w:rPr>
        <w:t>第</w:t>
      </w:r>
      <w:r>
        <w:rPr>
          <w:rFonts w:hint="eastAsia" w:ascii="Times New Roman" w:hAnsi="Times New Roman"/>
          <w:b/>
          <w:bCs/>
          <w:lang w:val="en-US" w:eastAsia="zh-CN"/>
        </w:rPr>
        <w:t>五</w:t>
      </w:r>
      <w:r>
        <w:rPr>
          <w:rFonts w:hint="eastAsia" w:ascii="Times New Roman" w:hAnsi="Times New Roman"/>
          <w:b/>
          <w:bCs/>
        </w:rPr>
        <w:t>章 大力实施“工业兴县”，夯实县域经济发展支撑</w:t>
      </w:r>
      <w:r>
        <w:tab/>
      </w:r>
      <w:r>
        <w:fldChar w:fldCharType="begin"/>
      </w:r>
      <w:r>
        <w:instrText xml:space="preserve"> PAGEREF _Toc17434 \h </w:instrText>
      </w:r>
      <w:r>
        <w:fldChar w:fldCharType="separate"/>
      </w:r>
      <w:r>
        <w:t>27</w:t>
      </w:r>
      <w:r>
        <w:fldChar w:fldCharType="end"/>
      </w:r>
      <w:r>
        <w:fldChar w:fldCharType="end"/>
      </w:r>
    </w:p>
    <w:p w14:paraId="3BD5C022">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_Toc9873 </w:instrText>
      </w:r>
      <w:r>
        <w:fldChar w:fldCharType="separate"/>
      </w:r>
      <w:r>
        <w:rPr>
          <w:rFonts w:hint="eastAsia" w:ascii="Times New Roman" w:hAnsi="Times New Roman"/>
          <w:lang w:val="en-US" w:eastAsia="zh-CN"/>
        </w:rPr>
        <w:t>第一节 做大做强主导产业</w:t>
      </w:r>
      <w:r>
        <w:tab/>
      </w:r>
      <w:r>
        <w:fldChar w:fldCharType="begin"/>
      </w:r>
      <w:r>
        <w:instrText xml:space="preserve"> PAGEREF _Toc9873 \h </w:instrText>
      </w:r>
      <w:r>
        <w:fldChar w:fldCharType="separate"/>
      </w:r>
      <w:r>
        <w:t>27</w:t>
      </w:r>
      <w:r>
        <w:fldChar w:fldCharType="end"/>
      </w:r>
      <w:r>
        <w:fldChar w:fldCharType="end"/>
      </w:r>
    </w:p>
    <w:p w14:paraId="5C1EC430">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_Toc10345 </w:instrText>
      </w:r>
      <w:r>
        <w:fldChar w:fldCharType="separate"/>
      </w:r>
      <w:r>
        <w:rPr>
          <w:rFonts w:hint="eastAsia" w:ascii="Times New Roman" w:hAnsi="Times New Roman"/>
          <w:lang w:val="en-US" w:eastAsia="zh-CN"/>
        </w:rPr>
        <w:t>第二节  持续壮大</w:t>
      </w:r>
      <w:r>
        <w:rPr>
          <w:rFonts w:hint="eastAsia"/>
          <w:lang w:val="en-US" w:eastAsia="zh-CN"/>
        </w:rPr>
        <w:t>支柱</w:t>
      </w:r>
      <w:r>
        <w:rPr>
          <w:rFonts w:hint="eastAsia" w:ascii="Times New Roman" w:hAnsi="Times New Roman"/>
          <w:lang w:val="en-US" w:eastAsia="zh-CN"/>
        </w:rPr>
        <w:t>产业</w:t>
      </w:r>
      <w:r>
        <w:tab/>
      </w:r>
      <w:r>
        <w:fldChar w:fldCharType="begin"/>
      </w:r>
      <w:r>
        <w:instrText xml:space="preserve"> PAGEREF _Toc10345 \h </w:instrText>
      </w:r>
      <w:r>
        <w:fldChar w:fldCharType="separate"/>
      </w:r>
      <w:r>
        <w:t>32</w:t>
      </w:r>
      <w:r>
        <w:fldChar w:fldCharType="end"/>
      </w:r>
      <w:r>
        <w:fldChar w:fldCharType="end"/>
      </w:r>
    </w:p>
    <w:p w14:paraId="10B769AC">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_Toc31385 </w:instrText>
      </w:r>
      <w:r>
        <w:fldChar w:fldCharType="separate"/>
      </w:r>
      <w:r>
        <w:rPr>
          <w:rFonts w:hint="eastAsia" w:ascii="Times New Roman" w:hAnsi="Times New Roman"/>
          <w:lang w:val="en-US" w:eastAsia="zh-CN"/>
        </w:rPr>
        <w:t>第三节  培育发展新兴产业</w:t>
      </w:r>
      <w:r>
        <w:tab/>
      </w:r>
      <w:r>
        <w:fldChar w:fldCharType="begin"/>
      </w:r>
      <w:r>
        <w:instrText xml:space="preserve"> PAGEREF _Toc31385 \h </w:instrText>
      </w:r>
      <w:r>
        <w:fldChar w:fldCharType="separate"/>
      </w:r>
      <w:r>
        <w:t>33</w:t>
      </w:r>
      <w:r>
        <w:fldChar w:fldCharType="end"/>
      </w:r>
      <w:r>
        <w:fldChar w:fldCharType="end"/>
      </w:r>
    </w:p>
    <w:p w14:paraId="5A18A16B">
      <w:pPr>
        <w:pStyle w:val="9"/>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0" w:firstLineChars="0"/>
        <w:textAlignment w:val="auto"/>
      </w:pPr>
      <w:r>
        <w:fldChar w:fldCharType="begin"/>
      </w:r>
      <w:r>
        <w:instrText xml:space="preserve"> HYPERLINK \l _Toc17048 </w:instrText>
      </w:r>
      <w:r>
        <w:fldChar w:fldCharType="separate"/>
      </w:r>
      <w:r>
        <w:rPr>
          <w:rFonts w:hint="eastAsia" w:ascii="Times New Roman" w:hAnsi="Times New Roman"/>
          <w:b/>
          <w:bCs/>
          <w:lang w:val="en-US" w:eastAsia="zh-CN"/>
        </w:rPr>
        <w:t>第六章  聚力发展现代服务业，激活区域经济内生动力</w:t>
      </w:r>
      <w:r>
        <w:tab/>
      </w:r>
      <w:r>
        <w:fldChar w:fldCharType="begin"/>
      </w:r>
      <w:r>
        <w:instrText xml:space="preserve"> PAGEREF _Toc17048 \h </w:instrText>
      </w:r>
      <w:r>
        <w:fldChar w:fldCharType="separate"/>
      </w:r>
      <w:r>
        <w:t>35</w:t>
      </w:r>
      <w:r>
        <w:fldChar w:fldCharType="end"/>
      </w:r>
      <w:r>
        <w:fldChar w:fldCharType="end"/>
      </w:r>
    </w:p>
    <w:p w14:paraId="0E659799">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_Toc7646 </w:instrText>
      </w:r>
      <w:r>
        <w:fldChar w:fldCharType="separate"/>
      </w:r>
      <w:r>
        <w:rPr>
          <w:rFonts w:hint="eastAsia" w:ascii="Times New Roman" w:hAnsi="Times New Roman"/>
          <w:lang w:val="en-US" w:eastAsia="zh-CN"/>
        </w:rPr>
        <w:t>第一节  推动商贸流通业高质量发展</w:t>
      </w:r>
      <w:r>
        <w:tab/>
      </w:r>
      <w:r>
        <w:fldChar w:fldCharType="begin"/>
      </w:r>
      <w:r>
        <w:instrText xml:space="preserve"> PAGEREF _Toc7646 \h </w:instrText>
      </w:r>
      <w:r>
        <w:fldChar w:fldCharType="separate"/>
      </w:r>
      <w:r>
        <w:t>35</w:t>
      </w:r>
      <w:r>
        <w:fldChar w:fldCharType="end"/>
      </w:r>
      <w:r>
        <w:fldChar w:fldCharType="end"/>
      </w:r>
    </w:p>
    <w:p w14:paraId="019DE14A">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_Toc25970 </w:instrText>
      </w:r>
      <w:r>
        <w:fldChar w:fldCharType="separate"/>
      </w:r>
      <w:r>
        <w:rPr>
          <w:rFonts w:hint="eastAsia" w:ascii="Times New Roman" w:hAnsi="Times New Roman"/>
          <w:lang w:val="en-US" w:eastAsia="zh-CN"/>
        </w:rPr>
        <w:t>第二节  推动旅游业高质量发展</w:t>
      </w:r>
      <w:r>
        <w:tab/>
      </w:r>
      <w:r>
        <w:fldChar w:fldCharType="begin"/>
      </w:r>
      <w:r>
        <w:instrText xml:space="preserve"> PAGEREF _Toc25970 \h </w:instrText>
      </w:r>
      <w:r>
        <w:fldChar w:fldCharType="separate"/>
      </w:r>
      <w:r>
        <w:t>37</w:t>
      </w:r>
      <w:r>
        <w:fldChar w:fldCharType="end"/>
      </w:r>
      <w:r>
        <w:fldChar w:fldCharType="end"/>
      </w:r>
    </w:p>
    <w:p w14:paraId="0EA364C1">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_Toc26864 </w:instrText>
      </w:r>
      <w:r>
        <w:fldChar w:fldCharType="separate"/>
      </w:r>
      <w:r>
        <w:rPr>
          <w:rFonts w:hint="eastAsia" w:ascii="Times New Roman" w:hAnsi="Times New Roman"/>
          <w:lang w:val="en-US" w:eastAsia="zh-CN"/>
        </w:rPr>
        <w:t>第</w:t>
      </w:r>
      <w:r>
        <w:rPr>
          <w:rFonts w:hint="eastAsia"/>
          <w:lang w:val="en-US" w:eastAsia="zh-CN"/>
        </w:rPr>
        <w:t>三</w:t>
      </w:r>
      <w:r>
        <w:rPr>
          <w:rFonts w:hint="eastAsia" w:ascii="Times New Roman" w:hAnsi="Times New Roman"/>
          <w:lang w:val="en-US" w:eastAsia="zh-CN"/>
        </w:rPr>
        <w:t>节  推动物流业高质量发展</w:t>
      </w:r>
      <w:r>
        <w:tab/>
      </w:r>
      <w:r>
        <w:fldChar w:fldCharType="begin"/>
      </w:r>
      <w:r>
        <w:instrText xml:space="preserve"> PAGEREF _Toc26864 \h </w:instrText>
      </w:r>
      <w:r>
        <w:fldChar w:fldCharType="separate"/>
      </w:r>
      <w:r>
        <w:t>40</w:t>
      </w:r>
      <w:r>
        <w:fldChar w:fldCharType="end"/>
      </w:r>
      <w:r>
        <w:fldChar w:fldCharType="end"/>
      </w:r>
    </w:p>
    <w:p w14:paraId="1E676D07">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_Toc23669 </w:instrText>
      </w:r>
      <w:r>
        <w:fldChar w:fldCharType="separate"/>
      </w:r>
      <w:r>
        <w:rPr>
          <w:rFonts w:hint="eastAsia" w:ascii="Times New Roman" w:hAnsi="Times New Roman"/>
          <w:highlight w:val="none"/>
          <w:lang w:val="en-US" w:eastAsia="zh-CN"/>
        </w:rPr>
        <w:t xml:space="preserve">第四节  </w:t>
      </w:r>
      <w:r>
        <w:rPr>
          <w:rFonts w:hint="eastAsia"/>
          <w:highlight w:val="none"/>
          <w:lang w:val="en-US" w:eastAsia="zh-CN"/>
        </w:rPr>
        <w:t>推动</w:t>
      </w:r>
      <w:r>
        <w:rPr>
          <w:rFonts w:hint="eastAsia" w:ascii="Times New Roman" w:hAnsi="Times New Roman"/>
          <w:highlight w:val="none"/>
          <w:lang w:val="en-US" w:eastAsia="zh-CN"/>
        </w:rPr>
        <w:t>生产性服务业赋能增效</w:t>
      </w:r>
      <w:r>
        <w:tab/>
      </w:r>
      <w:r>
        <w:fldChar w:fldCharType="begin"/>
      </w:r>
      <w:r>
        <w:instrText xml:space="preserve"> PAGEREF _Toc23669 \h </w:instrText>
      </w:r>
      <w:r>
        <w:fldChar w:fldCharType="separate"/>
      </w:r>
      <w:r>
        <w:t>41</w:t>
      </w:r>
      <w:r>
        <w:fldChar w:fldCharType="end"/>
      </w:r>
      <w:r>
        <w:fldChar w:fldCharType="end"/>
      </w:r>
    </w:p>
    <w:p w14:paraId="01142199">
      <w:pPr>
        <w:pStyle w:val="9"/>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0" w:firstLineChars="0"/>
        <w:textAlignment w:val="auto"/>
      </w:pPr>
      <w:r>
        <w:fldChar w:fldCharType="begin"/>
      </w:r>
      <w:r>
        <w:instrText xml:space="preserve"> HYPERLINK \l _Toc8668 </w:instrText>
      </w:r>
      <w:r>
        <w:fldChar w:fldCharType="separate"/>
      </w:r>
      <w:r>
        <w:rPr>
          <w:rFonts w:hint="eastAsia" w:ascii="Times New Roman" w:hAnsi="Times New Roman"/>
          <w:b/>
          <w:bCs/>
        </w:rPr>
        <w:t>第</w:t>
      </w:r>
      <w:r>
        <w:rPr>
          <w:rFonts w:hint="eastAsia" w:ascii="Times New Roman" w:hAnsi="Times New Roman"/>
          <w:b/>
          <w:bCs/>
          <w:lang w:val="en-US" w:eastAsia="zh-CN"/>
        </w:rPr>
        <w:t>七</w:t>
      </w:r>
      <w:r>
        <w:rPr>
          <w:rFonts w:hint="eastAsia" w:ascii="Times New Roman" w:hAnsi="Times New Roman"/>
          <w:b/>
          <w:bCs/>
        </w:rPr>
        <w:t>章 深入实施创新驱动战略，激发产业发展新动能</w:t>
      </w:r>
      <w:r>
        <w:tab/>
      </w:r>
      <w:r>
        <w:fldChar w:fldCharType="begin"/>
      </w:r>
      <w:r>
        <w:instrText xml:space="preserve"> PAGEREF _Toc8668 \h </w:instrText>
      </w:r>
      <w:r>
        <w:fldChar w:fldCharType="separate"/>
      </w:r>
      <w:r>
        <w:t>42</w:t>
      </w:r>
      <w:r>
        <w:fldChar w:fldCharType="end"/>
      </w:r>
      <w:r>
        <w:fldChar w:fldCharType="end"/>
      </w:r>
    </w:p>
    <w:p w14:paraId="1A82287E">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_Toc25585 </w:instrText>
      </w:r>
      <w:r>
        <w:fldChar w:fldCharType="separate"/>
      </w:r>
      <w:r>
        <w:rPr>
          <w:rFonts w:hint="eastAsia" w:ascii="Times New Roman" w:hAnsi="Times New Roman"/>
          <w:lang w:val="en-US" w:eastAsia="zh-CN"/>
        </w:rPr>
        <w:t>第一节  加强重点领域技术创新</w:t>
      </w:r>
      <w:r>
        <w:tab/>
      </w:r>
      <w:r>
        <w:fldChar w:fldCharType="begin"/>
      </w:r>
      <w:r>
        <w:instrText xml:space="preserve"> PAGEREF _Toc25585 \h </w:instrText>
      </w:r>
      <w:r>
        <w:fldChar w:fldCharType="separate"/>
      </w:r>
      <w:r>
        <w:t>42</w:t>
      </w:r>
      <w:r>
        <w:fldChar w:fldCharType="end"/>
      </w:r>
      <w:r>
        <w:fldChar w:fldCharType="end"/>
      </w:r>
    </w:p>
    <w:p w14:paraId="380409E0">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_Toc20543 </w:instrText>
      </w:r>
      <w:r>
        <w:fldChar w:fldCharType="separate"/>
      </w:r>
      <w:r>
        <w:rPr>
          <w:rFonts w:hint="eastAsia" w:ascii="Times New Roman" w:hAnsi="Times New Roman"/>
          <w:szCs w:val="22"/>
        </w:rPr>
        <w:t>第</w:t>
      </w:r>
      <w:r>
        <w:rPr>
          <w:rFonts w:hint="eastAsia" w:ascii="Times New Roman" w:hAnsi="Times New Roman"/>
          <w:szCs w:val="22"/>
          <w:lang w:val="en-US" w:eastAsia="zh-CN"/>
        </w:rPr>
        <w:t>二</w:t>
      </w:r>
      <w:r>
        <w:rPr>
          <w:rFonts w:hint="eastAsia" w:ascii="Times New Roman" w:hAnsi="Times New Roman"/>
          <w:szCs w:val="22"/>
        </w:rPr>
        <w:t>节  突出企业创新主体地位</w:t>
      </w:r>
      <w:r>
        <w:tab/>
      </w:r>
      <w:r>
        <w:fldChar w:fldCharType="begin"/>
      </w:r>
      <w:r>
        <w:instrText xml:space="preserve"> PAGEREF _Toc20543 \h </w:instrText>
      </w:r>
      <w:r>
        <w:fldChar w:fldCharType="separate"/>
      </w:r>
      <w:r>
        <w:t>43</w:t>
      </w:r>
      <w:r>
        <w:fldChar w:fldCharType="end"/>
      </w:r>
      <w:r>
        <w:fldChar w:fldCharType="end"/>
      </w:r>
    </w:p>
    <w:p w14:paraId="6C0CA5D0">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_Toc30558 </w:instrText>
      </w:r>
      <w:r>
        <w:fldChar w:fldCharType="separate"/>
      </w:r>
      <w:r>
        <w:rPr>
          <w:rFonts w:hint="eastAsia" w:ascii="Times New Roman" w:hAnsi="Times New Roman"/>
          <w:lang w:val="en-US" w:eastAsia="zh-CN"/>
        </w:rPr>
        <w:t>第三节  推动科技成果转化应用</w:t>
      </w:r>
      <w:r>
        <w:tab/>
      </w:r>
      <w:r>
        <w:fldChar w:fldCharType="begin"/>
      </w:r>
      <w:r>
        <w:instrText xml:space="preserve"> PAGEREF _Toc30558 \h </w:instrText>
      </w:r>
      <w:r>
        <w:fldChar w:fldCharType="separate"/>
      </w:r>
      <w:r>
        <w:t>45</w:t>
      </w:r>
      <w:r>
        <w:fldChar w:fldCharType="end"/>
      </w:r>
      <w:r>
        <w:fldChar w:fldCharType="end"/>
      </w:r>
    </w:p>
    <w:p w14:paraId="11C9D7F4">
      <w:pPr>
        <w:pStyle w:val="9"/>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0" w:firstLineChars="0"/>
        <w:textAlignment w:val="auto"/>
      </w:pPr>
      <w:r>
        <w:fldChar w:fldCharType="begin"/>
      </w:r>
      <w:r>
        <w:instrText xml:space="preserve"> HYPERLINK \l _Toc29401 </w:instrText>
      </w:r>
      <w:r>
        <w:fldChar w:fldCharType="separate"/>
      </w:r>
      <w:r>
        <w:rPr>
          <w:rFonts w:hint="eastAsia" w:ascii="Times New Roman" w:hAnsi="Times New Roman"/>
          <w:b/>
          <w:bCs/>
        </w:rPr>
        <w:t>第八章 强化</w:t>
      </w:r>
      <w:r>
        <w:rPr>
          <w:rFonts w:hint="eastAsia" w:ascii="Times New Roman" w:hAnsi="Times New Roman"/>
          <w:b/>
          <w:bCs/>
          <w:lang w:val="en-US" w:eastAsia="zh-CN"/>
        </w:rPr>
        <w:t>产业</w:t>
      </w:r>
      <w:r>
        <w:rPr>
          <w:rFonts w:hint="eastAsia" w:ascii="Times New Roman" w:hAnsi="Times New Roman"/>
          <w:b/>
          <w:bCs/>
        </w:rPr>
        <w:t>协同开放，拓展开放发展新空间</w:t>
      </w:r>
      <w:r>
        <w:tab/>
      </w:r>
      <w:r>
        <w:fldChar w:fldCharType="begin"/>
      </w:r>
      <w:r>
        <w:instrText xml:space="preserve"> PAGEREF _Toc29401 \h </w:instrText>
      </w:r>
      <w:r>
        <w:fldChar w:fldCharType="separate"/>
      </w:r>
      <w:r>
        <w:t>46</w:t>
      </w:r>
      <w:r>
        <w:fldChar w:fldCharType="end"/>
      </w:r>
      <w:r>
        <w:fldChar w:fldCharType="end"/>
      </w:r>
    </w:p>
    <w:p w14:paraId="69F5BAC2">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_Toc20243 </w:instrText>
      </w:r>
      <w:r>
        <w:fldChar w:fldCharType="separate"/>
      </w:r>
      <w:r>
        <w:rPr>
          <w:rFonts w:hint="eastAsia" w:ascii="Times New Roman" w:hAnsi="Times New Roman"/>
          <w:lang w:val="en-US" w:eastAsia="zh-CN"/>
        </w:rPr>
        <w:t>第一节  加强省内合作</w:t>
      </w:r>
      <w:r>
        <w:tab/>
      </w:r>
      <w:r>
        <w:fldChar w:fldCharType="begin"/>
      </w:r>
      <w:r>
        <w:instrText xml:space="preserve"> PAGEREF _Toc20243 \h </w:instrText>
      </w:r>
      <w:r>
        <w:fldChar w:fldCharType="separate"/>
      </w:r>
      <w:r>
        <w:t>46</w:t>
      </w:r>
      <w:r>
        <w:fldChar w:fldCharType="end"/>
      </w:r>
      <w:r>
        <w:fldChar w:fldCharType="end"/>
      </w:r>
    </w:p>
    <w:p w14:paraId="5B760C34">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_Toc10962 </w:instrText>
      </w:r>
      <w:r>
        <w:fldChar w:fldCharType="separate"/>
      </w:r>
      <w:r>
        <w:rPr>
          <w:rFonts w:hint="eastAsia" w:ascii="Times New Roman" w:hAnsi="Times New Roman"/>
          <w:lang w:val="en-US" w:eastAsia="zh-CN"/>
        </w:rPr>
        <w:t>第二节  加强国内合作</w:t>
      </w:r>
      <w:r>
        <w:tab/>
      </w:r>
      <w:r>
        <w:fldChar w:fldCharType="begin"/>
      </w:r>
      <w:r>
        <w:instrText xml:space="preserve"> PAGEREF _Toc10962 \h </w:instrText>
      </w:r>
      <w:r>
        <w:fldChar w:fldCharType="separate"/>
      </w:r>
      <w:r>
        <w:t>48</w:t>
      </w:r>
      <w:r>
        <w:fldChar w:fldCharType="end"/>
      </w:r>
      <w:r>
        <w:fldChar w:fldCharType="end"/>
      </w:r>
    </w:p>
    <w:p w14:paraId="6C9A3A25">
      <w:pPr>
        <w:pStyle w:val="16"/>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0" w:firstLineChars="0"/>
        <w:textAlignment w:val="auto"/>
      </w:pPr>
      <w:r>
        <w:fldChar w:fldCharType="begin"/>
      </w:r>
      <w:r>
        <w:instrText xml:space="preserve"> HYPERLINK \l _Toc28933 </w:instrText>
      </w:r>
      <w:r>
        <w:fldChar w:fldCharType="separate"/>
      </w:r>
      <w:r>
        <w:rPr>
          <w:rFonts w:hint="eastAsia" w:ascii="Times New Roman" w:hAnsi="Times New Roman" w:eastAsia="方正黑体_GBK" w:cs="方正黑体_GBK"/>
          <w:kern w:val="2"/>
          <w:szCs w:val="36"/>
        </w:rPr>
        <w:t>城乡篇</w:t>
      </w:r>
      <w:r>
        <w:rPr>
          <w:rFonts w:hint="eastAsia" w:ascii="Times New Roman" w:hAnsi="Times New Roman" w:eastAsia="方正黑体_GBK" w:cs="方正黑体_GBK"/>
          <w:kern w:val="2"/>
          <w:szCs w:val="36"/>
          <w:lang w:eastAsia="zh-CN"/>
        </w:rPr>
        <w:t>：</w:t>
      </w:r>
      <w:r>
        <w:rPr>
          <w:rFonts w:hint="eastAsia" w:ascii="Times New Roman" w:hAnsi="Times New Roman" w:eastAsia="方正黑体_GBK" w:cs="方正黑体_GBK"/>
          <w:kern w:val="2"/>
          <w:szCs w:val="36"/>
        </w:rPr>
        <w:t>共融共享，全力绘就城乡共富共兴新画卷</w:t>
      </w:r>
      <w:r>
        <w:tab/>
      </w:r>
      <w:r>
        <w:fldChar w:fldCharType="begin"/>
      </w:r>
      <w:r>
        <w:instrText xml:space="preserve"> PAGEREF _Toc28933 \h </w:instrText>
      </w:r>
      <w:r>
        <w:fldChar w:fldCharType="separate"/>
      </w:r>
      <w:r>
        <w:t>50</w:t>
      </w:r>
      <w:r>
        <w:fldChar w:fldCharType="end"/>
      </w:r>
      <w:r>
        <w:fldChar w:fldCharType="end"/>
      </w:r>
    </w:p>
    <w:p w14:paraId="497C7B42">
      <w:pPr>
        <w:pStyle w:val="9"/>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0" w:firstLineChars="0"/>
        <w:textAlignment w:val="auto"/>
      </w:pPr>
      <w:r>
        <w:fldChar w:fldCharType="begin"/>
      </w:r>
      <w:r>
        <w:instrText xml:space="preserve"> HYPERLINK \l _Toc21006 </w:instrText>
      </w:r>
      <w:r>
        <w:fldChar w:fldCharType="separate"/>
      </w:r>
      <w:r>
        <w:rPr>
          <w:rFonts w:hint="eastAsia" w:ascii="Times New Roman" w:hAnsi="Times New Roman"/>
          <w:b/>
          <w:bCs/>
        </w:rPr>
        <w:t xml:space="preserve">第九章 </w:t>
      </w:r>
      <w:r>
        <w:rPr>
          <w:rFonts w:hint="eastAsia" w:ascii="Times New Roman" w:hAnsi="Times New Roman"/>
          <w:b/>
          <w:bCs/>
          <w:lang w:val="en-US" w:eastAsia="zh-CN"/>
        </w:rPr>
        <w:t>加快</w:t>
      </w:r>
      <w:r>
        <w:rPr>
          <w:rFonts w:hint="eastAsia" w:ascii="Times New Roman" w:hAnsi="Times New Roman"/>
          <w:b/>
          <w:bCs/>
        </w:rPr>
        <w:t>新型城镇化建设，构建城乡融合发展新典范</w:t>
      </w:r>
      <w:r>
        <w:tab/>
      </w:r>
      <w:r>
        <w:fldChar w:fldCharType="begin"/>
      </w:r>
      <w:r>
        <w:instrText xml:space="preserve"> PAGEREF _Toc21006 \h </w:instrText>
      </w:r>
      <w:r>
        <w:fldChar w:fldCharType="separate"/>
      </w:r>
      <w:r>
        <w:t>50</w:t>
      </w:r>
      <w:r>
        <w:fldChar w:fldCharType="end"/>
      </w:r>
      <w:r>
        <w:fldChar w:fldCharType="end"/>
      </w:r>
    </w:p>
    <w:p w14:paraId="47F86651">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_Toc5179 </w:instrText>
      </w:r>
      <w:r>
        <w:fldChar w:fldCharType="separate"/>
      </w:r>
      <w:r>
        <w:rPr>
          <w:rFonts w:hint="eastAsia" w:ascii="Times New Roman" w:hAnsi="Times New Roman"/>
          <w:lang w:val="en-US" w:eastAsia="zh-CN"/>
        </w:rPr>
        <w:t>第一节  推进农业转移人口市民化</w:t>
      </w:r>
      <w:r>
        <w:tab/>
      </w:r>
      <w:r>
        <w:fldChar w:fldCharType="begin"/>
      </w:r>
      <w:r>
        <w:instrText xml:space="preserve"> PAGEREF _Toc5179 \h </w:instrText>
      </w:r>
      <w:r>
        <w:fldChar w:fldCharType="separate"/>
      </w:r>
      <w:r>
        <w:t>50</w:t>
      </w:r>
      <w:r>
        <w:fldChar w:fldCharType="end"/>
      </w:r>
      <w:r>
        <w:fldChar w:fldCharType="end"/>
      </w:r>
    </w:p>
    <w:p w14:paraId="213CD588">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_Toc23879 </w:instrText>
      </w:r>
      <w:r>
        <w:fldChar w:fldCharType="separate"/>
      </w:r>
      <w:r>
        <w:rPr>
          <w:rFonts w:hint="eastAsia" w:ascii="Times New Roman" w:hAnsi="Times New Roman"/>
          <w:lang w:val="en-US" w:eastAsia="zh-CN"/>
        </w:rPr>
        <w:t>第二节  推动城镇建设内涵式发展</w:t>
      </w:r>
      <w:r>
        <w:tab/>
      </w:r>
      <w:r>
        <w:fldChar w:fldCharType="begin"/>
      </w:r>
      <w:r>
        <w:instrText xml:space="preserve"> PAGEREF _Toc23879 \h </w:instrText>
      </w:r>
      <w:r>
        <w:fldChar w:fldCharType="separate"/>
      </w:r>
      <w:r>
        <w:t>51</w:t>
      </w:r>
      <w:r>
        <w:fldChar w:fldCharType="end"/>
      </w:r>
      <w:r>
        <w:fldChar w:fldCharType="end"/>
      </w:r>
    </w:p>
    <w:p w14:paraId="59C2AA6F">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_Toc21782 </w:instrText>
      </w:r>
      <w:r>
        <w:fldChar w:fldCharType="separate"/>
      </w:r>
      <w:r>
        <w:rPr>
          <w:rFonts w:hint="eastAsia" w:ascii="Times New Roman" w:hAnsi="Times New Roman"/>
          <w:lang w:val="en-US" w:eastAsia="zh-CN"/>
        </w:rPr>
        <w:t>第三节  促进城乡融合一体化发展</w:t>
      </w:r>
      <w:r>
        <w:tab/>
      </w:r>
      <w:r>
        <w:fldChar w:fldCharType="begin"/>
      </w:r>
      <w:r>
        <w:instrText xml:space="preserve"> PAGEREF _Toc21782 \h </w:instrText>
      </w:r>
      <w:r>
        <w:fldChar w:fldCharType="separate"/>
      </w:r>
      <w:r>
        <w:t>52</w:t>
      </w:r>
      <w:r>
        <w:fldChar w:fldCharType="end"/>
      </w:r>
      <w:r>
        <w:fldChar w:fldCharType="end"/>
      </w:r>
    </w:p>
    <w:p w14:paraId="389852A5">
      <w:pPr>
        <w:pStyle w:val="9"/>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0" w:firstLineChars="0"/>
        <w:textAlignment w:val="auto"/>
      </w:pPr>
      <w:r>
        <w:fldChar w:fldCharType="begin"/>
      </w:r>
      <w:r>
        <w:instrText xml:space="preserve"> HYPERLINK \l _Toc12228 </w:instrText>
      </w:r>
      <w:r>
        <w:fldChar w:fldCharType="separate"/>
      </w:r>
      <w:r>
        <w:rPr>
          <w:rFonts w:hint="eastAsia" w:ascii="Times New Roman" w:hAnsi="Times New Roman"/>
          <w:b/>
          <w:bCs/>
          <w:highlight w:val="none"/>
        </w:rPr>
        <w:t>第十章 高质量推进和美乡村建设</w:t>
      </w:r>
      <w:r>
        <w:rPr>
          <w:rFonts w:hint="eastAsia" w:ascii="Times New Roman" w:hAnsi="Times New Roman"/>
          <w:b/>
          <w:bCs/>
          <w:highlight w:val="none"/>
          <w:lang w:eastAsia="zh-CN"/>
        </w:rPr>
        <w:t>，</w:t>
      </w:r>
      <w:r>
        <w:rPr>
          <w:rFonts w:hint="eastAsia" w:ascii="Times New Roman" w:hAnsi="Times New Roman"/>
          <w:b/>
          <w:bCs/>
          <w:highlight w:val="none"/>
        </w:rPr>
        <w:t>提升农村现代</w:t>
      </w:r>
      <w:r>
        <w:rPr>
          <w:rFonts w:hint="eastAsia"/>
          <w:b/>
          <w:bCs/>
          <w:highlight w:val="none"/>
          <w:lang w:val="en-US" w:eastAsia="zh-CN"/>
        </w:rPr>
        <w:t>化</w:t>
      </w:r>
      <w:r>
        <w:rPr>
          <w:rFonts w:hint="eastAsia" w:ascii="Times New Roman" w:hAnsi="Times New Roman"/>
          <w:b/>
          <w:bCs/>
          <w:highlight w:val="none"/>
        </w:rPr>
        <w:t>水平</w:t>
      </w:r>
      <w:r>
        <w:tab/>
      </w:r>
      <w:r>
        <w:fldChar w:fldCharType="begin"/>
      </w:r>
      <w:r>
        <w:instrText xml:space="preserve"> PAGEREF _Toc12228 \h </w:instrText>
      </w:r>
      <w:r>
        <w:fldChar w:fldCharType="separate"/>
      </w:r>
      <w:r>
        <w:t>53</w:t>
      </w:r>
      <w:r>
        <w:fldChar w:fldCharType="end"/>
      </w:r>
      <w:r>
        <w:fldChar w:fldCharType="end"/>
      </w:r>
    </w:p>
    <w:p w14:paraId="5F350C0E">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_Toc26780 </w:instrText>
      </w:r>
      <w:r>
        <w:fldChar w:fldCharType="separate"/>
      </w:r>
      <w:r>
        <w:rPr>
          <w:rFonts w:hint="eastAsia" w:ascii="Times New Roman" w:hAnsi="Times New Roman"/>
          <w:lang w:val="en-US" w:eastAsia="zh-CN"/>
        </w:rPr>
        <w:t>第一节  持续提升乡村建设水平</w:t>
      </w:r>
      <w:r>
        <w:tab/>
      </w:r>
      <w:r>
        <w:fldChar w:fldCharType="begin"/>
      </w:r>
      <w:r>
        <w:instrText xml:space="preserve"> PAGEREF _Toc26780 \h </w:instrText>
      </w:r>
      <w:r>
        <w:fldChar w:fldCharType="separate"/>
      </w:r>
      <w:r>
        <w:t>53</w:t>
      </w:r>
      <w:r>
        <w:fldChar w:fldCharType="end"/>
      </w:r>
      <w:r>
        <w:fldChar w:fldCharType="end"/>
      </w:r>
    </w:p>
    <w:p w14:paraId="7658060E">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_Toc30173 </w:instrText>
      </w:r>
      <w:r>
        <w:fldChar w:fldCharType="separate"/>
      </w:r>
      <w:r>
        <w:rPr>
          <w:rFonts w:hint="eastAsia" w:ascii="Times New Roman" w:hAnsi="Times New Roman"/>
          <w:lang w:val="en-US" w:eastAsia="zh-CN"/>
        </w:rPr>
        <w:t>第二节 巩固拓展脱贫攻坚成果</w:t>
      </w:r>
      <w:r>
        <w:tab/>
      </w:r>
      <w:r>
        <w:fldChar w:fldCharType="begin"/>
      </w:r>
      <w:r>
        <w:instrText xml:space="preserve"> PAGEREF _Toc30173 \h </w:instrText>
      </w:r>
      <w:r>
        <w:fldChar w:fldCharType="separate"/>
      </w:r>
      <w:r>
        <w:t>54</w:t>
      </w:r>
      <w:r>
        <w:fldChar w:fldCharType="end"/>
      </w:r>
      <w:r>
        <w:fldChar w:fldCharType="end"/>
      </w:r>
    </w:p>
    <w:p w14:paraId="3A8298BD">
      <w:pPr>
        <w:pStyle w:val="9"/>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0" w:firstLineChars="0"/>
        <w:textAlignment w:val="auto"/>
      </w:pPr>
      <w:r>
        <w:fldChar w:fldCharType="begin"/>
      </w:r>
      <w:r>
        <w:instrText xml:space="preserve"> HYPERLINK \l _Toc12141 </w:instrText>
      </w:r>
      <w:r>
        <w:fldChar w:fldCharType="separate"/>
      </w:r>
      <w:r>
        <w:rPr>
          <w:rFonts w:hint="eastAsia" w:ascii="Times New Roman" w:hAnsi="Times New Roman"/>
          <w:b/>
          <w:bCs/>
        </w:rPr>
        <w:t>第十一章 突出民生福祉改善，提高社会共建共享水平</w:t>
      </w:r>
      <w:r>
        <w:tab/>
      </w:r>
      <w:r>
        <w:fldChar w:fldCharType="begin"/>
      </w:r>
      <w:r>
        <w:instrText xml:space="preserve"> PAGEREF _Toc12141 \h </w:instrText>
      </w:r>
      <w:r>
        <w:fldChar w:fldCharType="separate"/>
      </w:r>
      <w:r>
        <w:t>55</w:t>
      </w:r>
      <w:r>
        <w:fldChar w:fldCharType="end"/>
      </w:r>
      <w:r>
        <w:fldChar w:fldCharType="end"/>
      </w:r>
    </w:p>
    <w:p w14:paraId="3C2464A8">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_Toc1211 </w:instrText>
      </w:r>
      <w:r>
        <w:fldChar w:fldCharType="separate"/>
      </w:r>
      <w:r>
        <w:rPr>
          <w:rFonts w:hint="eastAsia" w:ascii="Times New Roman" w:hAnsi="Times New Roman"/>
          <w:lang w:val="en-US" w:eastAsia="zh-CN"/>
        </w:rPr>
        <w:t>第一节  健全社会保障体系</w:t>
      </w:r>
      <w:r>
        <w:tab/>
      </w:r>
      <w:r>
        <w:fldChar w:fldCharType="begin"/>
      </w:r>
      <w:r>
        <w:instrText xml:space="preserve"> PAGEREF _Toc1211 \h </w:instrText>
      </w:r>
      <w:r>
        <w:fldChar w:fldCharType="separate"/>
      </w:r>
      <w:r>
        <w:t>55</w:t>
      </w:r>
      <w:r>
        <w:fldChar w:fldCharType="end"/>
      </w:r>
      <w:r>
        <w:fldChar w:fldCharType="end"/>
      </w:r>
    </w:p>
    <w:p w14:paraId="11A758AA">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_Toc19719 </w:instrText>
      </w:r>
      <w:r>
        <w:fldChar w:fldCharType="separate"/>
      </w:r>
      <w:r>
        <w:rPr>
          <w:rFonts w:hint="eastAsia" w:ascii="Times New Roman" w:hAnsi="Times New Roman"/>
          <w:lang w:val="en-US" w:eastAsia="zh-CN"/>
        </w:rPr>
        <w:t>第二节  大力发展社会事业</w:t>
      </w:r>
      <w:r>
        <w:tab/>
      </w:r>
      <w:r>
        <w:fldChar w:fldCharType="begin"/>
      </w:r>
      <w:r>
        <w:instrText xml:space="preserve"> PAGEREF _Toc19719 \h </w:instrText>
      </w:r>
      <w:r>
        <w:fldChar w:fldCharType="separate"/>
      </w:r>
      <w:r>
        <w:t>56</w:t>
      </w:r>
      <w:r>
        <w:fldChar w:fldCharType="end"/>
      </w:r>
      <w:r>
        <w:fldChar w:fldCharType="end"/>
      </w:r>
    </w:p>
    <w:p w14:paraId="795DEFF8">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_Toc28910 </w:instrText>
      </w:r>
      <w:r>
        <w:fldChar w:fldCharType="separate"/>
      </w:r>
      <w:r>
        <w:rPr>
          <w:rFonts w:hint="eastAsia" w:ascii="Times New Roman" w:hAnsi="Times New Roman"/>
          <w:lang w:val="en-US" w:eastAsia="zh-CN"/>
        </w:rPr>
        <w:t>第三节  繁荣发展文体事业</w:t>
      </w:r>
      <w:r>
        <w:tab/>
      </w:r>
      <w:r>
        <w:fldChar w:fldCharType="begin"/>
      </w:r>
      <w:r>
        <w:instrText xml:space="preserve"> PAGEREF _Toc28910 \h </w:instrText>
      </w:r>
      <w:r>
        <w:fldChar w:fldCharType="separate"/>
      </w:r>
      <w:r>
        <w:t>60</w:t>
      </w:r>
      <w:r>
        <w:fldChar w:fldCharType="end"/>
      </w:r>
      <w:r>
        <w:fldChar w:fldCharType="end"/>
      </w:r>
    </w:p>
    <w:p w14:paraId="1469910D">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_Toc20102 </w:instrText>
      </w:r>
      <w:r>
        <w:fldChar w:fldCharType="separate"/>
      </w:r>
      <w:r>
        <w:rPr>
          <w:rFonts w:hint="eastAsia" w:ascii="Times New Roman" w:hAnsi="Times New Roman"/>
          <w:lang w:val="en-US" w:eastAsia="zh-CN"/>
        </w:rPr>
        <w:t>第四节  完善基础设施建设</w:t>
      </w:r>
      <w:r>
        <w:tab/>
      </w:r>
      <w:r>
        <w:fldChar w:fldCharType="begin"/>
      </w:r>
      <w:r>
        <w:instrText xml:space="preserve"> PAGEREF _Toc20102 \h </w:instrText>
      </w:r>
      <w:r>
        <w:fldChar w:fldCharType="separate"/>
      </w:r>
      <w:r>
        <w:t>64</w:t>
      </w:r>
      <w:r>
        <w:fldChar w:fldCharType="end"/>
      </w:r>
      <w:r>
        <w:fldChar w:fldCharType="end"/>
      </w:r>
    </w:p>
    <w:p w14:paraId="53634A3F">
      <w:pPr>
        <w:pStyle w:val="9"/>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0" w:firstLineChars="0"/>
        <w:textAlignment w:val="auto"/>
      </w:pPr>
      <w:r>
        <w:fldChar w:fldCharType="begin"/>
      </w:r>
      <w:r>
        <w:instrText xml:space="preserve"> HYPERLINK \l _Toc23243 </w:instrText>
      </w:r>
      <w:r>
        <w:fldChar w:fldCharType="separate"/>
      </w:r>
      <w:r>
        <w:rPr>
          <w:rFonts w:hint="eastAsia" w:ascii="Times New Roman" w:hAnsi="Times New Roman"/>
          <w:b/>
          <w:bCs/>
        </w:rPr>
        <w:t>第十二章 创新社会治理模式</w:t>
      </w:r>
      <w:r>
        <w:rPr>
          <w:rFonts w:hint="eastAsia" w:ascii="Times New Roman" w:hAnsi="Times New Roman"/>
          <w:b/>
          <w:bCs/>
          <w:lang w:eastAsia="zh-CN"/>
        </w:rPr>
        <w:t>，</w:t>
      </w:r>
      <w:r>
        <w:rPr>
          <w:rFonts w:hint="eastAsia" w:ascii="Times New Roman" w:hAnsi="Times New Roman"/>
          <w:b/>
          <w:bCs/>
        </w:rPr>
        <w:t>筑牢安全发展屏障</w:t>
      </w:r>
      <w:r>
        <w:tab/>
      </w:r>
      <w:r>
        <w:fldChar w:fldCharType="begin"/>
      </w:r>
      <w:r>
        <w:instrText xml:space="preserve"> PAGEREF _Toc23243 \h </w:instrText>
      </w:r>
      <w:r>
        <w:fldChar w:fldCharType="separate"/>
      </w:r>
      <w:r>
        <w:t>68</w:t>
      </w:r>
      <w:r>
        <w:fldChar w:fldCharType="end"/>
      </w:r>
      <w:r>
        <w:fldChar w:fldCharType="end"/>
      </w:r>
    </w:p>
    <w:p w14:paraId="369F330D">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_Toc1025 </w:instrText>
      </w:r>
      <w:r>
        <w:fldChar w:fldCharType="separate"/>
      </w:r>
      <w:r>
        <w:rPr>
          <w:rFonts w:hint="eastAsia" w:ascii="Times New Roman" w:hAnsi="Times New Roman"/>
          <w:lang w:val="en-US" w:eastAsia="zh-CN"/>
        </w:rPr>
        <w:t>第一节  完善社会治理体系</w:t>
      </w:r>
      <w:r>
        <w:tab/>
      </w:r>
      <w:r>
        <w:fldChar w:fldCharType="begin"/>
      </w:r>
      <w:r>
        <w:instrText xml:space="preserve"> PAGEREF _Toc1025 \h </w:instrText>
      </w:r>
      <w:r>
        <w:fldChar w:fldCharType="separate"/>
      </w:r>
      <w:r>
        <w:t>68</w:t>
      </w:r>
      <w:r>
        <w:fldChar w:fldCharType="end"/>
      </w:r>
      <w:r>
        <w:fldChar w:fldCharType="end"/>
      </w:r>
    </w:p>
    <w:p w14:paraId="3751EFDA">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_Toc9913 </w:instrText>
      </w:r>
      <w:r>
        <w:fldChar w:fldCharType="separate"/>
      </w:r>
      <w:r>
        <w:rPr>
          <w:rFonts w:hint="eastAsia" w:ascii="Times New Roman" w:hAnsi="Times New Roman"/>
          <w:lang w:val="en-US" w:eastAsia="zh-CN"/>
        </w:rPr>
        <w:t>第二节  维护社会稳定安全</w:t>
      </w:r>
      <w:r>
        <w:tab/>
      </w:r>
      <w:r>
        <w:fldChar w:fldCharType="begin"/>
      </w:r>
      <w:r>
        <w:instrText xml:space="preserve"> PAGEREF _Toc9913 \h </w:instrText>
      </w:r>
      <w:r>
        <w:fldChar w:fldCharType="separate"/>
      </w:r>
      <w:r>
        <w:t>69</w:t>
      </w:r>
      <w:r>
        <w:fldChar w:fldCharType="end"/>
      </w:r>
      <w:r>
        <w:fldChar w:fldCharType="end"/>
      </w:r>
    </w:p>
    <w:p w14:paraId="70C14CEF">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_Toc2612 </w:instrText>
      </w:r>
      <w:r>
        <w:fldChar w:fldCharType="separate"/>
      </w:r>
      <w:r>
        <w:rPr>
          <w:rFonts w:hint="eastAsia" w:ascii="Times New Roman" w:hAnsi="Times New Roman"/>
          <w:lang w:val="en-US" w:eastAsia="zh-CN"/>
        </w:rPr>
        <w:t>第三节  加强法治社会建设</w:t>
      </w:r>
      <w:r>
        <w:tab/>
      </w:r>
      <w:r>
        <w:fldChar w:fldCharType="begin"/>
      </w:r>
      <w:r>
        <w:instrText xml:space="preserve"> PAGEREF _Toc2612 \h </w:instrText>
      </w:r>
      <w:r>
        <w:fldChar w:fldCharType="separate"/>
      </w:r>
      <w:r>
        <w:t>70</w:t>
      </w:r>
      <w:r>
        <w:fldChar w:fldCharType="end"/>
      </w:r>
      <w:r>
        <w:fldChar w:fldCharType="end"/>
      </w:r>
    </w:p>
    <w:p w14:paraId="7CF25618">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_Toc18636 </w:instrText>
      </w:r>
      <w:r>
        <w:fldChar w:fldCharType="separate"/>
      </w:r>
      <w:r>
        <w:rPr>
          <w:rFonts w:hint="eastAsia" w:ascii="Times New Roman" w:hAnsi="Times New Roman"/>
          <w:highlight w:val="none"/>
          <w:lang w:val="en-US" w:eastAsia="zh-CN"/>
        </w:rPr>
        <w:t>第四节  提升应急管理能力</w:t>
      </w:r>
      <w:r>
        <w:tab/>
      </w:r>
      <w:r>
        <w:fldChar w:fldCharType="begin"/>
      </w:r>
      <w:r>
        <w:instrText xml:space="preserve"> PAGEREF _Toc18636 \h </w:instrText>
      </w:r>
      <w:r>
        <w:fldChar w:fldCharType="separate"/>
      </w:r>
      <w:r>
        <w:t>71</w:t>
      </w:r>
      <w:r>
        <w:fldChar w:fldCharType="end"/>
      </w:r>
      <w:r>
        <w:fldChar w:fldCharType="end"/>
      </w:r>
    </w:p>
    <w:p w14:paraId="14AE85C0">
      <w:pPr>
        <w:pStyle w:val="9"/>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0" w:firstLineChars="0"/>
        <w:textAlignment w:val="auto"/>
      </w:pPr>
      <w:r>
        <w:fldChar w:fldCharType="begin"/>
      </w:r>
      <w:r>
        <w:instrText xml:space="preserve"> HYPERLINK \l _Toc11801 </w:instrText>
      </w:r>
      <w:r>
        <w:fldChar w:fldCharType="separate"/>
      </w:r>
      <w:r>
        <w:rPr>
          <w:rFonts w:hint="eastAsia" w:ascii="Times New Roman" w:hAnsi="Times New Roman"/>
          <w:b/>
          <w:bCs/>
          <w:lang w:val="en-US" w:eastAsia="zh-CN"/>
        </w:rPr>
        <w:t>第十三章 厚植绿色生态底色，提升生态治理效能</w:t>
      </w:r>
      <w:r>
        <w:tab/>
      </w:r>
      <w:r>
        <w:fldChar w:fldCharType="begin"/>
      </w:r>
      <w:r>
        <w:instrText xml:space="preserve"> PAGEREF _Toc11801 \h </w:instrText>
      </w:r>
      <w:r>
        <w:fldChar w:fldCharType="separate"/>
      </w:r>
      <w:r>
        <w:t>72</w:t>
      </w:r>
      <w:r>
        <w:fldChar w:fldCharType="end"/>
      </w:r>
      <w:r>
        <w:fldChar w:fldCharType="end"/>
      </w:r>
    </w:p>
    <w:p w14:paraId="26C8884B">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_Toc18021 </w:instrText>
      </w:r>
      <w:r>
        <w:fldChar w:fldCharType="separate"/>
      </w:r>
      <w:r>
        <w:rPr>
          <w:rFonts w:hint="eastAsia" w:ascii="Times New Roman" w:hAnsi="Times New Roman"/>
          <w:highlight w:val="none"/>
          <w:lang w:val="en-US" w:eastAsia="zh-CN"/>
        </w:rPr>
        <w:t>第一节  打好污染防治攻坚战</w:t>
      </w:r>
      <w:r>
        <w:tab/>
      </w:r>
      <w:r>
        <w:fldChar w:fldCharType="begin"/>
      </w:r>
      <w:r>
        <w:instrText xml:space="preserve"> PAGEREF _Toc18021 \h </w:instrText>
      </w:r>
      <w:r>
        <w:fldChar w:fldCharType="separate"/>
      </w:r>
      <w:r>
        <w:t>72</w:t>
      </w:r>
      <w:r>
        <w:fldChar w:fldCharType="end"/>
      </w:r>
      <w:r>
        <w:fldChar w:fldCharType="end"/>
      </w:r>
    </w:p>
    <w:p w14:paraId="02A2C6BC">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_Toc25238 </w:instrText>
      </w:r>
      <w:r>
        <w:fldChar w:fldCharType="separate"/>
      </w:r>
      <w:r>
        <w:rPr>
          <w:rFonts w:hint="eastAsia" w:ascii="Times New Roman" w:hAnsi="Times New Roman"/>
          <w:highlight w:val="none"/>
          <w:lang w:val="en-US" w:eastAsia="zh-CN"/>
        </w:rPr>
        <w:t>第二节  大力开展国土绿化</w:t>
      </w:r>
      <w:r>
        <w:tab/>
      </w:r>
      <w:r>
        <w:fldChar w:fldCharType="begin"/>
      </w:r>
      <w:r>
        <w:instrText xml:space="preserve"> PAGEREF _Toc25238 \h </w:instrText>
      </w:r>
      <w:r>
        <w:fldChar w:fldCharType="separate"/>
      </w:r>
      <w:r>
        <w:t>74</w:t>
      </w:r>
      <w:r>
        <w:fldChar w:fldCharType="end"/>
      </w:r>
      <w:r>
        <w:fldChar w:fldCharType="end"/>
      </w:r>
    </w:p>
    <w:p w14:paraId="3A712619">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_Toc26036 </w:instrText>
      </w:r>
      <w:r>
        <w:fldChar w:fldCharType="separate"/>
      </w:r>
      <w:r>
        <w:rPr>
          <w:rFonts w:hint="eastAsia" w:ascii="Times New Roman" w:hAnsi="Times New Roman"/>
          <w:highlight w:val="none"/>
          <w:lang w:val="en-US" w:eastAsia="zh-CN"/>
        </w:rPr>
        <w:t>第三节  促进生态价值转化</w:t>
      </w:r>
      <w:r>
        <w:tab/>
      </w:r>
      <w:r>
        <w:fldChar w:fldCharType="begin"/>
      </w:r>
      <w:r>
        <w:instrText xml:space="preserve"> PAGEREF _Toc26036 \h </w:instrText>
      </w:r>
      <w:r>
        <w:fldChar w:fldCharType="separate"/>
      </w:r>
      <w:r>
        <w:t>76</w:t>
      </w:r>
      <w:r>
        <w:fldChar w:fldCharType="end"/>
      </w:r>
      <w:r>
        <w:fldChar w:fldCharType="end"/>
      </w:r>
    </w:p>
    <w:p w14:paraId="21FDF812">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_Toc121 </w:instrText>
      </w:r>
      <w:r>
        <w:fldChar w:fldCharType="separate"/>
      </w:r>
      <w:r>
        <w:rPr>
          <w:rFonts w:hint="eastAsia" w:ascii="Times New Roman" w:hAnsi="Times New Roman"/>
          <w:highlight w:val="none"/>
          <w:lang w:val="en-US" w:eastAsia="zh-CN"/>
        </w:rPr>
        <w:t>第四节  提升环境监管能力</w:t>
      </w:r>
      <w:r>
        <w:tab/>
      </w:r>
      <w:r>
        <w:fldChar w:fldCharType="begin"/>
      </w:r>
      <w:r>
        <w:instrText xml:space="preserve"> PAGEREF _Toc121 \h </w:instrText>
      </w:r>
      <w:r>
        <w:fldChar w:fldCharType="separate"/>
      </w:r>
      <w:r>
        <w:t>77</w:t>
      </w:r>
      <w:r>
        <w:fldChar w:fldCharType="end"/>
      </w:r>
      <w:r>
        <w:fldChar w:fldCharType="end"/>
      </w:r>
    </w:p>
    <w:p w14:paraId="7B831EDB">
      <w:pPr>
        <w:pStyle w:val="9"/>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0" w:firstLineChars="0"/>
        <w:textAlignment w:val="auto"/>
      </w:pPr>
      <w:r>
        <w:fldChar w:fldCharType="begin"/>
      </w:r>
      <w:r>
        <w:instrText xml:space="preserve"> HYPERLINK \l _Toc579 </w:instrText>
      </w:r>
      <w:r>
        <w:fldChar w:fldCharType="separate"/>
      </w:r>
      <w:r>
        <w:rPr>
          <w:rFonts w:hint="eastAsia" w:ascii="Times New Roman" w:hAnsi="Times New Roman" w:eastAsia="方正黑体_GBK" w:cs="方正黑体_GBK"/>
          <w:kern w:val="2"/>
          <w:sz w:val="32"/>
          <w:szCs w:val="36"/>
          <w:lang w:val="en-US" w:eastAsia="zh-CN" w:bidi="ar-SA"/>
          <w14:ligatures w14:val="standardContextual"/>
        </w:rPr>
        <w:t>保障篇：统筹协调，牢筑落地实施保障</w:t>
      </w:r>
      <w:r>
        <w:tab/>
      </w:r>
      <w:r>
        <w:fldChar w:fldCharType="begin"/>
      </w:r>
      <w:r>
        <w:instrText xml:space="preserve"> PAGEREF _Toc579 \h </w:instrText>
      </w:r>
      <w:r>
        <w:fldChar w:fldCharType="separate"/>
      </w:r>
      <w:r>
        <w:t>79</w:t>
      </w:r>
      <w:r>
        <w:fldChar w:fldCharType="end"/>
      </w:r>
      <w:r>
        <w:fldChar w:fldCharType="end"/>
      </w:r>
    </w:p>
    <w:p w14:paraId="62392A16">
      <w:pPr>
        <w:pStyle w:val="9"/>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0" w:firstLineChars="0"/>
        <w:textAlignment w:val="auto"/>
      </w:pPr>
      <w:r>
        <w:fldChar w:fldCharType="begin"/>
      </w:r>
      <w:r>
        <w:instrText xml:space="preserve"> HYPERLINK \l _Toc2887 </w:instrText>
      </w:r>
      <w:r>
        <w:fldChar w:fldCharType="separate"/>
      </w:r>
      <w:r>
        <w:rPr>
          <w:rFonts w:hint="eastAsia" w:ascii="Times New Roman" w:hAnsi="Times New Roman"/>
          <w:b/>
          <w:bCs/>
          <w:lang w:val="en-US" w:eastAsia="zh-CN"/>
        </w:rPr>
        <w:t>第十四章</w:t>
      </w:r>
      <w:r>
        <w:rPr>
          <w:rFonts w:hint="eastAsia"/>
          <w:b/>
          <w:bCs/>
          <w:lang w:val="en-US" w:eastAsia="zh-CN"/>
        </w:rPr>
        <w:t xml:space="preserve"> </w:t>
      </w:r>
      <w:r>
        <w:rPr>
          <w:rFonts w:hint="eastAsia" w:ascii="Times New Roman" w:hAnsi="Times New Roman"/>
          <w:b/>
          <w:bCs/>
          <w:lang w:val="en-US" w:eastAsia="zh-CN"/>
        </w:rPr>
        <w:t>优化营商环境 激发市场</w:t>
      </w:r>
      <w:r>
        <w:rPr>
          <w:rFonts w:hint="eastAsia"/>
          <w:b/>
          <w:bCs/>
          <w:lang w:val="en-US" w:eastAsia="zh-CN"/>
        </w:rPr>
        <w:t>主体</w:t>
      </w:r>
      <w:r>
        <w:rPr>
          <w:rFonts w:hint="eastAsia" w:ascii="Times New Roman" w:hAnsi="Times New Roman"/>
          <w:b/>
          <w:bCs/>
          <w:lang w:val="en-US" w:eastAsia="zh-CN"/>
        </w:rPr>
        <w:t>活力</w:t>
      </w:r>
      <w:r>
        <w:tab/>
      </w:r>
      <w:r>
        <w:fldChar w:fldCharType="begin"/>
      </w:r>
      <w:r>
        <w:instrText xml:space="preserve"> PAGEREF _Toc2887 \h </w:instrText>
      </w:r>
      <w:r>
        <w:fldChar w:fldCharType="separate"/>
      </w:r>
      <w:r>
        <w:t>79</w:t>
      </w:r>
      <w:r>
        <w:fldChar w:fldCharType="end"/>
      </w:r>
      <w:r>
        <w:fldChar w:fldCharType="end"/>
      </w:r>
    </w:p>
    <w:p w14:paraId="1F374541">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_Toc30463 </w:instrText>
      </w:r>
      <w:r>
        <w:fldChar w:fldCharType="separate"/>
      </w:r>
      <w:r>
        <w:rPr>
          <w:rFonts w:hint="eastAsia" w:ascii="Times New Roman" w:hAnsi="Times New Roman"/>
          <w:highlight w:val="none"/>
          <w:lang w:val="en-US" w:eastAsia="zh-CN"/>
        </w:rPr>
        <w:t>第一节  优化民营经济发展环境</w:t>
      </w:r>
      <w:r>
        <w:tab/>
      </w:r>
      <w:r>
        <w:fldChar w:fldCharType="begin"/>
      </w:r>
      <w:r>
        <w:instrText xml:space="preserve"> PAGEREF _Toc30463 \h </w:instrText>
      </w:r>
      <w:r>
        <w:fldChar w:fldCharType="separate"/>
      </w:r>
      <w:r>
        <w:t>79</w:t>
      </w:r>
      <w:r>
        <w:fldChar w:fldCharType="end"/>
      </w:r>
      <w:r>
        <w:fldChar w:fldCharType="end"/>
      </w:r>
    </w:p>
    <w:p w14:paraId="075DBED1">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_Toc18874 </w:instrText>
      </w:r>
      <w:r>
        <w:fldChar w:fldCharType="separate"/>
      </w:r>
      <w:r>
        <w:rPr>
          <w:rFonts w:hint="eastAsia" w:ascii="Times New Roman" w:hAnsi="Times New Roman"/>
          <w:highlight w:val="none"/>
          <w:lang w:val="en-US" w:eastAsia="zh-CN"/>
        </w:rPr>
        <w:t>第二节  推动要素市场配置改革</w:t>
      </w:r>
      <w:r>
        <w:tab/>
      </w:r>
      <w:r>
        <w:fldChar w:fldCharType="begin"/>
      </w:r>
      <w:r>
        <w:instrText xml:space="preserve"> PAGEREF _Toc18874 \h </w:instrText>
      </w:r>
      <w:r>
        <w:fldChar w:fldCharType="separate"/>
      </w:r>
      <w:r>
        <w:t>80</w:t>
      </w:r>
      <w:r>
        <w:fldChar w:fldCharType="end"/>
      </w:r>
      <w:r>
        <w:fldChar w:fldCharType="end"/>
      </w:r>
    </w:p>
    <w:p w14:paraId="1BC19B54">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_Toc20820 </w:instrText>
      </w:r>
      <w:r>
        <w:fldChar w:fldCharType="separate"/>
      </w:r>
      <w:r>
        <w:rPr>
          <w:rFonts w:hint="eastAsia" w:ascii="Times New Roman" w:hAnsi="Times New Roman"/>
          <w:highlight w:val="none"/>
          <w:lang w:val="en-US" w:eastAsia="zh-CN"/>
        </w:rPr>
        <w:t>第三节  深化财政金融体制改革</w:t>
      </w:r>
      <w:r>
        <w:tab/>
      </w:r>
      <w:r>
        <w:fldChar w:fldCharType="begin"/>
      </w:r>
      <w:r>
        <w:instrText xml:space="preserve"> PAGEREF _Toc20820 \h </w:instrText>
      </w:r>
      <w:r>
        <w:fldChar w:fldCharType="separate"/>
      </w:r>
      <w:r>
        <w:t>81</w:t>
      </w:r>
      <w:r>
        <w:fldChar w:fldCharType="end"/>
      </w:r>
      <w:r>
        <w:fldChar w:fldCharType="end"/>
      </w:r>
    </w:p>
    <w:p w14:paraId="3738E130">
      <w:pPr>
        <w:pStyle w:val="9"/>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0" w:firstLineChars="0"/>
        <w:textAlignment w:val="auto"/>
      </w:pPr>
      <w:r>
        <w:fldChar w:fldCharType="begin"/>
      </w:r>
      <w:r>
        <w:instrText xml:space="preserve"> HYPERLINK \l _Toc14038 </w:instrText>
      </w:r>
      <w:r>
        <w:fldChar w:fldCharType="separate"/>
      </w:r>
      <w:r>
        <w:rPr>
          <w:rFonts w:hint="eastAsia"/>
          <w:b/>
          <w:bCs/>
          <w:lang w:val="en-US" w:eastAsia="zh-CN"/>
        </w:rPr>
        <w:t xml:space="preserve">第十五章 </w:t>
      </w:r>
      <w:r>
        <w:rPr>
          <w:rFonts w:hint="eastAsia" w:ascii="Times New Roman" w:hAnsi="Times New Roman"/>
          <w:b/>
          <w:bCs/>
          <w:lang w:val="en-US" w:eastAsia="zh-CN"/>
        </w:rPr>
        <w:t>锚定规划实施保障，确保目标任务落地见效</w:t>
      </w:r>
      <w:r>
        <w:tab/>
      </w:r>
      <w:r>
        <w:fldChar w:fldCharType="begin"/>
      </w:r>
      <w:r>
        <w:instrText xml:space="preserve"> PAGEREF _Toc14038 \h </w:instrText>
      </w:r>
      <w:r>
        <w:fldChar w:fldCharType="separate"/>
      </w:r>
      <w:r>
        <w:t>81</w:t>
      </w:r>
      <w:r>
        <w:fldChar w:fldCharType="end"/>
      </w:r>
      <w:r>
        <w:fldChar w:fldCharType="end"/>
      </w:r>
    </w:p>
    <w:p w14:paraId="7AEDDC6D">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_Toc24148 </w:instrText>
      </w:r>
      <w:r>
        <w:fldChar w:fldCharType="separate"/>
      </w:r>
      <w:r>
        <w:rPr>
          <w:rFonts w:hint="default" w:ascii="Times New Roman" w:hAnsi="Times New Roman"/>
          <w:highlight w:val="none"/>
          <w:lang w:val="en-US" w:eastAsia="zh-CN"/>
        </w:rPr>
        <w:t>第一节  坚持党的领导</w:t>
      </w:r>
      <w:r>
        <w:tab/>
      </w:r>
      <w:r>
        <w:fldChar w:fldCharType="begin"/>
      </w:r>
      <w:r>
        <w:instrText xml:space="preserve"> PAGEREF _Toc24148 \h </w:instrText>
      </w:r>
      <w:r>
        <w:fldChar w:fldCharType="separate"/>
      </w:r>
      <w:r>
        <w:t>81</w:t>
      </w:r>
      <w:r>
        <w:fldChar w:fldCharType="end"/>
      </w:r>
      <w:r>
        <w:fldChar w:fldCharType="end"/>
      </w:r>
    </w:p>
    <w:p w14:paraId="7B226CE1">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_Toc14589 </w:instrText>
      </w:r>
      <w:r>
        <w:fldChar w:fldCharType="separate"/>
      </w:r>
      <w:r>
        <w:rPr>
          <w:rFonts w:hint="default" w:ascii="Times New Roman" w:hAnsi="Times New Roman"/>
          <w:highlight w:val="none"/>
          <w:lang w:val="en-US" w:eastAsia="zh-CN"/>
        </w:rPr>
        <w:t>第二节  完善规划体系</w:t>
      </w:r>
      <w:r>
        <w:tab/>
      </w:r>
      <w:r>
        <w:fldChar w:fldCharType="begin"/>
      </w:r>
      <w:r>
        <w:instrText xml:space="preserve"> PAGEREF _Toc14589 \h </w:instrText>
      </w:r>
      <w:r>
        <w:fldChar w:fldCharType="separate"/>
      </w:r>
      <w:r>
        <w:t>82</w:t>
      </w:r>
      <w:r>
        <w:fldChar w:fldCharType="end"/>
      </w:r>
      <w:r>
        <w:fldChar w:fldCharType="end"/>
      </w:r>
    </w:p>
    <w:p w14:paraId="7E64CB0A">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_Toc27147 </w:instrText>
      </w:r>
      <w:r>
        <w:fldChar w:fldCharType="separate"/>
      </w:r>
      <w:r>
        <w:rPr>
          <w:rFonts w:hint="default" w:ascii="Times New Roman" w:hAnsi="Times New Roman"/>
          <w:highlight w:val="none"/>
          <w:lang w:val="en-US" w:eastAsia="zh-CN"/>
        </w:rPr>
        <w:t>第三节  强化政策支撑</w:t>
      </w:r>
      <w:r>
        <w:tab/>
      </w:r>
      <w:r>
        <w:fldChar w:fldCharType="begin"/>
      </w:r>
      <w:r>
        <w:instrText xml:space="preserve"> PAGEREF _Toc27147 \h </w:instrText>
      </w:r>
      <w:r>
        <w:fldChar w:fldCharType="separate"/>
      </w:r>
      <w:r>
        <w:t>82</w:t>
      </w:r>
      <w:r>
        <w:fldChar w:fldCharType="end"/>
      </w:r>
      <w:r>
        <w:fldChar w:fldCharType="end"/>
      </w:r>
    </w:p>
    <w:p w14:paraId="7AAF1C5A">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_Toc13942 </w:instrText>
      </w:r>
      <w:r>
        <w:fldChar w:fldCharType="separate"/>
      </w:r>
      <w:r>
        <w:rPr>
          <w:rFonts w:hint="default" w:ascii="Times New Roman" w:hAnsi="Times New Roman"/>
          <w:highlight w:val="none"/>
          <w:lang w:val="en-US" w:eastAsia="zh-CN"/>
        </w:rPr>
        <w:t>第四节  营造良好氛围</w:t>
      </w:r>
      <w:r>
        <w:tab/>
      </w:r>
      <w:r>
        <w:fldChar w:fldCharType="begin"/>
      </w:r>
      <w:r>
        <w:instrText xml:space="preserve"> PAGEREF _Toc13942 \h </w:instrText>
      </w:r>
      <w:r>
        <w:fldChar w:fldCharType="separate"/>
      </w:r>
      <w:r>
        <w:t>83</w:t>
      </w:r>
      <w:r>
        <w:fldChar w:fldCharType="end"/>
      </w:r>
      <w:r>
        <w:fldChar w:fldCharType="end"/>
      </w:r>
    </w:p>
    <w:p w14:paraId="35A09563">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640" w:firstLineChars="200"/>
        <w:textAlignment w:val="auto"/>
      </w:pPr>
      <w:r>
        <w:fldChar w:fldCharType="begin"/>
      </w:r>
      <w:r>
        <w:instrText xml:space="preserve"> HYPERLINK \l _Toc2661 </w:instrText>
      </w:r>
      <w:r>
        <w:fldChar w:fldCharType="separate"/>
      </w:r>
      <w:r>
        <w:rPr>
          <w:rFonts w:hint="default" w:ascii="Times New Roman" w:hAnsi="Times New Roman"/>
          <w:highlight w:val="none"/>
          <w:lang w:val="en-US" w:eastAsia="zh-CN"/>
        </w:rPr>
        <w:t>第五节  加强评估考核</w:t>
      </w:r>
      <w:r>
        <w:tab/>
      </w:r>
      <w:r>
        <w:fldChar w:fldCharType="begin"/>
      </w:r>
      <w:r>
        <w:instrText xml:space="preserve"> PAGEREF _Toc2661 \h </w:instrText>
      </w:r>
      <w:r>
        <w:fldChar w:fldCharType="separate"/>
      </w:r>
      <w:r>
        <w:t>83</w:t>
      </w:r>
      <w:r>
        <w:fldChar w:fldCharType="end"/>
      </w:r>
      <w:r>
        <w:fldChar w:fldCharType="end"/>
      </w:r>
    </w:p>
    <w:p w14:paraId="794B79FF">
      <w:pPr>
        <w:pStyle w:val="13"/>
        <w:keepNext w:val="0"/>
        <w:keepLines w:val="0"/>
        <w:pageBreakBefore w:val="0"/>
        <w:widowControl w:val="0"/>
        <w:tabs>
          <w:tab w:val="right" w:leader="dot" w:pos="8845"/>
        </w:tabs>
        <w:kinsoku/>
        <w:wordWrap/>
        <w:overflowPunct/>
        <w:topLinePunct w:val="0"/>
        <w:autoSpaceDE/>
        <w:autoSpaceDN/>
        <w:bidi w:val="0"/>
        <w:adjustRightInd w:val="0"/>
        <w:snapToGrid w:val="0"/>
        <w:spacing w:line="540" w:lineRule="exact"/>
        <w:ind w:left="0" w:leftChars="0" w:firstLine="1280" w:firstLineChars="400"/>
        <w:textAlignment w:val="auto"/>
        <w:rPr>
          <w:rFonts w:hint="eastAsia" w:ascii="Times New Roman" w:hAnsi="Times New Roman" w:eastAsia="方正仿宋_GBK" w:cs="宋体"/>
          <w:kern w:val="2"/>
          <w:sz w:val="32"/>
          <w:szCs w:val="22"/>
          <w:lang w:val="en-US" w:eastAsia="zh-CN" w:bidi="ar-SA"/>
          <w14:ligatures w14:val="standardContextual"/>
        </w:rPr>
      </w:pPr>
      <w:r>
        <w:fldChar w:fldCharType="end"/>
      </w:r>
    </w:p>
    <w:p w14:paraId="230862EC">
      <w:pPr>
        <w:pStyle w:val="6"/>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default" w:ascii="Times New Roman" w:hAnsi="Times New Roman"/>
          <w:lang w:val="en-US" w:eastAsia="zh-CN"/>
        </w:rPr>
      </w:pPr>
    </w:p>
    <w:p w14:paraId="5949482D">
      <w:pPr>
        <w:pStyle w:val="6"/>
        <w:ind w:left="0" w:leftChars="0" w:firstLine="0" w:firstLineChars="0"/>
        <w:rPr>
          <w:rFonts w:hint="default" w:ascii="Times New Roman" w:hAnsi="Times New Roman"/>
          <w:lang w:val="en-US" w:eastAsia="zh-CN"/>
        </w:rPr>
        <w:sectPr>
          <w:footerReference r:id="rId5" w:type="default"/>
          <w:footnotePr>
            <w:numFmt w:val="decimal"/>
          </w:footnotePr>
          <w:pgSz w:w="11906" w:h="16838"/>
          <w:pgMar w:top="2098" w:right="1474" w:bottom="1984" w:left="1587" w:header="851" w:footer="992" w:gutter="0"/>
          <w:pgNumType w:fmt="upperRoman" w:start="1"/>
          <w:cols w:space="425" w:num="1"/>
          <w:docGrid w:type="lines" w:linePitch="312" w:charSpace="0"/>
        </w:sectPr>
      </w:pPr>
    </w:p>
    <w:p w14:paraId="57BD6B0F">
      <w:pPr>
        <w:pStyle w:val="4"/>
        <w:widowControl/>
        <w:ind w:left="0" w:leftChars="0" w:firstLine="0" w:firstLineChars="0"/>
        <w:jc w:val="center"/>
        <w:rPr>
          <w:rFonts w:hint="eastAsia" w:ascii="Times New Roman" w:hAnsi="Times New Roman" w:eastAsia="方正黑体_GBK" w:cs="Times New Roman"/>
          <w:kern w:val="2"/>
          <w:sz w:val="36"/>
          <w:szCs w:val="36"/>
        </w:rPr>
      </w:pPr>
      <w:bookmarkStart w:id="1" w:name="_Toc2824"/>
      <w:bookmarkStart w:id="2" w:name="_Toc15401"/>
      <w:bookmarkStart w:id="3" w:name="_Toc31687"/>
      <w:bookmarkStart w:id="4" w:name="_Toc24173"/>
      <w:r>
        <w:rPr>
          <w:rFonts w:hint="eastAsia" w:ascii="Times New Roman" w:hAnsi="Times New Roman" w:eastAsia="方正黑体_GBK" w:cs="方正黑体_GBK"/>
          <w:kern w:val="2"/>
          <w:sz w:val="36"/>
          <w:szCs w:val="36"/>
        </w:rPr>
        <w:t>前</w:t>
      </w:r>
      <w:r>
        <w:rPr>
          <w:rFonts w:hint="eastAsia" w:ascii="Times New Roman" w:hAnsi="Times New Roman" w:eastAsia="方正黑体_GBK" w:cs="Times New Roman"/>
          <w:kern w:val="2"/>
          <w:sz w:val="36"/>
          <w:szCs w:val="36"/>
        </w:rPr>
        <w:t xml:space="preserve">  </w:t>
      </w:r>
      <w:r>
        <w:rPr>
          <w:rFonts w:hint="eastAsia" w:ascii="Times New Roman" w:hAnsi="Times New Roman" w:eastAsia="方正黑体_GBK" w:cs="方正黑体_GBK"/>
          <w:kern w:val="2"/>
          <w:sz w:val="36"/>
          <w:szCs w:val="36"/>
        </w:rPr>
        <w:t>言</w:t>
      </w:r>
      <w:bookmarkEnd w:id="1"/>
      <w:bookmarkEnd w:id="2"/>
      <w:bookmarkEnd w:id="3"/>
      <w:bookmarkEnd w:id="4"/>
    </w:p>
    <w:p w14:paraId="0AB36640">
      <w:pPr>
        <w:rPr>
          <w:rFonts w:hint="default" w:ascii="Times New Roman" w:hAnsi="Times New Roman"/>
          <w:highlight w:val="none"/>
          <w:lang w:val="en-US" w:eastAsia="zh-CN"/>
        </w:rPr>
      </w:pPr>
      <w:r>
        <w:rPr>
          <w:rFonts w:hint="default" w:ascii="Times New Roman" w:hAnsi="Times New Roman"/>
          <w:highlight w:val="none"/>
          <w:lang w:val="en-US" w:eastAsia="zh-CN"/>
        </w:rPr>
        <w:t>“十五五”时期，是我国全面建设社会主义现代化国家承上启下的关键五年，承担着衔接2035年基本实现社会主义现代化目标的战略性使命，</w:t>
      </w:r>
      <w:r>
        <w:rPr>
          <w:rFonts w:hint="eastAsia" w:ascii="Times New Roman" w:hAnsi="Times New Roman"/>
          <w:highlight w:val="none"/>
          <w:lang w:val="en-US" w:eastAsia="zh-CN"/>
        </w:rPr>
        <w:t>也是农安县全面迈向</w:t>
      </w:r>
      <w:r>
        <w:rPr>
          <w:rFonts w:hint="default" w:ascii="Times New Roman" w:hAnsi="Times New Roman"/>
          <w:highlight w:val="none"/>
          <w:lang w:val="en-US" w:eastAsia="zh-CN"/>
        </w:rPr>
        <w:t>社会主义现代化</w:t>
      </w:r>
      <w:r>
        <w:rPr>
          <w:rFonts w:hint="eastAsia" w:ascii="Times New Roman" w:hAnsi="Times New Roman"/>
          <w:highlight w:val="none"/>
          <w:lang w:val="en-US" w:eastAsia="zh-CN"/>
        </w:rPr>
        <w:t>的关键时期，农安县</w:t>
      </w:r>
      <w:r>
        <w:rPr>
          <w:rFonts w:hint="default" w:ascii="Times New Roman" w:hAnsi="Times New Roman"/>
          <w:highlight w:val="none"/>
          <w:lang w:val="en-US" w:eastAsia="zh-CN"/>
        </w:rPr>
        <w:t>必须立足新发展阶段，把握新的历史机遇，坚定不移推动高质量发展，因地制宜发展新质生产力，更加注重产业支撑、更加注重科技创新、更加注重扩大内需、更加注重协调发展、更加注重改善民生</w:t>
      </w:r>
      <w:r>
        <w:rPr>
          <w:rFonts w:hint="eastAsia" w:ascii="Times New Roman" w:hAnsi="Times New Roman"/>
          <w:highlight w:val="none"/>
          <w:lang w:val="en-US" w:eastAsia="zh-CN"/>
        </w:rPr>
        <w:t>，</w:t>
      </w:r>
      <w:r>
        <w:rPr>
          <w:rFonts w:hint="default" w:ascii="Times New Roman" w:hAnsi="Times New Roman"/>
          <w:highlight w:val="none"/>
          <w:lang w:val="en-US" w:eastAsia="zh-CN"/>
        </w:rPr>
        <w:t>更好</w:t>
      </w:r>
      <w:r>
        <w:rPr>
          <w:rFonts w:hint="eastAsia" w:ascii="Times New Roman" w:hAnsi="Times New Roman"/>
          <w:highlight w:val="none"/>
          <w:lang w:val="en-US" w:eastAsia="zh-CN"/>
        </w:rPr>
        <w:t>地</w:t>
      </w:r>
      <w:r>
        <w:rPr>
          <w:rFonts w:hint="default" w:ascii="Times New Roman" w:hAnsi="Times New Roman"/>
          <w:highlight w:val="none"/>
          <w:lang w:val="en-US" w:eastAsia="zh-CN"/>
        </w:rPr>
        <w:t>统筹安全</w:t>
      </w:r>
      <w:r>
        <w:rPr>
          <w:rFonts w:hint="eastAsia" w:ascii="Times New Roman" w:hAnsi="Times New Roman"/>
          <w:highlight w:val="none"/>
          <w:lang w:val="en-US" w:eastAsia="zh-CN"/>
        </w:rPr>
        <w:t>与</w:t>
      </w:r>
      <w:r>
        <w:rPr>
          <w:rFonts w:hint="default" w:ascii="Times New Roman" w:hAnsi="Times New Roman"/>
          <w:highlight w:val="none"/>
          <w:lang w:val="en-US" w:eastAsia="zh-CN"/>
        </w:rPr>
        <w:t>发展，全力打造吉林省县域经济高质量发展</w:t>
      </w:r>
      <w:r>
        <w:rPr>
          <w:rFonts w:hint="eastAsia"/>
          <w:highlight w:val="none"/>
          <w:lang w:val="en-US" w:eastAsia="zh-CN"/>
        </w:rPr>
        <w:t>新典范</w:t>
      </w:r>
      <w:r>
        <w:rPr>
          <w:rFonts w:hint="default" w:ascii="Times New Roman" w:hAnsi="Times New Roman"/>
          <w:highlight w:val="none"/>
          <w:lang w:val="en-US" w:eastAsia="zh-CN"/>
        </w:rPr>
        <w:t>。</w:t>
      </w:r>
    </w:p>
    <w:p w14:paraId="40F2674F">
      <w:pPr>
        <w:rPr>
          <w:rFonts w:hint="default" w:ascii="Times New Roman" w:hAnsi="Times New Roman"/>
          <w:highlight w:val="none"/>
          <w:lang w:val="en-US" w:eastAsia="zh-CN"/>
        </w:rPr>
      </w:pPr>
      <w:r>
        <w:rPr>
          <w:rFonts w:hint="eastAsia" w:ascii="Times New Roman" w:hAnsi="Times New Roman"/>
          <w:highlight w:val="none"/>
          <w:lang w:val="en-US" w:eastAsia="zh-CN"/>
        </w:rPr>
        <w:t>本规划深入贯彻落实</w:t>
      </w:r>
      <w:r>
        <w:rPr>
          <w:rFonts w:hint="eastAsia"/>
          <w:highlight w:val="none"/>
          <w:lang w:val="en-US" w:eastAsia="zh-CN"/>
        </w:rPr>
        <w:t>习近平总书记</w:t>
      </w:r>
      <w:r>
        <w:rPr>
          <w:rFonts w:hint="default" w:ascii="Times New Roman" w:hAnsi="Times New Roman"/>
          <w:highlight w:val="none"/>
          <w:lang w:val="en-US" w:eastAsia="zh-CN"/>
        </w:rPr>
        <w:t>关于吉林工作系列重要指示精神</w:t>
      </w:r>
      <w:r>
        <w:rPr>
          <w:rFonts w:hint="eastAsia" w:ascii="Times New Roman" w:hAnsi="Times New Roman"/>
          <w:highlight w:val="none"/>
          <w:lang w:val="en-US" w:eastAsia="zh-CN"/>
        </w:rPr>
        <w:t>及对“十五五”规划编制工作作出的重要指示精神，根据《长春都市圈发展规划》《长春市国民经济和社会发展第十五个五年规划纲要》</w:t>
      </w:r>
      <w:r>
        <w:rPr>
          <w:rFonts w:hint="default" w:ascii="Times New Roman" w:hAnsi="Times New Roman"/>
          <w:highlight w:val="none"/>
          <w:lang w:val="en-US" w:eastAsia="zh-CN"/>
        </w:rPr>
        <w:t>等编制，明确了</w:t>
      </w:r>
      <w:r>
        <w:rPr>
          <w:rFonts w:hint="eastAsia" w:ascii="Times New Roman" w:hAnsi="Times New Roman"/>
          <w:highlight w:val="none"/>
          <w:lang w:val="en-US" w:eastAsia="zh-CN"/>
        </w:rPr>
        <w:t>农安县</w:t>
      </w:r>
      <w:r>
        <w:rPr>
          <w:rFonts w:hint="default" w:ascii="Times New Roman" w:hAnsi="Times New Roman"/>
          <w:highlight w:val="none"/>
          <w:lang w:val="en-US" w:eastAsia="zh-CN"/>
        </w:rPr>
        <w:t>未来五年经济社会发展的总体要求、目标任务和政策举措，是指导</w:t>
      </w:r>
      <w:r>
        <w:rPr>
          <w:rFonts w:hint="eastAsia" w:ascii="Times New Roman" w:hAnsi="Times New Roman"/>
          <w:highlight w:val="none"/>
          <w:lang w:val="en-US" w:eastAsia="zh-CN"/>
        </w:rPr>
        <w:t>农安县</w:t>
      </w:r>
      <w:r>
        <w:rPr>
          <w:rFonts w:hint="default" w:ascii="Times New Roman" w:hAnsi="Times New Roman"/>
          <w:highlight w:val="none"/>
          <w:lang w:val="en-US" w:eastAsia="zh-CN"/>
        </w:rPr>
        <w:t>经济社会发展的行动纲领。</w:t>
      </w:r>
    </w:p>
    <w:p w14:paraId="008D3E7E">
      <w:pPr>
        <w:rPr>
          <w:rFonts w:hint="default" w:ascii="Times New Roman" w:hAnsi="Times New Roman"/>
          <w:highlight w:val="none"/>
          <w:lang w:val="en-US" w:eastAsia="zh-CN"/>
        </w:rPr>
      </w:pPr>
      <w:r>
        <w:rPr>
          <w:rFonts w:hint="default" w:ascii="Times New Roman" w:hAnsi="Times New Roman"/>
          <w:highlight w:val="none"/>
          <w:lang w:val="en-US" w:eastAsia="zh-CN"/>
        </w:rPr>
        <w:br w:type="page"/>
      </w:r>
    </w:p>
    <w:p w14:paraId="42DEF6CF">
      <w:pPr>
        <w:rPr>
          <w:rFonts w:hint="default" w:ascii="Times New Roman" w:hAnsi="Times New Roman"/>
          <w:highlight w:val="none"/>
          <w:lang w:val="en-US" w:eastAsia="zh-CN"/>
        </w:rPr>
      </w:pPr>
    </w:p>
    <w:p w14:paraId="1BBEE56E">
      <w:pPr>
        <w:rPr>
          <w:rFonts w:hint="default" w:ascii="Times New Roman" w:hAnsi="Times New Roman"/>
          <w:lang w:val="en-US" w:eastAsia="zh-CN"/>
        </w:rPr>
      </w:pPr>
      <w:r>
        <w:rPr>
          <w:rFonts w:hint="default" w:ascii="Times New Roman" w:hAnsi="Times New Roman"/>
          <w:lang w:val="en-US" w:eastAsia="zh-CN"/>
        </w:rPr>
        <w:br w:type="page"/>
      </w:r>
    </w:p>
    <w:p w14:paraId="354ADA70">
      <w:pPr>
        <w:pStyle w:val="4"/>
        <w:bidi w:val="0"/>
        <w:rPr>
          <w:rFonts w:hint="eastAsia" w:ascii="Times New Roman" w:hAnsi="Times New Roman"/>
        </w:rPr>
      </w:pPr>
      <w:bookmarkStart w:id="5" w:name="_Toc8420"/>
      <w:bookmarkStart w:id="6" w:name="_Toc374"/>
      <w:bookmarkStart w:id="7" w:name="_Toc18493"/>
      <w:bookmarkStart w:id="8" w:name="_Toc22396"/>
      <w:r>
        <w:rPr>
          <w:rFonts w:hint="eastAsia" w:ascii="Times New Roman" w:hAnsi="Times New Roman"/>
        </w:rPr>
        <w:t>愿景篇</w:t>
      </w:r>
      <w:r>
        <w:rPr>
          <w:rFonts w:hint="eastAsia" w:ascii="Times New Roman" w:hAnsi="Times New Roman"/>
          <w:lang w:eastAsia="zh-CN"/>
        </w:rPr>
        <w:t>：</w:t>
      </w:r>
      <w:r>
        <w:rPr>
          <w:rFonts w:hint="eastAsia" w:ascii="Times New Roman" w:hAnsi="Times New Roman"/>
        </w:rPr>
        <w:t>谋篇布局，奋力谱写中国式现代化农安篇章</w:t>
      </w:r>
      <w:bookmarkEnd w:id="5"/>
      <w:bookmarkEnd w:id="6"/>
      <w:bookmarkEnd w:id="7"/>
      <w:bookmarkEnd w:id="8"/>
    </w:p>
    <w:p w14:paraId="600DE662">
      <w:pPr>
        <w:pStyle w:val="5"/>
        <w:bidi w:val="0"/>
        <w:rPr>
          <w:rFonts w:hint="eastAsia" w:ascii="Times New Roman" w:hAnsi="Times New Roman"/>
        </w:rPr>
      </w:pPr>
      <w:bookmarkStart w:id="9" w:name="_Toc406"/>
      <w:bookmarkStart w:id="10" w:name="_Toc27102"/>
      <w:bookmarkStart w:id="11" w:name="_Toc20428"/>
      <w:bookmarkStart w:id="12" w:name="_Toc10983"/>
      <w:r>
        <w:rPr>
          <w:rFonts w:hint="eastAsia" w:ascii="Times New Roman" w:hAnsi="Times New Roman"/>
        </w:rPr>
        <w:t>第一章 发展基础和发展环境</w:t>
      </w:r>
      <w:bookmarkEnd w:id="9"/>
      <w:bookmarkEnd w:id="10"/>
      <w:bookmarkEnd w:id="11"/>
      <w:bookmarkEnd w:id="12"/>
    </w:p>
    <w:p w14:paraId="1982F8EB">
      <w:pPr>
        <w:pStyle w:val="7"/>
        <w:bidi w:val="0"/>
        <w:rPr>
          <w:rFonts w:hint="default" w:ascii="Times New Roman" w:hAnsi="Times New Roman"/>
          <w:lang w:val="en-US" w:eastAsia="zh-CN"/>
        </w:rPr>
      </w:pPr>
      <w:bookmarkStart w:id="13" w:name="_Toc26773"/>
      <w:bookmarkStart w:id="14" w:name="_Toc23550"/>
      <w:bookmarkStart w:id="15" w:name="_Toc22606"/>
      <w:r>
        <w:rPr>
          <w:rFonts w:hint="eastAsia" w:ascii="Times New Roman" w:hAnsi="Times New Roman"/>
          <w:lang w:val="en-US" w:eastAsia="zh-CN"/>
        </w:rPr>
        <w:t>第一节  发展基础</w:t>
      </w:r>
      <w:bookmarkEnd w:id="13"/>
      <w:bookmarkEnd w:id="14"/>
      <w:bookmarkEnd w:id="15"/>
    </w:p>
    <w:p w14:paraId="0A9ACC98">
      <w:pPr>
        <w:rPr>
          <w:rFonts w:hint="eastAsia" w:ascii="Times New Roman" w:hAnsi="Times New Roman"/>
          <w:lang w:val="en-US" w:eastAsia="zh-CN"/>
        </w:rPr>
      </w:pPr>
      <w:r>
        <w:rPr>
          <w:rFonts w:hint="eastAsia" w:ascii="Times New Roman" w:hAnsi="Times New Roman"/>
          <w:lang w:val="en-US" w:eastAsia="zh-CN"/>
        </w:rPr>
        <w:t>“十四五”时期，全县坚持以习近平新时代中国特色社会主义思想为指导，深入贯彻党的二十大和二十届二中、三中</w:t>
      </w:r>
      <w:r>
        <w:rPr>
          <w:rFonts w:hint="eastAsia"/>
          <w:lang w:val="en-US" w:eastAsia="zh-CN"/>
        </w:rPr>
        <w:t>、四中</w:t>
      </w:r>
      <w:r>
        <w:rPr>
          <w:rFonts w:hint="eastAsia" w:ascii="Times New Roman" w:hAnsi="Times New Roman"/>
          <w:lang w:val="en-US" w:eastAsia="zh-CN"/>
        </w:rPr>
        <w:t>全会精神，全面落实市委、市政府决策部署，紧扣高质量发展主题，砥砺奋进、开拓创新，全县经济结构持续优化，农业现代化、工业集群化、服务业多元化协同推进，城乡面貌焕然一新，环境质量显著提升，县域综合发展实力迈上新台阶。</w:t>
      </w:r>
    </w:p>
    <w:p w14:paraId="42A63866">
      <w:pPr>
        <w:rPr>
          <w:rFonts w:hint="eastAsia" w:ascii="Times New Roman" w:hAnsi="Times New Roman"/>
          <w:lang w:val="en-US" w:eastAsia="zh-CN"/>
        </w:rPr>
      </w:pPr>
      <w:r>
        <w:rPr>
          <w:rFonts w:hint="eastAsia" w:ascii="Times New Roman" w:hAnsi="Times New Roman"/>
          <w:b/>
          <w:bCs/>
          <w:lang w:val="en-US" w:eastAsia="zh-CN"/>
        </w:rPr>
        <w:t>综合实力稳中有进。</w:t>
      </w:r>
      <w:r>
        <w:rPr>
          <w:rFonts w:hint="eastAsia" w:ascii="Times New Roman" w:hAnsi="Times New Roman"/>
          <w:lang w:val="en-US" w:eastAsia="zh-CN"/>
        </w:rPr>
        <w:t>到2025年，全县地区生产总值达到</w:t>
      </w:r>
      <w:r>
        <w:rPr>
          <w:rFonts w:hint="eastAsia"/>
          <w:lang w:val="en-US" w:eastAsia="zh-CN"/>
        </w:rPr>
        <w:t>330</w:t>
      </w:r>
      <w:r>
        <w:rPr>
          <w:rFonts w:hint="eastAsia" w:ascii="Times New Roman" w:hAnsi="Times New Roman"/>
          <w:lang w:val="en-US" w:eastAsia="zh-CN"/>
        </w:rPr>
        <w:t>亿元，较2020年增长</w:t>
      </w:r>
      <w:r>
        <w:rPr>
          <w:rFonts w:hint="eastAsia"/>
          <w:lang w:val="en-US" w:eastAsia="zh-CN"/>
        </w:rPr>
        <w:t>37.7亿元</w:t>
      </w:r>
      <w:r>
        <w:rPr>
          <w:rFonts w:hint="eastAsia" w:ascii="Times New Roman" w:hAnsi="Times New Roman"/>
          <w:lang w:val="en-US" w:eastAsia="zh-CN"/>
        </w:rPr>
        <w:t>，年均增速</w:t>
      </w:r>
      <w:r>
        <w:rPr>
          <w:rFonts w:hint="eastAsia"/>
          <w:lang w:val="en-US" w:eastAsia="zh-CN"/>
        </w:rPr>
        <w:t>4.04%</w:t>
      </w:r>
      <w:r>
        <w:rPr>
          <w:rFonts w:hint="eastAsia" w:ascii="Times New Roman" w:hAnsi="Times New Roman"/>
          <w:lang w:val="en-US" w:eastAsia="zh-CN"/>
        </w:rPr>
        <w:t>。固定资产投资5年累计完成</w:t>
      </w:r>
      <w:r>
        <w:rPr>
          <w:rFonts w:hint="eastAsia"/>
          <w:lang w:val="en-US" w:eastAsia="zh-CN"/>
        </w:rPr>
        <w:t>400</w:t>
      </w:r>
      <w:r>
        <w:rPr>
          <w:rFonts w:hint="eastAsia" w:ascii="Times New Roman" w:hAnsi="Times New Roman"/>
          <w:lang w:val="en-US" w:eastAsia="zh-CN"/>
        </w:rPr>
        <w:t>亿元，年均新增投资</w:t>
      </w:r>
      <w:r>
        <w:rPr>
          <w:rFonts w:hint="eastAsia"/>
          <w:lang w:val="en-US" w:eastAsia="zh-CN"/>
        </w:rPr>
        <w:t>3.9</w:t>
      </w:r>
      <w:r>
        <w:rPr>
          <w:rFonts w:hint="eastAsia" w:ascii="Times New Roman" w:hAnsi="Times New Roman"/>
          <w:lang w:val="en-US" w:eastAsia="zh-CN"/>
        </w:rPr>
        <w:t>亿元以上，年均增长</w:t>
      </w:r>
      <w:r>
        <w:rPr>
          <w:rFonts w:hint="eastAsia"/>
          <w:lang w:val="en-US" w:eastAsia="zh-CN"/>
        </w:rPr>
        <w:t>6.7%</w:t>
      </w:r>
      <w:r>
        <w:rPr>
          <w:rFonts w:hint="eastAsia" w:ascii="Times New Roman" w:hAnsi="Times New Roman"/>
          <w:lang w:val="en-US" w:eastAsia="zh-CN"/>
        </w:rPr>
        <w:t>。规上工业总产值突破</w:t>
      </w:r>
      <w:r>
        <w:rPr>
          <w:rFonts w:hint="eastAsia"/>
          <w:lang w:val="en-US" w:eastAsia="zh-CN"/>
        </w:rPr>
        <w:t>175</w:t>
      </w:r>
      <w:r>
        <w:rPr>
          <w:rFonts w:hint="eastAsia" w:ascii="Times New Roman" w:hAnsi="Times New Roman"/>
          <w:lang w:val="en-US" w:eastAsia="zh-CN"/>
        </w:rPr>
        <w:t>亿元，高新技术企业数量达到</w:t>
      </w:r>
      <w:r>
        <w:rPr>
          <w:rFonts w:hint="eastAsia"/>
          <w:lang w:val="en-US" w:eastAsia="zh-CN"/>
        </w:rPr>
        <w:t>70家</w:t>
      </w:r>
      <w:r>
        <w:rPr>
          <w:rFonts w:hint="eastAsia" w:ascii="Times New Roman" w:hAnsi="Times New Roman"/>
          <w:lang w:val="en-US" w:eastAsia="zh-CN"/>
        </w:rPr>
        <w:t>。地方财政收入结构日益改善、</w:t>
      </w:r>
      <w:r>
        <w:rPr>
          <w:rFonts w:hint="eastAsia"/>
          <w:lang w:val="en-US" w:eastAsia="zh-CN"/>
        </w:rPr>
        <w:t>全</w:t>
      </w:r>
      <w:r>
        <w:rPr>
          <w:rFonts w:hint="eastAsia" w:ascii="Times New Roman" w:hAnsi="Times New Roman"/>
          <w:lang w:val="en-US" w:eastAsia="zh-CN"/>
        </w:rPr>
        <w:t>社会固定资产投资稳步</w:t>
      </w:r>
      <w:r>
        <w:rPr>
          <w:rFonts w:hint="eastAsia"/>
          <w:lang w:val="en-US" w:eastAsia="zh-CN"/>
        </w:rPr>
        <w:t>增长</w:t>
      </w:r>
      <w:r>
        <w:rPr>
          <w:rFonts w:hint="eastAsia" w:ascii="Times New Roman" w:hAnsi="Times New Roman"/>
          <w:lang w:val="en-US" w:eastAsia="zh-CN"/>
        </w:rPr>
        <w:t>，地方财政收入达到</w:t>
      </w:r>
      <w:r>
        <w:rPr>
          <w:rFonts w:hint="eastAsia"/>
          <w:lang w:val="en-US" w:eastAsia="zh-CN"/>
        </w:rPr>
        <w:t>6.5</w:t>
      </w:r>
      <w:r>
        <w:rPr>
          <w:rFonts w:hint="eastAsia" w:ascii="Times New Roman" w:hAnsi="Times New Roman"/>
          <w:lang w:val="en-US" w:eastAsia="zh-CN"/>
        </w:rPr>
        <w:t>亿元。社会消费品零售总额达到</w:t>
      </w:r>
      <w:r>
        <w:rPr>
          <w:rFonts w:hint="eastAsia"/>
          <w:lang w:val="en-US" w:eastAsia="zh-CN"/>
        </w:rPr>
        <w:t>56</w:t>
      </w:r>
      <w:r>
        <w:rPr>
          <w:rFonts w:hint="eastAsia" w:ascii="Times New Roman" w:hAnsi="Times New Roman"/>
          <w:lang w:val="en-US" w:eastAsia="zh-CN"/>
        </w:rPr>
        <w:t>亿元，年均增速超过</w:t>
      </w:r>
      <w:r>
        <w:rPr>
          <w:rFonts w:hint="eastAsia"/>
          <w:lang w:val="en-US" w:eastAsia="zh-CN"/>
        </w:rPr>
        <w:t>4%</w:t>
      </w:r>
      <w:r>
        <w:rPr>
          <w:rFonts w:hint="eastAsia" w:ascii="Times New Roman" w:hAnsi="Times New Roman"/>
          <w:lang w:val="en-US" w:eastAsia="zh-CN"/>
        </w:rPr>
        <w:t>。</w:t>
      </w:r>
      <w:r>
        <w:rPr>
          <w:rFonts w:hint="eastAsia" w:ascii="Times New Roman" w:hAnsi="Times New Roman"/>
          <w:highlight w:val="none"/>
          <w:lang w:val="en-US" w:eastAsia="zh-CN"/>
        </w:rPr>
        <w:t>县域综合实力全省</w:t>
      </w:r>
      <w:r>
        <w:rPr>
          <w:rFonts w:hint="eastAsia"/>
          <w:highlight w:val="none"/>
          <w:lang w:val="en-US" w:eastAsia="zh-CN"/>
        </w:rPr>
        <w:t>排名前列</w:t>
      </w:r>
      <w:r>
        <w:rPr>
          <w:rFonts w:hint="eastAsia" w:ascii="Times New Roman" w:hAnsi="Times New Roman"/>
          <w:highlight w:val="none"/>
          <w:lang w:val="en-US" w:eastAsia="zh-CN"/>
        </w:rPr>
        <w:t>，跻身全省经济强县行列</w:t>
      </w:r>
      <w:r>
        <w:rPr>
          <w:rFonts w:hint="eastAsia" w:ascii="Times New Roman" w:hAnsi="Times New Roman"/>
          <w:lang w:val="en-US" w:eastAsia="zh-CN"/>
        </w:rPr>
        <w:t>。</w:t>
      </w:r>
    </w:p>
    <w:p w14:paraId="4F4BC7DF">
      <w:pPr>
        <w:rPr>
          <w:rFonts w:hint="eastAsia" w:ascii="Times New Roman" w:hAnsi="Times New Roman"/>
          <w:lang w:val="en-US" w:eastAsia="zh-CN"/>
        </w:rPr>
      </w:pPr>
      <w:r>
        <w:rPr>
          <w:rFonts w:hint="eastAsia" w:ascii="Times New Roman" w:hAnsi="Times New Roman"/>
          <w:b/>
          <w:bCs/>
          <w:lang w:val="en-US" w:eastAsia="zh-CN"/>
        </w:rPr>
        <w:t>三次产业全面增长。</w:t>
      </w:r>
      <w:r>
        <w:rPr>
          <w:rFonts w:hint="eastAsia" w:ascii="Times New Roman" w:hAnsi="Times New Roman"/>
          <w:lang w:val="en-US" w:eastAsia="zh-CN"/>
        </w:rPr>
        <w:t>农牧业快速发展，全县农作物播种面积达到</w:t>
      </w:r>
      <w:r>
        <w:rPr>
          <w:rFonts w:hint="eastAsia"/>
          <w:lang w:val="en-US" w:eastAsia="zh-CN"/>
        </w:rPr>
        <w:t>623.1</w:t>
      </w:r>
      <w:r>
        <w:rPr>
          <w:rFonts w:hint="eastAsia" w:ascii="Times New Roman" w:hAnsi="Times New Roman"/>
          <w:lang w:val="en-US" w:eastAsia="zh-CN"/>
        </w:rPr>
        <w:t>万亩，建设高标准农田</w:t>
      </w:r>
      <w:r>
        <w:rPr>
          <w:rFonts w:hint="eastAsia"/>
          <w:lang w:val="en-US" w:eastAsia="zh-CN"/>
        </w:rPr>
        <w:t>299.7</w:t>
      </w:r>
      <w:r>
        <w:rPr>
          <w:rFonts w:hint="eastAsia" w:ascii="Times New Roman" w:hAnsi="Times New Roman"/>
          <w:lang w:val="en-US" w:eastAsia="zh-CN"/>
        </w:rPr>
        <w:t>万亩，粮食产量达到</w:t>
      </w:r>
      <w:r>
        <w:rPr>
          <w:rFonts w:hint="eastAsia"/>
          <w:lang w:val="en-US" w:eastAsia="zh-CN"/>
        </w:rPr>
        <w:t>91.98</w:t>
      </w:r>
      <w:r>
        <w:rPr>
          <w:rFonts w:hint="eastAsia" w:ascii="Times New Roman" w:hAnsi="Times New Roman"/>
          <w:lang w:val="en-US" w:eastAsia="zh-CN"/>
        </w:rPr>
        <w:t>亿斤。全县畜禽饲养总量达到11000万头只，培育市级以上农业产业化重点龙头企业</w:t>
      </w:r>
      <w:r>
        <w:rPr>
          <w:rFonts w:hint="eastAsia"/>
          <w:lang w:val="en-US" w:eastAsia="zh-CN"/>
        </w:rPr>
        <w:t>38</w:t>
      </w:r>
      <w:r>
        <w:rPr>
          <w:rFonts w:hint="eastAsia" w:ascii="Times New Roman" w:hAnsi="Times New Roman"/>
          <w:lang w:val="en-US" w:eastAsia="zh-CN"/>
        </w:rPr>
        <w:t>家，培育市级名优农产品品牌</w:t>
      </w:r>
      <w:r>
        <w:rPr>
          <w:rFonts w:hint="eastAsia"/>
          <w:lang w:val="en-US" w:eastAsia="zh-CN"/>
        </w:rPr>
        <w:t>18</w:t>
      </w:r>
      <w:r>
        <w:rPr>
          <w:rFonts w:hint="eastAsia" w:ascii="Times New Roman" w:hAnsi="Times New Roman"/>
          <w:lang w:val="en-US" w:eastAsia="zh-CN"/>
        </w:rPr>
        <w:t>个。工业产业提质增效，规上工业产值从2020年110亿元增至2025年</w:t>
      </w:r>
      <w:r>
        <w:rPr>
          <w:rFonts w:hint="eastAsia"/>
          <w:lang w:val="en-US" w:eastAsia="zh-CN"/>
        </w:rPr>
        <w:t>175</w:t>
      </w:r>
      <w:r>
        <w:rPr>
          <w:rFonts w:hint="eastAsia" w:ascii="Times New Roman" w:hAnsi="Times New Roman"/>
          <w:lang w:val="en-US" w:eastAsia="zh-CN"/>
        </w:rPr>
        <w:t>亿元，年均增长</w:t>
      </w:r>
      <w:r>
        <w:rPr>
          <w:rFonts w:hint="eastAsia"/>
          <w:highlight w:val="none"/>
          <w:lang w:val="en-US" w:eastAsia="zh-CN"/>
        </w:rPr>
        <w:t>9.73</w:t>
      </w:r>
      <w:r>
        <w:rPr>
          <w:rFonts w:hint="eastAsia" w:ascii="Times New Roman" w:hAnsi="Times New Roman"/>
          <w:highlight w:val="none"/>
          <w:lang w:val="en-US" w:eastAsia="zh-CN"/>
        </w:rPr>
        <w:t>%</w:t>
      </w:r>
      <w:r>
        <w:rPr>
          <w:rFonts w:hint="eastAsia" w:ascii="Times New Roman" w:hAnsi="Times New Roman"/>
          <w:lang w:val="en-US" w:eastAsia="zh-CN"/>
        </w:rPr>
        <w:t>，企业户数从65户增至118户，年均增长11%。服务业释放动能，推进太平池旅游度假区建设，助力辽金时代文化园、剑鹏马城等景区复苏回暖，累计接待游客</w:t>
      </w:r>
      <w:r>
        <w:rPr>
          <w:rFonts w:hint="eastAsia"/>
          <w:lang w:val="en-US" w:eastAsia="zh-CN"/>
        </w:rPr>
        <w:t>323.5</w:t>
      </w:r>
      <w:r>
        <w:rPr>
          <w:rFonts w:hint="eastAsia" w:ascii="Times New Roman" w:hAnsi="Times New Roman"/>
          <w:lang w:val="en-US" w:eastAsia="zh-CN"/>
        </w:rPr>
        <w:t>万人次，实现旅游收入</w:t>
      </w:r>
      <w:r>
        <w:rPr>
          <w:rFonts w:hint="eastAsia"/>
          <w:lang w:val="en-US" w:eastAsia="zh-CN"/>
        </w:rPr>
        <w:t>9055</w:t>
      </w:r>
      <w:r>
        <w:rPr>
          <w:rFonts w:hint="eastAsia" w:ascii="Times New Roman" w:hAnsi="Times New Roman"/>
          <w:lang w:val="en-US" w:eastAsia="zh-CN"/>
        </w:rPr>
        <w:t>万元；成功推动</w:t>
      </w:r>
      <w:r>
        <w:rPr>
          <w:rFonts w:hint="eastAsia"/>
          <w:lang w:val="en-US" w:eastAsia="zh-CN"/>
        </w:rPr>
        <w:t>946</w:t>
      </w:r>
      <w:r>
        <w:rPr>
          <w:rFonts w:hint="eastAsia" w:ascii="Times New Roman" w:hAnsi="Times New Roman"/>
          <w:lang w:val="en-US" w:eastAsia="zh-CN"/>
        </w:rPr>
        <w:t>户个体“个转企”，市场主体数量与质量双提升。</w:t>
      </w:r>
    </w:p>
    <w:p w14:paraId="01066BCE">
      <w:pPr>
        <w:rPr>
          <w:rFonts w:hint="eastAsia" w:ascii="Times New Roman" w:hAnsi="Times New Roman"/>
          <w:lang w:val="en-US" w:eastAsia="zh-CN"/>
        </w:rPr>
      </w:pPr>
      <w:r>
        <w:rPr>
          <w:rFonts w:hint="eastAsia" w:ascii="Times New Roman" w:hAnsi="Times New Roman"/>
          <w:b/>
          <w:bCs/>
          <w:lang w:val="en-US" w:eastAsia="zh-CN"/>
        </w:rPr>
        <w:t>改革创新取得成效。</w:t>
      </w:r>
      <w:r>
        <w:rPr>
          <w:rFonts w:hint="eastAsia" w:ascii="Times New Roman" w:hAnsi="Times New Roman"/>
          <w:lang w:val="en-US" w:eastAsia="zh-CN"/>
        </w:rPr>
        <w:t>园区整合与产业布局不断优化，2021年长春农安经济开发区和农安工业集中区整合重组，形成优势互补格局，2022年推动开发区机制创新与整合升级，打通“政产学研”通道；营商环境持续改善，开展“万人助万企”“精准助企、服务到家”行动，深化并联审批，推进“一件事一次办”；科技创新实力不断增强，“十四五”期间，实施各级各类科技计划项目</w:t>
      </w:r>
      <w:r>
        <w:rPr>
          <w:rFonts w:hint="eastAsia"/>
          <w:lang w:val="en-US" w:eastAsia="zh-CN"/>
        </w:rPr>
        <w:t>11</w:t>
      </w:r>
      <w:r>
        <w:rPr>
          <w:rFonts w:hint="eastAsia" w:ascii="Times New Roman" w:hAnsi="Times New Roman"/>
          <w:lang w:val="en-US" w:eastAsia="zh-CN"/>
        </w:rPr>
        <w:t>项，争取上级科技专项资金</w:t>
      </w:r>
      <w:r>
        <w:rPr>
          <w:rFonts w:hint="eastAsia"/>
          <w:lang w:val="en-US" w:eastAsia="zh-CN"/>
        </w:rPr>
        <w:t>761</w:t>
      </w:r>
      <w:r>
        <w:rPr>
          <w:rFonts w:hint="eastAsia" w:ascii="Times New Roman" w:hAnsi="Times New Roman"/>
          <w:lang w:val="en-US" w:eastAsia="zh-CN"/>
        </w:rPr>
        <w:t>万元，全县取得各类科技成果</w:t>
      </w:r>
      <w:r>
        <w:rPr>
          <w:rFonts w:hint="eastAsia"/>
          <w:lang w:val="en-US" w:eastAsia="zh-CN"/>
        </w:rPr>
        <w:t>43</w:t>
      </w:r>
      <w:r>
        <w:rPr>
          <w:rFonts w:hint="eastAsia" w:ascii="Times New Roman" w:hAnsi="Times New Roman"/>
          <w:lang w:val="en-US" w:eastAsia="zh-CN"/>
        </w:rPr>
        <w:t>余项，推广和转化科技成果</w:t>
      </w:r>
      <w:r>
        <w:rPr>
          <w:rFonts w:hint="eastAsia"/>
          <w:lang w:val="en-US" w:eastAsia="zh-CN"/>
        </w:rPr>
        <w:t>43</w:t>
      </w:r>
      <w:r>
        <w:rPr>
          <w:rFonts w:hint="eastAsia" w:ascii="Times New Roman" w:hAnsi="Times New Roman"/>
          <w:lang w:val="en-US" w:eastAsia="zh-CN"/>
        </w:rPr>
        <w:t>余项。</w:t>
      </w:r>
    </w:p>
    <w:p w14:paraId="7EE8CBDC">
      <w:pPr>
        <w:rPr>
          <w:rFonts w:hint="eastAsia" w:ascii="Times New Roman" w:hAnsi="Times New Roman"/>
          <w:lang w:val="en-US" w:eastAsia="zh-CN"/>
        </w:rPr>
      </w:pPr>
      <w:r>
        <w:rPr>
          <w:rFonts w:hint="eastAsia" w:ascii="Times New Roman" w:hAnsi="Times New Roman"/>
          <w:b/>
          <w:bCs/>
          <w:lang w:val="en-US" w:eastAsia="zh-CN"/>
        </w:rPr>
        <w:t>城市面貌焕发生机。</w:t>
      </w:r>
      <w:r>
        <w:rPr>
          <w:rFonts w:hint="eastAsia" w:ascii="Times New Roman" w:hAnsi="Times New Roman"/>
          <w:lang w:val="en-US" w:eastAsia="zh-CN"/>
        </w:rPr>
        <w:t>坚持高标准规划、高质量建设、精细化管理，水电气热保障更加充分，“引新（新立城）入农”工程顺利竣工，配套第三净水厂及合隆净水厂投入运行</w:t>
      </w:r>
      <w:r>
        <w:rPr>
          <w:rFonts w:hint="eastAsia"/>
          <w:lang w:val="en-US" w:eastAsia="zh-CN"/>
        </w:rPr>
        <w:t>，</w:t>
      </w:r>
      <w:r>
        <w:rPr>
          <w:rFonts w:hint="eastAsia" w:ascii="Times New Roman" w:hAnsi="Times New Roman"/>
          <w:lang w:val="en-US" w:eastAsia="zh-CN"/>
        </w:rPr>
        <w:t>更新改造供热管网</w:t>
      </w:r>
      <w:r>
        <w:rPr>
          <w:rFonts w:hint="eastAsia"/>
          <w:lang w:val="en-US" w:eastAsia="zh-CN"/>
        </w:rPr>
        <w:t>4.35</w:t>
      </w:r>
      <w:r>
        <w:rPr>
          <w:rFonts w:hint="eastAsia" w:ascii="Times New Roman" w:hAnsi="Times New Roman"/>
          <w:lang w:val="en-US" w:eastAsia="zh-CN"/>
        </w:rPr>
        <w:t>公里，带动供热面积</w:t>
      </w:r>
      <w:r>
        <w:rPr>
          <w:rFonts w:hint="eastAsia"/>
          <w:lang w:val="en-US" w:eastAsia="zh-CN"/>
        </w:rPr>
        <w:t>133.82</w:t>
      </w:r>
      <w:r>
        <w:rPr>
          <w:rFonts w:hint="eastAsia" w:ascii="Times New Roman" w:hAnsi="Times New Roman"/>
          <w:lang w:val="en-US" w:eastAsia="zh-CN"/>
        </w:rPr>
        <w:t>万平方米。公共设施更加完备，新施划城市公共停车位</w:t>
      </w:r>
      <w:r>
        <w:rPr>
          <w:rFonts w:hint="eastAsia"/>
          <w:lang w:val="en-US" w:eastAsia="zh-CN"/>
        </w:rPr>
        <w:t>4800</w:t>
      </w:r>
      <w:r>
        <w:rPr>
          <w:rFonts w:hint="eastAsia" w:ascii="Times New Roman" w:hAnsi="Times New Roman"/>
          <w:lang w:val="en-US" w:eastAsia="zh-CN"/>
        </w:rPr>
        <w:t>个，城市交通综合服务能力显著提升。宝塔街南延工程竣工通车，高速农安南出口投入使用，城市向南发展框架进一步拉开。道路全面改造升级，完成德彪街、兴隆路、明星路、水源路、宝塔街、龙岩街、宝和路等道路改造39条，城市运转更加高效快捷。老旧小区改造有序实施，投资4.9亿元，改造老旧小区184个。实施伊通河河道整治等工程，增强防洪排涝能力。推进安全生产百日攻坚、环境卫生综合整治、行政执法力量进小区等整治行动，拆除违法建筑134处，集中整治城乡接合部、棚户区、背街小巷等卫生死角，清理城区乱象3600余处，城市乱象基本消除。</w:t>
      </w:r>
    </w:p>
    <w:p w14:paraId="317AD27C">
      <w:pPr>
        <w:rPr>
          <w:rFonts w:hint="eastAsia" w:ascii="Times New Roman" w:hAnsi="Times New Roman"/>
          <w:lang w:val="en-US" w:eastAsia="zh-CN"/>
        </w:rPr>
      </w:pPr>
      <w:r>
        <w:rPr>
          <w:rFonts w:hint="eastAsia" w:ascii="Times New Roman" w:hAnsi="Times New Roman"/>
          <w:b/>
          <w:bCs/>
          <w:lang w:val="en-US" w:eastAsia="zh-CN"/>
        </w:rPr>
        <w:t>生态屏障更加牢固。</w:t>
      </w:r>
      <w:r>
        <w:rPr>
          <w:rFonts w:hint="eastAsia" w:ascii="Times New Roman" w:hAnsi="Times New Roman"/>
          <w:lang w:val="en-US" w:eastAsia="zh-CN"/>
        </w:rPr>
        <w:t>累计投入超</w:t>
      </w:r>
      <w:r>
        <w:rPr>
          <w:rFonts w:hint="eastAsia"/>
          <w:lang w:val="en-US" w:eastAsia="zh-CN"/>
        </w:rPr>
        <w:t>5407.17</w:t>
      </w:r>
      <w:r>
        <w:rPr>
          <w:rFonts w:hint="eastAsia" w:ascii="Times New Roman" w:hAnsi="Times New Roman"/>
          <w:lang w:val="en-US" w:eastAsia="zh-CN"/>
        </w:rPr>
        <w:t>万元，实施“绿润黄龙”工程，完成绿化面积</w:t>
      </w:r>
      <w:r>
        <w:rPr>
          <w:rFonts w:hint="eastAsia"/>
          <w:lang w:val="en-US" w:eastAsia="zh-CN"/>
        </w:rPr>
        <w:t>439.4</w:t>
      </w:r>
      <w:r>
        <w:rPr>
          <w:rFonts w:hint="eastAsia" w:ascii="Times New Roman" w:hAnsi="Times New Roman"/>
          <w:lang w:val="en-US" w:eastAsia="zh-CN"/>
        </w:rPr>
        <w:t>公顷，获评省级林长制激励奖励。水环境治理成效突出，全面清理河湖“四乱”问题</w:t>
      </w:r>
      <w:r>
        <w:rPr>
          <w:rFonts w:hint="eastAsia"/>
          <w:lang w:val="en-US" w:eastAsia="zh-CN"/>
        </w:rPr>
        <w:t>400</w:t>
      </w:r>
      <w:r>
        <w:rPr>
          <w:rFonts w:hint="eastAsia" w:ascii="Times New Roman" w:hAnsi="Times New Roman"/>
          <w:lang w:val="en-US" w:eastAsia="zh-CN"/>
        </w:rPr>
        <w:t>余处，国考断面水质</w:t>
      </w:r>
      <w:r>
        <w:rPr>
          <w:rFonts w:hint="eastAsia"/>
          <w:highlight w:val="none"/>
          <w:lang w:val="en-US" w:eastAsia="zh-CN"/>
        </w:rPr>
        <w:t>100</w:t>
      </w:r>
      <w:r>
        <w:rPr>
          <w:rFonts w:hint="eastAsia" w:ascii="Times New Roman" w:hAnsi="Times New Roman"/>
          <w:highlight w:val="none"/>
          <w:lang w:val="en-US" w:eastAsia="zh-CN"/>
        </w:rPr>
        <w:t>%达标</w:t>
      </w:r>
      <w:r>
        <w:rPr>
          <w:rFonts w:hint="eastAsia" w:ascii="Times New Roman" w:hAnsi="Times New Roman"/>
          <w:lang w:val="en-US" w:eastAsia="zh-CN"/>
        </w:rPr>
        <w:t>，农村黑臭水体动态清零，饮用水安全全面保障。大气污染防治持续推进，空气质量优良天数稳定在</w:t>
      </w:r>
      <w:r>
        <w:rPr>
          <w:rFonts w:hint="eastAsia"/>
          <w:lang w:val="en-US" w:eastAsia="zh-CN"/>
        </w:rPr>
        <w:t>85</w:t>
      </w:r>
      <w:r>
        <w:rPr>
          <w:rFonts w:hint="eastAsia" w:ascii="Times New Roman" w:hAnsi="Times New Roman"/>
          <w:lang w:val="en-US" w:eastAsia="zh-CN"/>
        </w:rPr>
        <w:t>%以上，秸秆综合利用率达</w:t>
      </w:r>
      <w:r>
        <w:rPr>
          <w:rFonts w:hint="eastAsia"/>
          <w:lang w:val="en-US" w:eastAsia="zh-CN"/>
        </w:rPr>
        <w:t>93.05</w:t>
      </w:r>
      <w:r>
        <w:rPr>
          <w:rFonts w:hint="eastAsia" w:ascii="Times New Roman" w:hAnsi="Times New Roman"/>
          <w:lang w:val="en-US" w:eastAsia="zh-CN"/>
        </w:rPr>
        <w:t>%。制度创新强化监管效能，环保督察案件整改完成率</w:t>
      </w:r>
      <w:r>
        <w:rPr>
          <w:rFonts w:hint="eastAsia"/>
          <w:lang w:val="en-US" w:eastAsia="zh-CN"/>
        </w:rPr>
        <w:t>100</w:t>
      </w:r>
      <w:r>
        <w:rPr>
          <w:rFonts w:hint="eastAsia" w:ascii="Times New Roman" w:hAnsi="Times New Roman"/>
          <w:lang w:val="en-US" w:eastAsia="zh-CN"/>
        </w:rPr>
        <w:t>%，土壤环境管理系统建成，长效治污能力显著提升。</w:t>
      </w:r>
    </w:p>
    <w:p w14:paraId="4F6FCBE6">
      <w:pPr>
        <w:rPr>
          <w:rFonts w:hint="eastAsia" w:ascii="Times New Roman" w:hAnsi="Times New Roman"/>
          <w:lang w:val="en-US" w:eastAsia="zh-CN"/>
        </w:rPr>
      </w:pPr>
      <w:r>
        <w:rPr>
          <w:rFonts w:hint="eastAsia" w:ascii="Times New Roman" w:hAnsi="Times New Roman"/>
          <w:b/>
          <w:bCs/>
          <w:lang w:val="en-US" w:eastAsia="zh-CN"/>
        </w:rPr>
        <w:t>开放合作持续深化。</w:t>
      </w:r>
      <w:r>
        <w:rPr>
          <w:rFonts w:hint="eastAsia" w:ascii="Times New Roman" w:hAnsi="Times New Roman"/>
          <w:lang w:val="en-US" w:eastAsia="zh-CN"/>
        </w:rPr>
        <w:t>招商引资成果显著，“十四五”期间签约项目</w:t>
      </w:r>
      <w:r>
        <w:rPr>
          <w:rFonts w:hint="eastAsia"/>
          <w:lang w:val="en-US" w:eastAsia="zh-CN"/>
        </w:rPr>
        <w:t>235</w:t>
      </w:r>
      <w:r>
        <w:rPr>
          <w:rFonts w:hint="eastAsia" w:ascii="Times New Roman" w:hAnsi="Times New Roman"/>
          <w:lang w:val="en-US" w:eastAsia="zh-CN"/>
        </w:rPr>
        <w:t>个，吉粤装备产业园、</w:t>
      </w:r>
      <w:r>
        <w:rPr>
          <w:rFonts w:hint="eastAsia"/>
          <w:lang w:val="en-US" w:eastAsia="zh-CN"/>
        </w:rPr>
        <w:t>吉浙绿色制造产业园</w:t>
      </w:r>
      <w:r>
        <w:rPr>
          <w:rFonts w:hint="eastAsia" w:ascii="Times New Roman" w:hAnsi="Times New Roman"/>
          <w:lang w:val="en-US" w:eastAsia="zh-CN"/>
        </w:rPr>
        <w:t>等</w:t>
      </w:r>
      <w:r>
        <w:rPr>
          <w:rFonts w:hint="eastAsia"/>
          <w:lang w:val="en-US" w:eastAsia="zh-CN"/>
        </w:rPr>
        <w:t>120</w:t>
      </w:r>
      <w:r>
        <w:rPr>
          <w:rFonts w:hint="eastAsia" w:ascii="Times New Roman" w:hAnsi="Times New Roman"/>
          <w:lang w:val="en-US" w:eastAsia="zh-CN"/>
        </w:rPr>
        <w:t>个项目签约落地，亿元以上项目</w:t>
      </w:r>
      <w:r>
        <w:rPr>
          <w:rFonts w:hint="eastAsia"/>
          <w:lang w:val="en-US" w:eastAsia="zh-CN"/>
        </w:rPr>
        <w:t>92</w:t>
      </w:r>
      <w:r>
        <w:rPr>
          <w:rFonts w:hint="eastAsia" w:ascii="Times New Roman" w:hAnsi="Times New Roman"/>
          <w:lang w:val="en-US" w:eastAsia="zh-CN"/>
        </w:rPr>
        <w:t>个，签约额超</w:t>
      </w:r>
      <w:r>
        <w:rPr>
          <w:rFonts w:hint="eastAsia"/>
          <w:lang w:val="en-US" w:eastAsia="zh-CN"/>
        </w:rPr>
        <w:t>839</w:t>
      </w:r>
      <w:r>
        <w:rPr>
          <w:rFonts w:hint="eastAsia" w:ascii="Times New Roman" w:hAnsi="Times New Roman"/>
          <w:lang w:val="en-US" w:eastAsia="zh-CN"/>
        </w:rPr>
        <w:t>亿元，到位内资</w:t>
      </w:r>
      <w:r>
        <w:rPr>
          <w:rFonts w:hint="eastAsia"/>
          <w:lang w:val="en-US" w:eastAsia="zh-CN"/>
        </w:rPr>
        <w:t>228.46</w:t>
      </w:r>
      <w:r>
        <w:rPr>
          <w:rFonts w:hint="eastAsia" w:ascii="Times New Roman" w:hAnsi="Times New Roman"/>
          <w:lang w:val="en-US" w:eastAsia="zh-CN"/>
        </w:rPr>
        <w:t>亿元；区域合作持续深化，积极融入长春现代化都市圈建设，长春都市圈环线高速公路东环二期项目农安段已建成通车，实现与长春周边地区的快速连通，有效提升路网效率。</w:t>
      </w:r>
    </w:p>
    <w:p w14:paraId="1D5932F8">
      <w:pPr>
        <w:rPr>
          <w:rFonts w:hint="eastAsia" w:ascii="Times New Roman" w:hAnsi="Times New Roman"/>
          <w:lang w:val="en-US" w:eastAsia="zh-CN"/>
        </w:rPr>
      </w:pPr>
      <w:r>
        <w:rPr>
          <w:rFonts w:hint="eastAsia" w:ascii="Times New Roman" w:hAnsi="Times New Roman"/>
          <w:b/>
          <w:bCs/>
          <w:lang w:val="en-US" w:eastAsia="zh-CN"/>
        </w:rPr>
        <w:t>民生保障坚实有力。</w:t>
      </w:r>
      <w:r>
        <w:rPr>
          <w:rFonts w:hint="eastAsia" w:ascii="Times New Roman" w:hAnsi="Times New Roman"/>
          <w:lang w:val="en-US" w:eastAsia="zh-CN"/>
        </w:rPr>
        <w:t>常态化疫情防控扎实有效，坚持“外防输入”“人物同防”，实施全程闭环管理，强化监测预警，累计接种新冠疫苗135万剂次，构筑起免疫屏障。民生保障全面提升，城镇新增就业累计超2.1061万人次，农村劳动力转移就业超101.2102万人次。热煤保供有力，燃煤储备率达100%，保障群众温暖过冬。累计为低保、特困等优抚群体发放救助金超</w:t>
      </w:r>
      <w:r>
        <w:rPr>
          <w:rFonts w:hint="eastAsia"/>
          <w:lang w:val="en-US" w:eastAsia="zh-CN"/>
        </w:rPr>
        <w:t>5.5</w:t>
      </w:r>
      <w:r>
        <w:rPr>
          <w:rFonts w:hint="eastAsia" w:ascii="Times New Roman" w:hAnsi="Times New Roman"/>
          <w:lang w:val="en-US" w:eastAsia="zh-CN"/>
        </w:rPr>
        <w:t>亿元，切实兜住民生底线。科教文卫事业实现高质量发展，全国信息化教学改革实验区等建设成效显著，“双减”工作落地见效，</w:t>
      </w:r>
      <w:r>
        <w:rPr>
          <w:rFonts w:hint="eastAsia"/>
          <w:lang w:val="en-US" w:eastAsia="zh-CN"/>
        </w:rPr>
        <w:t>教育质量持续攀升，解放、京师、方塘3所民办校转公平稳有序，一中北校、育新小学、新安中小学、县第五幼儿园等新建项目陆续竣工投入使用，新增学位6960个</w:t>
      </w:r>
      <w:r>
        <w:rPr>
          <w:rFonts w:hint="eastAsia" w:ascii="Times New Roman" w:hAnsi="Times New Roman"/>
          <w:lang w:val="en-US" w:eastAsia="zh-CN"/>
        </w:rPr>
        <w:t>，教育资源不断优化。医疗资源扩容提质步伐加快，多个医院新建、改扩建、移址项目取得进展，健康促进县创建工作经验在全国推广。文化事业蓬勃发展，黄龙府牌楼门、辽塔展览馆等建成，图书馆、博物馆等设施不断完善，获评全国一级图书馆等荣誉。居民收入持续增长，</w:t>
      </w:r>
      <w:r>
        <w:rPr>
          <w:rFonts w:hint="eastAsia" w:ascii="Times New Roman" w:hAnsi="Times New Roman"/>
          <w:color w:val="auto"/>
          <w:highlight w:val="none"/>
          <w:lang w:val="en-US" w:eastAsia="zh-CN"/>
        </w:rPr>
        <w:t>城镇、农村人均可支配收入分别增长</w:t>
      </w:r>
      <w:r>
        <w:rPr>
          <w:rFonts w:hint="eastAsia"/>
          <w:color w:val="auto"/>
          <w:highlight w:val="none"/>
          <w:lang w:val="en-US" w:eastAsia="zh-CN"/>
        </w:rPr>
        <w:t>4.5%</w:t>
      </w:r>
      <w:r>
        <w:rPr>
          <w:rFonts w:hint="eastAsia" w:ascii="Times New Roman" w:hAnsi="Times New Roman"/>
          <w:color w:val="auto"/>
          <w:highlight w:val="none"/>
          <w:lang w:val="en-US" w:eastAsia="zh-CN"/>
        </w:rPr>
        <w:t>、</w:t>
      </w:r>
      <w:r>
        <w:rPr>
          <w:rFonts w:hint="eastAsia"/>
          <w:color w:val="auto"/>
          <w:highlight w:val="none"/>
          <w:lang w:val="en-US" w:eastAsia="zh-CN"/>
        </w:rPr>
        <w:t>6%</w:t>
      </w:r>
      <w:r>
        <w:rPr>
          <w:rFonts w:hint="eastAsia" w:ascii="Times New Roman" w:hAnsi="Times New Roman"/>
          <w:color w:val="auto"/>
          <w:highlight w:val="none"/>
          <w:lang w:val="en-US" w:eastAsia="zh-CN"/>
        </w:rPr>
        <w:t>。</w:t>
      </w:r>
      <w:r>
        <w:rPr>
          <w:rFonts w:hint="eastAsia" w:ascii="Times New Roman" w:hAnsi="Times New Roman"/>
          <w:lang w:val="en-US" w:eastAsia="zh-CN"/>
        </w:rPr>
        <w:t>社会保障体系不断健全，城乡居民医保参保人数稳定在</w:t>
      </w:r>
      <w:r>
        <w:rPr>
          <w:rFonts w:hint="eastAsia"/>
          <w:lang w:val="en-US" w:eastAsia="zh-CN"/>
        </w:rPr>
        <w:t>72</w:t>
      </w:r>
      <w:r>
        <w:rPr>
          <w:rFonts w:hint="eastAsia" w:ascii="Times New Roman" w:hAnsi="Times New Roman"/>
          <w:lang w:val="en-US" w:eastAsia="zh-CN"/>
        </w:rPr>
        <w:t>万人，养老保险参保约70万人。社会福利与养老服务体系逐步完善，养老服务水平提升。</w:t>
      </w:r>
    </w:p>
    <w:p w14:paraId="12B05C17">
      <w:pPr>
        <w:rPr>
          <w:rFonts w:hint="eastAsia" w:ascii="Times New Roman" w:hAnsi="Times New Roman"/>
          <w:lang w:val="en-US" w:eastAsia="zh-CN"/>
        </w:rPr>
      </w:pPr>
      <w:r>
        <w:rPr>
          <w:rFonts w:hint="eastAsia" w:ascii="Times New Roman" w:hAnsi="Times New Roman"/>
          <w:b/>
          <w:bCs/>
          <w:highlight w:val="none"/>
          <w:lang w:val="en-US" w:eastAsia="zh-CN"/>
        </w:rPr>
        <w:t>社会和谐安全稳定。</w:t>
      </w:r>
      <w:r>
        <w:rPr>
          <w:rFonts w:hint="eastAsia" w:ascii="Times New Roman" w:hAnsi="Times New Roman"/>
          <w:lang w:val="en-US" w:eastAsia="zh-CN"/>
        </w:rPr>
        <w:t>信访总量持续下降，深入推进信访工作法治化、制度改革，实现受理率、答复率100%，有效化解各类信访积案，矛盾纠纷化解在基层。持续开展专项整治行动，大力推进安全生产规范化建设，完成3.4万户“阀管灶”改造，建成全县应急指挥信息系统，安全生产水平显著提升。成功抵御30年历史极值降雨及历史罕见洪水，科学统筹应对冰冻雨雪灾害，实现安全度汛。深入推进“八五”普法，积极开展反电诈宣传，破获案件</w:t>
      </w:r>
      <w:r>
        <w:rPr>
          <w:rFonts w:hint="eastAsia"/>
          <w:lang w:val="en-US" w:eastAsia="zh-CN"/>
        </w:rPr>
        <w:t>458</w:t>
      </w:r>
      <w:r>
        <w:rPr>
          <w:rFonts w:hint="eastAsia" w:ascii="Times New Roman" w:hAnsi="Times New Roman"/>
          <w:lang w:val="en-US" w:eastAsia="zh-CN"/>
        </w:rPr>
        <w:t>起。农安县消防大队特勤站等多个警务、消防设施建成投用，命案破案率连续三年达100%，发案率大幅下降，社会治安环境持续向好。</w:t>
      </w:r>
    </w:p>
    <w:p w14:paraId="1C02EE55">
      <w:pPr>
        <w:rPr>
          <w:rFonts w:hint="eastAsia" w:ascii="Times New Roman" w:hAnsi="Times New Roman"/>
          <w:lang w:val="en-US" w:eastAsia="zh-CN"/>
        </w:rPr>
      </w:pPr>
      <w:r>
        <w:rPr>
          <w:rFonts w:hint="eastAsia" w:ascii="Times New Roman" w:hAnsi="Times New Roman"/>
          <w:b/>
          <w:bCs/>
          <w:lang w:val="en-US" w:eastAsia="zh-CN"/>
        </w:rPr>
        <w:t>党建引领聚力前行。</w:t>
      </w:r>
      <w:r>
        <w:rPr>
          <w:rFonts w:hint="eastAsia" w:ascii="Times New Roman" w:hAnsi="Times New Roman"/>
          <w:lang w:val="en-US" w:eastAsia="zh-CN"/>
        </w:rPr>
        <w:t>筑牢思想根基，开展党的主题教育活动3次。引导干部投身疫情防控阻击战，建立“四级包保”管控机制，组成隔离点督导组，对隔离点工作进行全方位督导检查；做好年度“五星级”乡村党组织创建工作，实现377个村党组织全部达到二星以上；持续开展集体资源清查清收“攻坚行动”，推进专项行动“四大工程百项任务”，建立377个公共法律服务站（室），科学划分城市社区网格</w:t>
      </w:r>
      <w:r>
        <w:rPr>
          <w:rFonts w:hint="eastAsia"/>
          <w:lang w:val="en-US" w:eastAsia="zh-CN"/>
        </w:rPr>
        <w:t>274</w:t>
      </w:r>
      <w:r>
        <w:rPr>
          <w:rFonts w:hint="eastAsia" w:ascii="Times New Roman" w:hAnsi="Times New Roman"/>
          <w:lang w:val="en-US" w:eastAsia="zh-CN"/>
        </w:rPr>
        <w:t>个、农村社区网格</w:t>
      </w:r>
      <w:r>
        <w:rPr>
          <w:rFonts w:hint="eastAsia"/>
          <w:lang w:val="en-US" w:eastAsia="zh-CN"/>
        </w:rPr>
        <w:t>3574</w:t>
      </w:r>
      <w:r>
        <w:rPr>
          <w:rFonts w:hint="eastAsia" w:ascii="Times New Roman" w:hAnsi="Times New Roman"/>
          <w:lang w:val="en-US" w:eastAsia="zh-CN"/>
        </w:rPr>
        <w:t>个，打造</w:t>
      </w:r>
      <w:r>
        <w:rPr>
          <w:rFonts w:hint="eastAsia"/>
          <w:lang w:val="en-US" w:eastAsia="zh-CN"/>
        </w:rPr>
        <w:t>10</w:t>
      </w:r>
      <w:r>
        <w:rPr>
          <w:rFonts w:hint="eastAsia" w:ascii="Times New Roman" w:hAnsi="Times New Roman"/>
          <w:lang w:val="en-US" w:eastAsia="zh-CN"/>
        </w:rPr>
        <w:t>个“红心物业”项目，成立</w:t>
      </w:r>
      <w:r>
        <w:rPr>
          <w:rFonts w:hint="eastAsia"/>
          <w:lang w:val="en-US" w:eastAsia="zh-CN"/>
        </w:rPr>
        <w:t>238</w:t>
      </w:r>
      <w:r>
        <w:rPr>
          <w:rFonts w:hint="eastAsia" w:ascii="Times New Roman" w:hAnsi="Times New Roman"/>
          <w:lang w:val="en-US" w:eastAsia="zh-CN"/>
        </w:rPr>
        <w:t>个小区党支部，并组织开展农安籍大学生寒暑假“返家乡”社会实践活动。</w:t>
      </w:r>
    </w:p>
    <w:p w14:paraId="70C4DB05">
      <w:pPr>
        <w:rPr>
          <w:rFonts w:hint="eastAsia" w:ascii="Times New Roman" w:hAnsi="Times New Roman"/>
          <w:lang w:val="en-US" w:eastAsia="zh-CN"/>
        </w:rPr>
      </w:pPr>
      <w:r>
        <w:rPr>
          <w:rFonts w:hint="eastAsia" w:ascii="Times New Roman" w:hAnsi="Times New Roman"/>
          <w:lang w:val="en-US" w:eastAsia="zh-CN"/>
        </w:rPr>
        <w:t>同时，“十五五”时期全县经济社会发展仍将面临一些突出短板：</w:t>
      </w:r>
      <w:r>
        <w:rPr>
          <w:rFonts w:hint="eastAsia" w:ascii="Times New Roman" w:hAnsi="Times New Roman"/>
          <w:b/>
          <w:bCs/>
          <w:lang w:val="en-US" w:eastAsia="zh-CN"/>
        </w:rPr>
        <w:t>经济发展面临新旧动能接续的挑战。</w:t>
      </w:r>
      <w:r>
        <w:rPr>
          <w:rFonts w:hint="eastAsia" w:ascii="Times New Roman" w:hAnsi="Times New Roman"/>
          <w:lang w:val="en-US" w:eastAsia="zh-CN"/>
        </w:rPr>
        <w:t>传统产业占比较大，面临资源环境约束和市场竞争</w:t>
      </w:r>
      <w:r>
        <w:rPr>
          <w:rFonts w:hint="eastAsia"/>
          <w:lang w:val="en-US" w:eastAsia="zh-CN"/>
        </w:rPr>
        <w:t>双重</w:t>
      </w:r>
      <w:r>
        <w:rPr>
          <w:rFonts w:hint="eastAsia" w:ascii="Times New Roman" w:hAnsi="Times New Roman"/>
          <w:lang w:val="en-US" w:eastAsia="zh-CN"/>
        </w:rPr>
        <w:t>压力，转型升级困难</w:t>
      </w:r>
      <w:r>
        <w:rPr>
          <w:rFonts w:hint="eastAsia"/>
          <w:lang w:val="en-US" w:eastAsia="zh-CN"/>
        </w:rPr>
        <w:t>多</w:t>
      </w:r>
      <w:r>
        <w:rPr>
          <w:rFonts w:hint="eastAsia" w:ascii="Times New Roman" w:hAnsi="Times New Roman"/>
          <w:lang w:val="en-US" w:eastAsia="zh-CN"/>
        </w:rPr>
        <w:t>；创新主体效能不高，企业自主创新能力偏弱，科技成果转化率低；新兴产业发展不充分，整体规模小，对经济增长的引领支撑作用有限。</w:t>
      </w:r>
      <w:r>
        <w:rPr>
          <w:rFonts w:hint="eastAsia" w:ascii="Times New Roman" w:hAnsi="Times New Roman"/>
          <w:b/>
          <w:bCs/>
          <w:lang w:val="en-US" w:eastAsia="zh-CN"/>
        </w:rPr>
        <w:t>城乡融合发展水平需要进一步提升。</w:t>
      </w:r>
      <w:r>
        <w:rPr>
          <w:rFonts w:hint="eastAsia" w:ascii="Times New Roman" w:hAnsi="Times New Roman"/>
          <w:lang w:val="en-US" w:eastAsia="zh-CN"/>
        </w:rPr>
        <w:t>城乡基础设施建设差距较大，农村交通、水利、能源等基础设施薄弱；教育、医疗、文化等公共服务水平不均衡，城乡要素流动不畅，制约城乡融合发展。</w:t>
      </w:r>
      <w:r>
        <w:rPr>
          <w:rFonts w:hint="eastAsia" w:ascii="Times New Roman" w:hAnsi="Times New Roman"/>
          <w:b/>
          <w:bCs/>
          <w:lang w:val="en-US" w:eastAsia="zh-CN"/>
        </w:rPr>
        <w:t>经济发展与生态保护矛盾依然存在。</w:t>
      </w:r>
      <w:r>
        <w:rPr>
          <w:rFonts w:hint="eastAsia" w:ascii="Times New Roman" w:hAnsi="Times New Roman"/>
          <w:lang w:val="en-US" w:eastAsia="zh-CN"/>
        </w:rPr>
        <w:t>生态环境保护压力较大，生态修复资金投入不足，生态环境监管能力薄弱，绿色发展理念尚未深入人心。</w:t>
      </w:r>
      <w:r>
        <w:rPr>
          <w:rFonts w:hint="eastAsia" w:ascii="Times New Roman" w:hAnsi="Times New Roman"/>
          <w:b/>
          <w:bCs/>
          <w:lang w:val="en-US" w:eastAsia="zh-CN"/>
        </w:rPr>
        <w:t>人民“急难愁盼”的事仍有不少。</w:t>
      </w:r>
      <w:r>
        <w:rPr>
          <w:rFonts w:hint="eastAsia" w:ascii="Times New Roman" w:hAnsi="Times New Roman"/>
          <w:lang w:val="en-US" w:eastAsia="zh-CN"/>
        </w:rPr>
        <w:t>就业结构性矛盾依然突出，教育资源分布不均衡，医疗卫生服务体系不完善，养老服务供给不足，民生领域投入与群众需求还存在较大差距。</w:t>
      </w:r>
    </w:p>
    <w:p w14:paraId="3EE2E883">
      <w:pPr>
        <w:pStyle w:val="7"/>
        <w:bidi w:val="0"/>
        <w:rPr>
          <w:rFonts w:hint="default" w:ascii="Times New Roman" w:hAnsi="Times New Roman"/>
          <w:lang w:val="en-US" w:eastAsia="zh-CN"/>
        </w:rPr>
      </w:pPr>
      <w:bookmarkStart w:id="16" w:name="_Toc1452"/>
      <w:bookmarkStart w:id="17" w:name="_Toc21632"/>
      <w:bookmarkStart w:id="18" w:name="_Toc14669"/>
      <w:r>
        <w:rPr>
          <w:rFonts w:hint="eastAsia" w:ascii="Times New Roman" w:hAnsi="Times New Roman"/>
          <w:lang w:val="en-US" w:eastAsia="zh-CN"/>
        </w:rPr>
        <w:t>第二节  发展环境</w:t>
      </w:r>
      <w:bookmarkEnd w:id="16"/>
      <w:bookmarkEnd w:id="17"/>
      <w:bookmarkEnd w:id="18"/>
    </w:p>
    <w:p w14:paraId="20616B98">
      <w:pPr>
        <w:rPr>
          <w:rFonts w:hint="eastAsia" w:ascii="Times New Roman" w:hAnsi="Times New Roman"/>
          <w:lang w:val="en-US" w:eastAsia="zh-CN"/>
        </w:rPr>
      </w:pPr>
      <w:r>
        <w:rPr>
          <w:rFonts w:hint="eastAsia" w:ascii="Times New Roman" w:hAnsi="Times New Roman"/>
          <w:lang w:val="en-US" w:eastAsia="zh-CN"/>
        </w:rPr>
        <w:t>“十五五”时期，国际国内环境深刻变革，省内重大战略纵深推进，经济社会发展呈现出一系列新的趋势特征，全县步入战略机遇和风险挑战并存的新征程。</w:t>
      </w:r>
    </w:p>
    <w:p w14:paraId="3C1C774D">
      <w:pPr>
        <w:pStyle w:val="6"/>
        <w:keepNext w:val="0"/>
        <w:keepLines w:val="0"/>
        <w:pageBreakBefore w:val="0"/>
        <w:widowControl w:val="0"/>
        <w:kinsoku/>
        <w:wordWrap/>
        <w:overflowPunct/>
        <w:topLinePunct w:val="0"/>
        <w:autoSpaceDE/>
        <w:autoSpaceDN/>
        <w:bidi w:val="0"/>
        <w:adjustRightInd/>
        <w:snapToGrid/>
        <w:textAlignment w:val="auto"/>
        <w:outlineLvl w:val="4"/>
        <w:rPr>
          <w:rFonts w:hint="eastAsia" w:ascii="Times New Roman" w:hAnsi="Times New Roman"/>
          <w:b/>
          <w:bCs/>
          <w:lang w:val="en-US" w:eastAsia="zh-CN"/>
        </w:rPr>
      </w:pPr>
      <w:r>
        <w:rPr>
          <w:rFonts w:hint="eastAsia"/>
          <w:b/>
          <w:bCs/>
          <w:lang w:val="en-US" w:eastAsia="zh-CN"/>
        </w:rPr>
        <w:t>一、</w:t>
      </w:r>
      <w:r>
        <w:rPr>
          <w:rFonts w:hint="eastAsia" w:ascii="Times New Roman" w:hAnsi="Times New Roman"/>
          <w:b/>
          <w:bCs/>
          <w:lang w:val="en-US" w:eastAsia="zh-CN"/>
        </w:rPr>
        <w:t>主动抢抓战略机遇</w:t>
      </w:r>
    </w:p>
    <w:p w14:paraId="5B6F41F8">
      <w:pPr>
        <w:pStyle w:val="6"/>
        <w:rPr>
          <w:rFonts w:hint="eastAsia" w:ascii="Times New Roman" w:hAnsi="Times New Roman"/>
          <w:lang w:val="en-US" w:eastAsia="zh-CN"/>
        </w:rPr>
      </w:pPr>
      <w:r>
        <w:rPr>
          <w:rFonts w:hint="eastAsia" w:ascii="Times New Roman" w:hAnsi="Times New Roman"/>
          <w:b/>
          <w:bCs/>
          <w:lang w:val="en-US" w:eastAsia="zh-CN"/>
        </w:rPr>
        <w:t>科技革命与产业变革催生新动能，为农安县加快新旧动能转换、培育新质生产力提供了新路径。</w:t>
      </w:r>
      <w:r>
        <w:rPr>
          <w:rFonts w:hint="eastAsia" w:ascii="Times New Roman" w:hAnsi="Times New Roman"/>
          <w:lang w:val="en-US" w:eastAsia="zh-CN"/>
        </w:rPr>
        <w:t>“十五五”时期，以新一代信息技术、新能源、新材料、生物医药、绿色低碳等前沿科技交叉融合为标志的新一轮科技革命和产业变革蓬勃兴起。在此浪潮下，互联网、大数据、区块链、人工智能等新一代信息技术加速突破，并作为关键赋能要素，与制造业深度融合，不仅深刻变革着制造业的生产方式与发展模式，更将催生以新质生产力为核心的经济新形态。农安县可借此变革，在促进产业转型升级、培育新兴产业、提升创新能力、优化资源配置等方面精准发力，在更高起点上谋划高质量发展新路径。</w:t>
      </w:r>
    </w:p>
    <w:p w14:paraId="072766D8">
      <w:pPr>
        <w:pStyle w:val="6"/>
        <w:rPr>
          <w:rFonts w:hint="eastAsia" w:ascii="Times New Roman" w:hAnsi="Times New Roman"/>
          <w:lang w:val="en-US" w:eastAsia="zh-CN"/>
        </w:rPr>
      </w:pPr>
      <w:r>
        <w:rPr>
          <w:rFonts w:hint="eastAsia" w:ascii="Times New Roman" w:hAnsi="Times New Roman"/>
          <w:b/>
          <w:bCs/>
          <w:lang w:val="en-US" w:eastAsia="zh-CN"/>
        </w:rPr>
        <w:t>在绿色发展理念与国家安全战略指引下，农安县正迎来将农业资源优势转化为全面振兴胜势的战略机遇。</w:t>
      </w:r>
      <w:r>
        <w:rPr>
          <w:rFonts w:hint="eastAsia" w:ascii="Times New Roman" w:hAnsi="Times New Roman"/>
          <w:lang w:val="en-US" w:eastAsia="zh-CN"/>
        </w:rPr>
        <w:t>全面建设社会主义现代化国家新征程所锚定的粮食安全底线与绿色发展高线高度契合农安的核心禀赋，农安不仅是“黑土粮仓”，更是践行“大食物观”、探索现代农业解决方案的“试验田”。依托坚实的产业基础和独特的生态条件，农安县有望在黑土地保护、绿色生产技术集成、粮经饲统筹等方面</w:t>
      </w:r>
      <w:r>
        <w:rPr>
          <w:rFonts w:hint="eastAsia"/>
          <w:lang w:val="en-US" w:eastAsia="zh-CN"/>
        </w:rPr>
        <w:t>探索出成熟发展模式</w:t>
      </w:r>
      <w:r>
        <w:rPr>
          <w:rFonts w:hint="eastAsia" w:ascii="Times New Roman" w:hAnsi="Times New Roman"/>
          <w:lang w:val="en-US" w:eastAsia="zh-CN"/>
        </w:rPr>
        <w:t>，为区域乃至国家层面的农业现代化与安全战略提供重要支撑，实现从“县域单元”到“战略支点”的能级跃升。</w:t>
      </w:r>
    </w:p>
    <w:p w14:paraId="150823FB">
      <w:pPr>
        <w:pStyle w:val="6"/>
        <w:rPr>
          <w:rFonts w:hint="eastAsia" w:ascii="Times New Roman" w:hAnsi="Times New Roman"/>
          <w:lang w:val="en-US" w:eastAsia="zh-CN"/>
        </w:rPr>
      </w:pPr>
      <w:r>
        <w:rPr>
          <w:rFonts w:hint="eastAsia" w:ascii="Times New Roman" w:hAnsi="Times New Roman"/>
          <w:b/>
          <w:bCs/>
          <w:lang w:val="en-US" w:eastAsia="zh-CN"/>
        </w:rPr>
        <w:t>东北全面振兴战略纵深推进，农安县处于将政策红利系统转化为高质量发展实效的关键攻坚期。</w:t>
      </w:r>
      <w:r>
        <w:rPr>
          <w:rFonts w:hint="eastAsia" w:ascii="Times New Roman" w:hAnsi="Times New Roman"/>
          <w:lang w:val="en-US" w:eastAsia="zh-CN"/>
        </w:rPr>
        <w:t>党中央高度重视东北振兴，将东北置于维护国家“五大安全”的战略核心。党的十八大以来，习近平总书记多次到东北考察，明确强调“推动东北全面振兴取得新突破”，为东北发展确立奋进坐标、指明方向。展望“十五五”，国家层面的政策、资金支持将更加密集，发展环境将持续优化，农安县正处于将顶层设计的政策红利系统转化为本地高质量发展成果的关键攻坚阶段。</w:t>
      </w:r>
    </w:p>
    <w:p w14:paraId="3E5C3A89">
      <w:pPr>
        <w:pStyle w:val="6"/>
        <w:rPr>
          <w:rFonts w:hint="eastAsia" w:ascii="Times New Roman" w:hAnsi="Times New Roman"/>
          <w:lang w:val="en-US" w:eastAsia="zh-CN"/>
        </w:rPr>
      </w:pPr>
      <w:r>
        <w:rPr>
          <w:rFonts w:hint="eastAsia" w:ascii="Times New Roman" w:hAnsi="Times New Roman"/>
          <w:b/>
          <w:bCs/>
          <w:lang w:val="en-US" w:eastAsia="zh-CN"/>
        </w:rPr>
        <w:t>长春现代化都市圈建设加速推进，为农安县将区域势能转化为发展动能开辟了广阔空间。</w:t>
      </w:r>
      <w:r>
        <w:rPr>
          <w:rFonts w:hint="eastAsia" w:ascii="Times New Roman" w:hAnsi="Times New Roman"/>
          <w:lang w:val="en-US" w:eastAsia="zh-CN"/>
        </w:rPr>
        <w:t>长春现代化都市圈于“十五五”期间的加速建设，其产业辐射、枢纽功能与公共服务能级将全面提升，对周边的辐射带动效应日益显著。农安县作为紧密毗邻的腹地，具备承接产业转移、实现基础设施无缝对接、推进公共服务同城共享的天然优势。</w:t>
      </w:r>
    </w:p>
    <w:p w14:paraId="6C47D0CA">
      <w:pPr>
        <w:pStyle w:val="6"/>
        <w:keepNext w:val="0"/>
        <w:keepLines w:val="0"/>
        <w:pageBreakBefore w:val="0"/>
        <w:widowControl w:val="0"/>
        <w:kinsoku/>
        <w:wordWrap/>
        <w:overflowPunct/>
        <w:topLinePunct w:val="0"/>
        <w:autoSpaceDE/>
        <w:autoSpaceDN/>
        <w:bidi w:val="0"/>
        <w:adjustRightInd/>
        <w:snapToGrid/>
        <w:textAlignment w:val="auto"/>
        <w:outlineLvl w:val="4"/>
        <w:rPr>
          <w:rFonts w:hint="eastAsia" w:ascii="Times New Roman" w:hAnsi="Times New Roman"/>
          <w:b/>
          <w:bCs/>
          <w:lang w:val="en-US" w:eastAsia="zh-CN"/>
        </w:rPr>
      </w:pPr>
      <w:r>
        <w:rPr>
          <w:rFonts w:hint="eastAsia"/>
          <w:b/>
          <w:bCs/>
          <w:lang w:val="en-US" w:eastAsia="zh-CN"/>
        </w:rPr>
        <w:t>二、</w:t>
      </w:r>
      <w:r>
        <w:rPr>
          <w:rFonts w:hint="eastAsia" w:ascii="Times New Roman" w:hAnsi="Times New Roman"/>
          <w:b/>
          <w:bCs/>
          <w:lang w:val="en-US" w:eastAsia="zh-CN"/>
        </w:rPr>
        <w:t>积极应对风险挑战</w:t>
      </w:r>
    </w:p>
    <w:p w14:paraId="280D4073">
      <w:pPr>
        <w:pStyle w:val="6"/>
        <w:rPr>
          <w:rFonts w:hint="eastAsia" w:ascii="Times New Roman" w:hAnsi="Times New Roman"/>
          <w:lang w:val="en-US" w:eastAsia="zh-CN"/>
        </w:rPr>
      </w:pPr>
      <w:r>
        <w:rPr>
          <w:rFonts w:hint="eastAsia" w:ascii="Times New Roman" w:hAnsi="Times New Roman"/>
          <w:b/>
          <w:bCs/>
          <w:lang w:val="en-US" w:eastAsia="zh-CN"/>
        </w:rPr>
        <w:t>宏观形势复杂多变，外部风险通过供应链、产业链深刻传导至县域层面。</w:t>
      </w:r>
      <w:r>
        <w:rPr>
          <w:rFonts w:hint="eastAsia" w:ascii="Times New Roman" w:hAnsi="Times New Roman"/>
          <w:lang w:val="en-US" w:eastAsia="zh-CN"/>
        </w:rPr>
        <w:t>当前，世界经济复苏态势疲软，发达经济体发展走势出现分化，新兴经济体与发展中国家发展困境重重。地缘政治格局中不稳定、不确定因素持续增多，大国博弈竞争日趋激烈，全球单边主义、保护主义抬头，提高关税、发起反倾销调查等投资贸易限制措施频发，导致全球投资贸易成本大幅攀升，市场效率显著降低。宏观外部风险不仅直接影响农安农产品出口，还将通过产业链、供应链传导，给农安经济发展带来不确定性挑战。</w:t>
      </w:r>
    </w:p>
    <w:p w14:paraId="27F2C55D">
      <w:pPr>
        <w:pStyle w:val="6"/>
        <w:rPr>
          <w:rFonts w:hint="eastAsia" w:ascii="Times New Roman" w:hAnsi="Times New Roman"/>
          <w:lang w:val="en-US" w:eastAsia="zh-CN"/>
        </w:rPr>
      </w:pPr>
      <w:r>
        <w:rPr>
          <w:rFonts w:hint="eastAsia" w:ascii="Times New Roman" w:hAnsi="Times New Roman"/>
          <w:b/>
          <w:bCs/>
          <w:lang w:val="en-US" w:eastAsia="zh-CN"/>
        </w:rPr>
        <w:t>中国式现代化改革进入深水区，系统性、集成式改革成为推动高质量发展的核心命题。</w:t>
      </w:r>
      <w:r>
        <w:rPr>
          <w:rFonts w:hint="eastAsia" w:ascii="Times New Roman" w:hAnsi="Times New Roman"/>
          <w:lang w:val="en-US" w:eastAsia="zh-CN"/>
        </w:rPr>
        <w:t>习近平总书记在党的二十届三中全会上强调，要以中国式现代化全面推进强国建设、民族复兴伟业，必须把改革摆在更加突出位置，并围绕系统集成、突出重点、注重实效，提出“七个聚焦”的改革路线图。当前，国资国企、财税、金融、土地等一系列重大基础性改革进入到以关键环节率先突破助力整体突围关键时期，构建更加完善的要素市场化配置体制机制成为培育和发展新质生产力的重要抓手。相比之下，农安县在重大基础性、关键性领域和环节缺少集成式、系统性改革谋划，还面临着需要迎难而上、先立后破的挑战。</w:t>
      </w:r>
    </w:p>
    <w:p w14:paraId="509C3F54">
      <w:pPr>
        <w:pStyle w:val="6"/>
        <w:rPr>
          <w:rFonts w:hint="eastAsia" w:ascii="Times New Roman" w:hAnsi="Times New Roman"/>
          <w:lang w:val="en-US" w:eastAsia="zh-CN"/>
        </w:rPr>
      </w:pPr>
      <w:r>
        <w:rPr>
          <w:rFonts w:hint="eastAsia" w:ascii="Times New Roman" w:hAnsi="Times New Roman"/>
          <w:b/>
          <w:bCs/>
          <w:lang w:val="en-US" w:eastAsia="zh-CN"/>
        </w:rPr>
        <w:t>绿色发展要求趋严与区域竞争白热化交织，使县域发展面临资源要素“双向挤压”的困境。</w:t>
      </w:r>
      <w:r>
        <w:rPr>
          <w:rFonts w:hint="eastAsia" w:ascii="Times New Roman" w:hAnsi="Times New Roman"/>
          <w:lang w:val="en-US" w:eastAsia="zh-CN"/>
        </w:rPr>
        <w:t>“十五五”时期，国家在碳达峰碳中和、污染防治、生态保护等领域提出更高标准和更严格要求。地方经济既要推动绿色发展、实现可持续发展目标，又要在发展中平衡生态保护与经济增长的关系。农安县作为东北地区的县城，在教育、医疗、养老等公共服务领域与发达地区差距显著，导致在吸引人才和产业投资方面竞争力不足。同时，周边区域产业同质化现象严重，在招商引资、产业发展以及人才集聚等方面，面临着激烈的竞争，县域发展空间受到挤压。</w:t>
      </w:r>
    </w:p>
    <w:p w14:paraId="089C54F7">
      <w:pPr>
        <w:pStyle w:val="5"/>
        <w:bidi w:val="0"/>
        <w:rPr>
          <w:rFonts w:hint="eastAsia" w:ascii="Times New Roman" w:hAnsi="Times New Roman" w:eastAsia="方正黑体_GBK"/>
          <w:lang w:eastAsia="zh-CN"/>
        </w:rPr>
      </w:pPr>
      <w:bookmarkStart w:id="19" w:name="_Toc26503"/>
      <w:bookmarkStart w:id="20" w:name="_Toc14648"/>
      <w:bookmarkStart w:id="21" w:name="_Toc26476"/>
      <w:bookmarkStart w:id="22" w:name="_Toc31641"/>
      <w:r>
        <w:rPr>
          <w:rFonts w:hint="eastAsia" w:ascii="Times New Roman" w:hAnsi="Times New Roman"/>
        </w:rPr>
        <w:t>第二章 指导思想和</w:t>
      </w:r>
      <w:r>
        <w:rPr>
          <w:rFonts w:hint="eastAsia" w:ascii="Times New Roman" w:hAnsi="Times New Roman"/>
          <w:lang w:val="en-US" w:eastAsia="zh-CN"/>
        </w:rPr>
        <w:t>基本原则</w:t>
      </w:r>
      <w:bookmarkEnd w:id="19"/>
      <w:bookmarkEnd w:id="20"/>
      <w:bookmarkEnd w:id="21"/>
      <w:bookmarkEnd w:id="22"/>
    </w:p>
    <w:p w14:paraId="0BDB2FB0">
      <w:pPr>
        <w:pStyle w:val="7"/>
        <w:bidi w:val="0"/>
        <w:rPr>
          <w:rFonts w:hint="eastAsia" w:ascii="Times New Roman" w:hAnsi="Times New Roman"/>
          <w:b/>
          <w:lang w:val="en-US" w:eastAsia="zh-CN"/>
        </w:rPr>
      </w:pPr>
      <w:bookmarkStart w:id="23" w:name="_Toc23730"/>
      <w:bookmarkStart w:id="24" w:name="_Toc10022"/>
      <w:bookmarkStart w:id="25" w:name="_Toc5758"/>
      <w:r>
        <w:rPr>
          <w:rFonts w:hint="eastAsia" w:ascii="Times New Roman" w:hAnsi="Times New Roman"/>
          <w:b/>
          <w:lang w:val="en-US" w:eastAsia="zh-CN"/>
        </w:rPr>
        <w:t>第一节  指导思想</w:t>
      </w:r>
      <w:bookmarkEnd w:id="23"/>
      <w:bookmarkEnd w:id="24"/>
      <w:bookmarkEnd w:id="25"/>
    </w:p>
    <w:p w14:paraId="03965AAC">
      <w:pPr>
        <w:rPr>
          <w:rFonts w:hint="eastAsia" w:ascii="Times New Roman" w:hAnsi="Times New Roman"/>
          <w:lang w:val="en-US" w:eastAsia="zh-CN"/>
        </w:rPr>
      </w:pPr>
      <w:r>
        <w:rPr>
          <w:rFonts w:hint="eastAsia" w:ascii="Times New Roman" w:hAnsi="Times New Roman"/>
          <w:color w:val="000000" w:themeColor="text1"/>
          <w:lang w:val="en-US" w:eastAsia="zh-CN"/>
          <w14:textFill>
            <w14:solidFill>
              <w14:schemeClr w14:val="tx1"/>
            </w14:solidFill>
          </w14:textFill>
        </w:rPr>
        <w:t>坚持马克思列宁主义、毛泽东思想、邓小平理论、“三个代表”重要思想、科学发展观，全面贯彻习近平新时代中国特色社会主义思想，深入贯彻党的二十大和二十届历次全会精神，认真落实四中全会部署，不折不扣落实习近平总书记关于东北全面振兴和吉林工作系列重要指示精神，围绕全面建成社会主义现代化强国、实现第二个百年奋斗目标，统筹推进“五位一体”总体布局，协调推进“四个全面”战略布局，完整</w:t>
      </w:r>
      <w:r>
        <w:rPr>
          <w:rFonts w:hint="eastAsia" w:ascii="Times New Roman" w:hAnsi="Times New Roman"/>
          <w:lang w:val="en-US" w:eastAsia="zh-CN"/>
        </w:rPr>
        <w:t>准确全面贯彻新发展理念，积极服务和融入新发展格局，坚持稳中求进工作总基调，坚持以经济建设为中心，以推动高质量发展为主题，以改革创新为根本动力，以满足人民日益增长的美好生活需要为根本目的，以全面从严治党为根本保障，积极融入长春现代化都市圈建设，着力提升粮食和绿色产品供给能力，加快建设现代化工业产业体系，全面推进治理体系和治理能力现代化，不断增进民生福祉，奋力推动农安在东北全面振兴中实现高质量发展新跨越，为全面建设社会主义现代化新长春贡献农安力量。</w:t>
      </w:r>
    </w:p>
    <w:p w14:paraId="6BF2F3A6">
      <w:pPr>
        <w:pStyle w:val="7"/>
        <w:bidi w:val="0"/>
        <w:rPr>
          <w:rFonts w:hint="eastAsia" w:ascii="Times New Roman" w:hAnsi="Times New Roman"/>
          <w:b/>
          <w:lang w:val="en-US" w:eastAsia="zh-CN"/>
        </w:rPr>
      </w:pPr>
      <w:bookmarkStart w:id="26" w:name="_Toc12648"/>
      <w:bookmarkStart w:id="27" w:name="_Toc14808"/>
      <w:bookmarkStart w:id="28" w:name="_Toc3990"/>
      <w:r>
        <w:rPr>
          <w:rFonts w:hint="eastAsia" w:ascii="Times New Roman" w:hAnsi="Times New Roman"/>
          <w:b/>
          <w:lang w:val="en-US" w:eastAsia="zh-CN"/>
        </w:rPr>
        <w:t>第二节  基本原则</w:t>
      </w:r>
      <w:bookmarkEnd w:id="26"/>
      <w:bookmarkEnd w:id="27"/>
      <w:bookmarkEnd w:id="28"/>
    </w:p>
    <w:p w14:paraId="635758FD">
      <w:pPr>
        <w:rPr>
          <w:rFonts w:hint="eastAsia" w:ascii="Times New Roman" w:hAnsi="Times New Roman"/>
          <w:lang w:val="en-US" w:eastAsia="zh-CN"/>
        </w:rPr>
      </w:pPr>
      <w:r>
        <w:rPr>
          <w:rFonts w:hint="eastAsia" w:ascii="Times New Roman" w:hAnsi="Times New Roman"/>
          <w:b/>
          <w:bCs/>
          <w:lang w:val="en-US" w:eastAsia="zh-CN"/>
        </w:rPr>
        <w:t>——坚持党的全面领导。</w:t>
      </w:r>
      <w:r>
        <w:rPr>
          <w:rFonts w:hint="eastAsia" w:ascii="Times New Roman" w:hAnsi="Times New Roman"/>
          <w:lang w:val="en-US" w:eastAsia="zh-CN"/>
        </w:rPr>
        <w:t>始终</w:t>
      </w:r>
      <w:r>
        <w:rPr>
          <w:rFonts w:hint="eastAsia"/>
          <w:lang w:val="en-US" w:eastAsia="zh-CN"/>
        </w:rPr>
        <w:t>增强“四个意识”、坚定“四个自信”、做到“两个维护”</w:t>
      </w:r>
      <w:r>
        <w:rPr>
          <w:rFonts w:hint="eastAsia" w:ascii="Times New Roman" w:hAnsi="Times New Roman"/>
          <w:lang w:val="en-US" w:eastAsia="zh-CN"/>
        </w:rPr>
        <w:t>，坚持和完善党领导经济社会发展的体制机制，提高党把方向、谋大局、定政策、促改革的能力和定力，不断提高贯彻新发展理念、构建新发展格局的能力和水平，加快把党的政治优势、制度优势转化为发展优势、治理优势。</w:t>
      </w:r>
    </w:p>
    <w:p w14:paraId="49D56A0C">
      <w:pPr>
        <w:rPr>
          <w:rFonts w:hint="eastAsia" w:ascii="Times New Roman" w:hAnsi="Times New Roman"/>
          <w:lang w:val="en-US" w:eastAsia="zh-CN"/>
        </w:rPr>
      </w:pPr>
      <w:r>
        <w:rPr>
          <w:rFonts w:hint="eastAsia" w:ascii="Times New Roman" w:hAnsi="Times New Roman"/>
          <w:b/>
          <w:bCs/>
          <w:lang w:val="en-US" w:eastAsia="zh-CN"/>
        </w:rPr>
        <w:t>——坚持以人民为中心。</w:t>
      </w:r>
      <w:r>
        <w:rPr>
          <w:rFonts w:hint="eastAsia" w:ascii="Times New Roman" w:hAnsi="Times New Roman"/>
          <w:lang w:val="en-US" w:eastAsia="zh-CN"/>
        </w:rPr>
        <w:t>始终坚持人民主体地位，锚定共同富裕方向，践行“发展为了人民、发展依靠人民、发展成果由人民共享”理念，把人民对美好生活的向往作为奋斗目标。持续加大民生领域投入力度，提升公共服务均等化、优质化水平，不断增进民生福祉，促进人的全面发展、全体人民共同富裕取得更为明显的实质性进展。</w:t>
      </w:r>
    </w:p>
    <w:p w14:paraId="28657945">
      <w:pPr>
        <w:rPr>
          <w:rFonts w:hint="eastAsia" w:ascii="Times New Roman" w:hAnsi="Times New Roman"/>
          <w:lang w:val="en-US" w:eastAsia="zh-CN"/>
        </w:rPr>
      </w:pPr>
      <w:r>
        <w:rPr>
          <w:rFonts w:hint="eastAsia" w:ascii="Times New Roman" w:hAnsi="Times New Roman"/>
          <w:b/>
          <w:bCs/>
          <w:lang w:val="en-US" w:eastAsia="zh-CN"/>
        </w:rPr>
        <w:t>——坚持高质量发展。</w:t>
      </w:r>
      <w:r>
        <w:rPr>
          <w:rFonts w:hint="eastAsia" w:ascii="Times New Roman" w:hAnsi="Times New Roman"/>
          <w:lang w:val="en-US" w:eastAsia="zh-CN"/>
        </w:rPr>
        <w:t>始终把发展作为第一要务，坚定把</w:t>
      </w:r>
      <w:r>
        <w:rPr>
          <w:rFonts w:hint="eastAsia"/>
          <w:lang w:val="en-US" w:eastAsia="zh-CN"/>
        </w:rPr>
        <w:t>新发展</w:t>
      </w:r>
      <w:r>
        <w:rPr>
          <w:rFonts w:hint="eastAsia" w:ascii="Times New Roman" w:hAnsi="Times New Roman"/>
          <w:lang w:val="en-US" w:eastAsia="zh-CN"/>
        </w:rPr>
        <w:t>理念贯穿发展全过程和各领域，切实转变发展方式，因地制宜发展新质生产力，推动质量变革、效率变革、动力变革，提高全要素生产率，引领农安县经济社会实现更高质量、更有效率、更加公平、更可持续、更为安全的发展。</w:t>
      </w:r>
    </w:p>
    <w:p w14:paraId="03DD9F34">
      <w:pPr>
        <w:rPr>
          <w:rFonts w:hint="eastAsia" w:ascii="Times New Roman" w:hAnsi="Times New Roman"/>
          <w:lang w:val="en-US" w:eastAsia="zh-CN"/>
        </w:rPr>
      </w:pPr>
      <w:r>
        <w:rPr>
          <w:rFonts w:hint="eastAsia" w:ascii="Times New Roman" w:hAnsi="Times New Roman"/>
          <w:b/>
          <w:bCs/>
          <w:lang w:val="en-US" w:eastAsia="zh-CN"/>
        </w:rPr>
        <w:t>——坚持全面深化改革。</w:t>
      </w:r>
      <w:r>
        <w:rPr>
          <w:rFonts w:hint="eastAsia" w:ascii="Times New Roman" w:hAnsi="Times New Roman"/>
          <w:lang w:val="en-US" w:eastAsia="zh-CN"/>
        </w:rPr>
        <w:t>瞄准制约构建新发展格局、推动高质量发展的堵点卡点和民生领域的难点痛点问题，推进深层次改革，扩大高水平开放，全力推动</w:t>
      </w:r>
      <w:r>
        <w:rPr>
          <w:rFonts w:hint="eastAsia"/>
          <w:lang w:val="en-US" w:eastAsia="zh-CN"/>
        </w:rPr>
        <w:t>各项</w:t>
      </w:r>
      <w:r>
        <w:rPr>
          <w:rFonts w:hint="eastAsia" w:ascii="Times New Roman" w:hAnsi="Times New Roman"/>
          <w:lang w:val="en-US" w:eastAsia="zh-CN"/>
        </w:rPr>
        <w:t>改革举措落地见效，持续增强发展动力和社会活力。</w:t>
      </w:r>
    </w:p>
    <w:p w14:paraId="3AD15ECC">
      <w:pPr>
        <w:rPr>
          <w:rFonts w:hint="eastAsia" w:ascii="Times New Roman" w:hAnsi="Times New Roman"/>
          <w:lang w:val="en-US" w:eastAsia="zh-CN"/>
        </w:rPr>
      </w:pPr>
      <w:r>
        <w:rPr>
          <w:rFonts w:hint="eastAsia" w:ascii="Times New Roman" w:hAnsi="Times New Roman"/>
          <w:b/>
          <w:bCs/>
          <w:lang w:val="en-US" w:eastAsia="zh-CN"/>
        </w:rPr>
        <w:t>——坚持有效市场和有为政府相结合。</w:t>
      </w:r>
      <w:r>
        <w:rPr>
          <w:rFonts w:hint="eastAsia" w:ascii="Times New Roman" w:hAnsi="Times New Roman"/>
          <w:lang w:val="en-US" w:eastAsia="zh-CN"/>
        </w:rPr>
        <w:t>充分发挥市场在资源配置中的决定性作用，更好发挥政府作用，主动融入和服务全国统一大市场建设，建设法治经济、信用经济，打造</w:t>
      </w:r>
      <w:r>
        <w:rPr>
          <w:rFonts w:hint="eastAsia"/>
          <w:lang w:val="en-US" w:eastAsia="zh-CN"/>
        </w:rPr>
        <w:t>市场化、法治化、国际化</w:t>
      </w:r>
      <w:r>
        <w:rPr>
          <w:rFonts w:hint="eastAsia" w:ascii="Times New Roman" w:hAnsi="Times New Roman"/>
          <w:lang w:val="en-US" w:eastAsia="zh-CN"/>
        </w:rPr>
        <w:t>一流营商环境，形成既“放得活”又“管得好”的经济秩序。</w:t>
      </w:r>
    </w:p>
    <w:p w14:paraId="0EF3A3AB">
      <w:pPr>
        <w:rPr>
          <w:rFonts w:hint="eastAsia" w:ascii="Times New Roman" w:hAnsi="Times New Roman"/>
          <w:lang w:val="en-US" w:eastAsia="zh-CN"/>
        </w:rPr>
      </w:pPr>
      <w:r>
        <w:rPr>
          <w:rFonts w:hint="eastAsia" w:ascii="Times New Roman" w:hAnsi="Times New Roman"/>
          <w:b/>
          <w:bCs/>
          <w:lang w:val="en-US" w:eastAsia="zh-CN"/>
        </w:rPr>
        <w:t>——坚持统筹发展和安全。</w:t>
      </w:r>
      <w:r>
        <w:rPr>
          <w:rFonts w:hint="eastAsia" w:ascii="Times New Roman" w:hAnsi="Times New Roman"/>
          <w:lang w:val="en-US" w:eastAsia="zh-CN"/>
        </w:rPr>
        <w:t>在发展中固安全，在安全中谋发展，强化底线思维、极限思维，守牢安全底线、生态红线、耕地红线、地方政府债务警戒线和统计数据质量线，有效防范化解各类风险，增强经济和社会韧性，以高效能治理促进高质量发展和高水平安全良性互动。</w:t>
      </w:r>
    </w:p>
    <w:p w14:paraId="5BE4C3EA">
      <w:pPr>
        <w:pStyle w:val="5"/>
        <w:bidi w:val="0"/>
        <w:rPr>
          <w:rFonts w:hint="eastAsia" w:ascii="Times New Roman" w:hAnsi="Times New Roman"/>
        </w:rPr>
      </w:pPr>
      <w:bookmarkStart w:id="29" w:name="_Toc30069"/>
      <w:bookmarkStart w:id="30" w:name="_Toc3536"/>
      <w:bookmarkStart w:id="31" w:name="_Toc8448"/>
      <w:bookmarkStart w:id="32" w:name="_Toc6579"/>
      <w:r>
        <w:rPr>
          <w:rFonts w:hint="eastAsia" w:ascii="Times New Roman" w:hAnsi="Times New Roman"/>
        </w:rPr>
        <w:t xml:space="preserve">第三章 </w:t>
      </w:r>
      <w:r>
        <w:rPr>
          <w:rFonts w:hint="eastAsia" w:ascii="Times New Roman" w:hAnsi="Times New Roman"/>
          <w:lang w:val="en-US" w:eastAsia="zh-CN"/>
        </w:rPr>
        <w:t>发展目标和</w:t>
      </w:r>
      <w:r>
        <w:rPr>
          <w:rFonts w:hint="eastAsia" w:ascii="Times New Roman" w:hAnsi="Times New Roman"/>
        </w:rPr>
        <w:t>空间布局</w:t>
      </w:r>
      <w:bookmarkEnd w:id="29"/>
      <w:bookmarkEnd w:id="30"/>
      <w:bookmarkEnd w:id="31"/>
      <w:bookmarkEnd w:id="32"/>
    </w:p>
    <w:p w14:paraId="3CFDE928">
      <w:pPr>
        <w:pStyle w:val="7"/>
        <w:bidi w:val="0"/>
        <w:rPr>
          <w:rFonts w:hint="eastAsia" w:ascii="Times New Roman" w:hAnsi="Times New Roman"/>
          <w:b/>
          <w:lang w:val="en-US" w:eastAsia="zh-CN"/>
        </w:rPr>
      </w:pPr>
      <w:bookmarkStart w:id="33" w:name="_Toc9268"/>
      <w:bookmarkStart w:id="34" w:name="_Toc569"/>
      <w:bookmarkStart w:id="35" w:name="_Toc3083"/>
      <w:r>
        <w:rPr>
          <w:rFonts w:hint="eastAsia" w:ascii="Times New Roman" w:hAnsi="Times New Roman"/>
          <w:b/>
          <w:lang w:val="en-US" w:eastAsia="zh-CN"/>
        </w:rPr>
        <w:t>第一节  发展定位</w:t>
      </w:r>
      <w:bookmarkEnd w:id="33"/>
      <w:bookmarkEnd w:id="34"/>
      <w:bookmarkEnd w:id="35"/>
    </w:p>
    <w:p w14:paraId="7927D50E">
      <w:pPr>
        <w:rPr>
          <w:rFonts w:hint="eastAsia" w:ascii="Times New Roman" w:hAnsi="Times New Roman"/>
          <w:lang w:val="en-US" w:eastAsia="zh-CN"/>
        </w:rPr>
      </w:pPr>
      <w:r>
        <w:rPr>
          <w:rFonts w:hint="eastAsia" w:ascii="Times New Roman" w:hAnsi="Times New Roman"/>
          <w:b/>
          <w:bCs/>
          <w:lang w:val="en-US" w:eastAsia="zh-CN"/>
        </w:rPr>
        <w:t>总体定位：吉林省县域经济高质量发展</w:t>
      </w:r>
      <w:r>
        <w:rPr>
          <w:rFonts w:hint="eastAsia"/>
          <w:b/>
          <w:bCs/>
          <w:highlight w:val="none"/>
          <w:lang w:val="en-US" w:eastAsia="zh-CN"/>
        </w:rPr>
        <w:t>新典范</w:t>
      </w:r>
      <w:r>
        <w:rPr>
          <w:rFonts w:hint="eastAsia" w:ascii="Times New Roman" w:hAnsi="Times New Roman"/>
          <w:b/>
          <w:bCs/>
          <w:lang w:val="en-US" w:eastAsia="zh-CN"/>
        </w:rPr>
        <w:t>。</w:t>
      </w:r>
      <w:r>
        <w:rPr>
          <w:rFonts w:hint="eastAsia" w:ascii="Times New Roman" w:hAnsi="Times New Roman"/>
          <w:lang w:val="en-US" w:eastAsia="zh-CN"/>
        </w:rPr>
        <w:t>将高质量发展要求贯穿于农安县经济社会发展各领域全过程，纵深推进“五五战略”与“五个农安”建设，围绕全力提升农安经济实力、城乡综合承载力、强县富民内生动力、乡村善治综合保障力等，探索形成系统性、引领性的“农安模式”，为吉林省县域经济高质量发展提供可复制、可推广的先进经验，努力成为吉林省县域发展的标杆和样板。</w:t>
      </w:r>
    </w:p>
    <w:p w14:paraId="1B83C96A">
      <w:pPr>
        <w:rPr>
          <w:rFonts w:hint="default" w:ascii="Times New Roman" w:hAnsi="Times New Roman"/>
          <w:b/>
          <w:bCs/>
          <w:lang w:val="en-US" w:eastAsia="zh-CN"/>
        </w:rPr>
      </w:pPr>
      <w:r>
        <w:rPr>
          <w:rFonts w:hint="eastAsia" w:ascii="Times New Roman" w:hAnsi="Times New Roman"/>
          <w:b/>
          <w:bCs/>
          <w:lang w:val="en-US" w:eastAsia="zh-CN"/>
        </w:rPr>
        <w:t>四大支撑定位：</w:t>
      </w:r>
    </w:p>
    <w:p w14:paraId="0E3B6DDA">
      <w:pPr>
        <w:rPr>
          <w:rFonts w:hint="eastAsia" w:ascii="Times New Roman" w:hAnsi="Times New Roman"/>
          <w:lang w:val="en-US" w:eastAsia="zh-CN"/>
        </w:rPr>
      </w:pPr>
      <w:r>
        <w:rPr>
          <w:rFonts w:hint="eastAsia" w:ascii="Times New Roman" w:hAnsi="Times New Roman"/>
          <w:b/>
          <w:bCs/>
          <w:lang w:val="en-US" w:eastAsia="zh-CN"/>
        </w:rPr>
        <w:t>国家粮食安全与绿色农产品供给保障地。</w:t>
      </w:r>
      <w:r>
        <w:rPr>
          <w:rFonts w:hint="eastAsia" w:ascii="Times New Roman" w:hAnsi="Times New Roman"/>
          <w:lang w:val="en-US" w:eastAsia="zh-CN"/>
        </w:rPr>
        <w:t>锚定国家粮食安全战略，落实吉林省“千亿斤粮食”产能任务，以农安县高标准农田建设、黑土保护工程为核心抓手，稳定百亿斤级粮食产能，筑牢东北粮食安全县域支点；围绕“三辣”、肉牛、鲜食玉米等特色农畜产品，推动产业链延伸与品质升级，构建“生产－加工－储备－流通”全链条供给体系，打造国家重要的商品粮生产核心区和重要农产品供给保障基地。</w:t>
      </w:r>
    </w:p>
    <w:p w14:paraId="082647CB">
      <w:pPr>
        <w:rPr>
          <w:rFonts w:hint="eastAsia" w:ascii="Times New Roman" w:hAnsi="Times New Roman"/>
          <w:lang w:val="en-US" w:eastAsia="zh-CN"/>
        </w:rPr>
      </w:pPr>
      <w:r>
        <w:rPr>
          <w:rFonts w:hint="eastAsia" w:ascii="Times New Roman" w:hAnsi="Times New Roman"/>
          <w:b/>
          <w:bCs/>
          <w:lang w:val="en-US" w:eastAsia="zh-CN"/>
        </w:rPr>
        <w:t>长春都市圈产业协同发展重要承载地。</w:t>
      </w:r>
      <w:r>
        <w:rPr>
          <w:rFonts w:hint="eastAsia" w:ascii="Times New Roman" w:hAnsi="Times New Roman"/>
          <w:lang w:val="en-US" w:eastAsia="zh-CN"/>
        </w:rPr>
        <w:t>依托区位优势，以重点园区为协同载体，主动承接长春主城区产业外溢与功能辐射，聚焦智能装备制造、新能源、新材料等新兴领域培育新质生产力，聚焦特色农畜产品精深加工打造都市圈优质农产品加工基地，主动承接长春主城区医药健康等产业外溢，发展配套产业集群，打造具有区域竞争力的现代产业集群，成为长春都市圈产业协同的重要承载区。</w:t>
      </w:r>
    </w:p>
    <w:p w14:paraId="4F2AB27D">
      <w:pPr>
        <w:rPr>
          <w:rFonts w:hint="eastAsia" w:ascii="Times New Roman" w:hAnsi="Times New Roman"/>
          <w:lang w:val="en-US" w:eastAsia="zh-CN"/>
        </w:rPr>
      </w:pPr>
      <w:r>
        <w:rPr>
          <w:rFonts w:hint="eastAsia" w:ascii="Times New Roman" w:hAnsi="Times New Roman"/>
          <w:b/>
          <w:bCs/>
          <w:lang w:val="en-US" w:eastAsia="zh-CN"/>
        </w:rPr>
        <w:t>吉林省生态与文化旅游目的地。</w:t>
      </w:r>
      <w:r>
        <w:rPr>
          <w:rFonts w:hint="eastAsia" w:ascii="Times New Roman" w:hAnsi="Times New Roman"/>
          <w:lang w:val="en-US" w:eastAsia="zh-CN"/>
        </w:rPr>
        <w:t>以“黄龙府”</w:t>
      </w:r>
      <w:r>
        <w:rPr>
          <w:rFonts w:hint="eastAsia"/>
          <w:lang w:val="en-US" w:eastAsia="zh-CN"/>
        </w:rPr>
        <w:t>历史</w:t>
      </w:r>
      <w:r>
        <w:rPr>
          <w:rFonts w:hint="eastAsia" w:ascii="Times New Roman" w:hAnsi="Times New Roman"/>
          <w:lang w:val="en-US" w:eastAsia="zh-CN"/>
        </w:rPr>
        <w:t>文化与生态资源为核心，</w:t>
      </w:r>
      <w:r>
        <w:rPr>
          <w:rFonts w:hint="eastAsia" w:ascii="Times New Roman" w:hAnsi="Times New Roman"/>
          <w:b w:val="0"/>
          <w:bCs w:val="0"/>
          <w:lang w:val="en-US" w:eastAsia="zh-CN"/>
        </w:rPr>
        <w:t>将文化基因融入“历史文博、生态度假、农业休闲、红色研学”四大主题，完善文化旅游基础设施，丰富文化旅游产品供给，提升文化旅游服务质量，</w:t>
      </w:r>
      <w:r>
        <w:rPr>
          <w:rFonts w:hint="eastAsia" w:ascii="Times New Roman" w:hAnsi="Times New Roman"/>
          <w:lang w:val="en-US" w:eastAsia="zh-CN"/>
        </w:rPr>
        <w:t>强化与长春都市圈旅游市场联动，</w:t>
      </w:r>
      <w:r>
        <w:rPr>
          <w:rFonts w:hint="eastAsia"/>
          <w:lang w:val="en-US" w:eastAsia="zh-CN"/>
        </w:rPr>
        <w:t>打造</w:t>
      </w:r>
      <w:r>
        <w:rPr>
          <w:rFonts w:hint="eastAsia" w:ascii="Times New Roman" w:hAnsi="Times New Roman"/>
          <w:lang w:val="en-US" w:eastAsia="zh-CN"/>
        </w:rPr>
        <w:t>具有</w:t>
      </w:r>
      <w:r>
        <w:rPr>
          <w:rFonts w:hint="eastAsia"/>
          <w:lang w:val="en-US" w:eastAsia="zh-CN"/>
        </w:rPr>
        <w:t>较强</w:t>
      </w:r>
      <w:r>
        <w:rPr>
          <w:rFonts w:hint="eastAsia" w:ascii="Times New Roman" w:hAnsi="Times New Roman"/>
          <w:lang w:val="en-US" w:eastAsia="zh-CN"/>
        </w:rPr>
        <w:t>吸引力和</w:t>
      </w:r>
      <w:r>
        <w:rPr>
          <w:rFonts w:hint="eastAsia"/>
          <w:lang w:val="en-US" w:eastAsia="zh-CN"/>
        </w:rPr>
        <w:t>较大</w:t>
      </w:r>
      <w:r>
        <w:rPr>
          <w:rFonts w:hint="eastAsia" w:ascii="Times New Roman" w:hAnsi="Times New Roman"/>
          <w:lang w:val="en-US" w:eastAsia="zh-CN"/>
        </w:rPr>
        <w:t>影响力的知名旅游目的地。</w:t>
      </w:r>
    </w:p>
    <w:p w14:paraId="34CB4AD1">
      <w:pPr>
        <w:pStyle w:val="6"/>
        <w:rPr>
          <w:rFonts w:hint="eastAsia" w:ascii="Times New Roman" w:hAnsi="Times New Roman"/>
          <w:lang w:val="en-US" w:eastAsia="zh-CN"/>
        </w:rPr>
      </w:pPr>
      <w:r>
        <w:rPr>
          <w:rFonts w:hint="eastAsia" w:ascii="Times New Roman" w:hAnsi="Times New Roman"/>
          <w:b/>
          <w:bCs/>
          <w:lang w:val="en-US" w:eastAsia="zh-CN"/>
        </w:rPr>
        <w:t>吉林省城乡融合发展宜居县。</w:t>
      </w:r>
      <w:r>
        <w:rPr>
          <w:rFonts w:hint="eastAsia" w:ascii="Times New Roman" w:hAnsi="Times New Roman"/>
          <w:lang w:val="en-US" w:eastAsia="zh-CN"/>
        </w:rPr>
        <w:t>破除城乡二元结构，推动城乡要素平等交换、双向流动和公共资源均衡配置，建设基础设施完善、公共服务优质、生态环境优美、治理高效有序、居民幸福感强的全省城乡融合发展典范县。</w:t>
      </w:r>
    </w:p>
    <w:p w14:paraId="13A3356F">
      <w:pPr>
        <w:pStyle w:val="7"/>
        <w:bidi w:val="0"/>
        <w:rPr>
          <w:rFonts w:hint="eastAsia" w:ascii="Times New Roman" w:hAnsi="Times New Roman"/>
          <w:b/>
          <w:lang w:val="en-US" w:eastAsia="zh-CN"/>
        </w:rPr>
      </w:pPr>
      <w:bookmarkStart w:id="36" w:name="_Toc31923"/>
      <w:bookmarkStart w:id="37" w:name="_Toc9825"/>
      <w:bookmarkStart w:id="38" w:name="_Toc18115"/>
      <w:r>
        <w:rPr>
          <w:rFonts w:hint="eastAsia" w:ascii="Times New Roman" w:hAnsi="Times New Roman"/>
          <w:b/>
          <w:lang w:val="en-US" w:eastAsia="zh-CN"/>
        </w:rPr>
        <w:t>第二节  发展目标</w:t>
      </w:r>
      <w:bookmarkEnd w:id="36"/>
      <w:bookmarkEnd w:id="37"/>
      <w:bookmarkEnd w:id="38"/>
    </w:p>
    <w:p w14:paraId="2C2AD865">
      <w:pPr>
        <w:rPr>
          <w:rFonts w:hint="eastAsia" w:ascii="Times New Roman" w:hAnsi="Times New Roman"/>
          <w:lang w:val="en-US" w:eastAsia="zh-CN"/>
        </w:rPr>
      </w:pPr>
      <w:r>
        <w:rPr>
          <w:rFonts w:hint="eastAsia" w:ascii="Times New Roman" w:hAnsi="Times New Roman"/>
          <w:lang w:val="en-US" w:eastAsia="zh-CN"/>
        </w:rPr>
        <w:t>站在新的历史起点，农安县紧扣高质量发展主题，贯彻落实国家重大战略任务取得显著成果，立足县域资源禀赋与发展基础，以“稳中求进、创新突破”为主基调，聚焦经济、产业、创新、城乡、生态、民生、治理七大领域，全力推动经济社会全面进步，奋力谱写中国式现代化农安新篇章。</w:t>
      </w:r>
    </w:p>
    <w:p w14:paraId="393217D8">
      <w:pPr>
        <w:rPr>
          <w:rFonts w:hint="eastAsia" w:ascii="Times New Roman" w:hAnsi="Times New Roman"/>
          <w:lang w:val="en-US" w:eastAsia="zh-CN"/>
        </w:rPr>
      </w:pPr>
      <w:r>
        <w:rPr>
          <w:rFonts w:hint="eastAsia" w:ascii="Times New Roman" w:hAnsi="Times New Roman"/>
          <w:b/>
          <w:bCs/>
          <w:lang w:val="en-US" w:eastAsia="zh-CN"/>
        </w:rPr>
        <w:t>——综合实力</w:t>
      </w:r>
      <w:r>
        <w:rPr>
          <w:rFonts w:hint="eastAsia"/>
          <w:b/>
          <w:bCs/>
          <w:lang w:val="en-US" w:eastAsia="zh-CN"/>
        </w:rPr>
        <w:t>迈上新台阶</w:t>
      </w:r>
      <w:r>
        <w:rPr>
          <w:rFonts w:hint="eastAsia" w:ascii="Times New Roman" w:hAnsi="Times New Roman"/>
          <w:b/>
          <w:bCs/>
          <w:lang w:val="en-US" w:eastAsia="zh-CN"/>
        </w:rPr>
        <w:t>。</w:t>
      </w:r>
      <w:r>
        <w:rPr>
          <w:rFonts w:hint="eastAsia" w:ascii="Times New Roman" w:hAnsi="Times New Roman"/>
          <w:lang w:val="en-US" w:eastAsia="zh-CN"/>
        </w:rPr>
        <w:t>锚定高质量发展主线，推动经济稳增长，力争GDP年均增速</w:t>
      </w:r>
      <w:r>
        <w:rPr>
          <w:rFonts w:hint="eastAsia"/>
          <w:lang w:val="en-US" w:eastAsia="zh-CN"/>
        </w:rPr>
        <w:t>达到5</w:t>
      </w:r>
      <w:r>
        <w:rPr>
          <w:rFonts w:hint="eastAsia" w:ascii="Times New Roman" w:hAnsi="Times New Roman"/>
          <w:lang w:val="en-US" w:eastAsia="zh-CN"/>
        </w:rPr>
        <w:t>%左右。持续夯实产业根基，提升经济发展质量与效益，构建更具竞争力的区域经济格局。充分发挥投资与消费双轮驱动效能，力争固定资产投资、社会消费品零售总额年均</w:t>
      </w:r>
      <w:r>
        <w:rPr>
          <w:rFonts w:hint="eastAsia"/>
          <w:lang w:val="en-US" w:eastAsia="zh-CN"/>
        </w:rPr>
        <w:t>增速不低于全市平均水平</w:t>
      </w:r>
      <w:r>
        <w:rPr>
          <w:rFonts w:hint="eastAsia" w:ascii="Times New Roman" w:hAnsi="Times New Roman"/>
          <w:lang w:val="en-US" w:eastAsia="zh-CN"/>
        </w:rPr>
        <w:t>。</w:t>
      </w:r>
    </w:p>
    <w:p w14:paraId="46E38581">
      <w:pPr>
        <w:rPr>
          <w:rFonts w:hint="eastAsia" w:ascii="Times New Roman" w:hAnsi="Times New Roman"/>
          <w:lang w:val="en-US" w:eastAsia="zh-CN"/>
        </w:rPr>
      </w:pPr>
      <w:r>
        <w:rPr>
          <w:rFonts w:hint="eastAsia" w:ascii="Times New Roman" w:hAnsi="Times New Roman"/>
          <w:b/>
          <w:bCs/>
          <w:lang w:val="en-US" w:eastAsia="zh-CN"/>
        </w:rPr>
        <w:t>——产业结构</w:t>
      </w:r>
      <w:r>
        <w:rPr>
          <w:rFonts w:hint="eastAsia"/>
          <w:b/>
          <w:bCs/>
          <w:lang w:val="en-US" w:eastAsia="zh-CN"/>
        </w:rPr>
        <w:t>形成</w:t>
      </w:r>
      <w:r>
        <w:rPr>
          <w:rFonts w:hint="eastAsia" w:ascii="Times New Roman" w:hAnsi="Times New Roman"/>
          <w:b/>
          <w:bCs/>
          <w:lang w:val="en-US" w:eastAsia="zh-CN"/>
        </w:rPr>
        <w:t>新格局。</w:t>
      </w:r>
      <w:r>
        <w:rPr>
          <w:rFonts w:hint="default"/>
          <w:lang w:val="en-US" w:eastAsia="zh-CN"/>
        </w:rPr>
        <w:t>现代化产业体系基本建立，</w:t>
      </w:r>
      <w:r>
        <w:rPr>
          <w:rFonts w:hint="eastAsia" w:ascii="Times New Roman" w:hAnsi="Times New Roman"/>
          <w:lang w:val="en-US" w:eastAsia="zh-CN"/>
        </w:rPr>
        <w:t>主导产业规模与效益实现双提升，新兴产业占比大幅提高，农业现代化水平显著提升，</w:t>
      </w:r>
      <w:r>
        <w:rPr>
          <w:rFonts w:hint="eastAsia"/>
          <w:lang w:val="en-US" w:eastAsia="zh-CN"/>
        </w:rPr>
        <w:t>工业产业体系不断完善，</w:t>
      </w:r>
      <w:r>
        <w:rPr>
          <w:rFonts w:hint="eastAsia" w:ascii="Times New Roman" w:hAnsi="Times New Roman"/>
          <w:lang w:val="en-US" w:eastAsia="zh-CN"/>
        </w:rPr>
        <w:t>服务业向高端化、多元化转型，三次产业深度融合，形成结构合理的产业发展新</w:t>
      </w:r>
      <w:r>
        <w:rPr>
          <w:rFonts w:hint="eastAsia"/>
          <w:lang w:val="en-US" w:eastAsia="zh-CN"/>
        </w:rPr>
        <w:t>局面</w:t>
      </w:r>
      <w:r>
        <w:rPr>
          <w:rFonts w:hint="eastAsia" w:ascii="Times New Roman" w:hAnsi="Times New Roman"/>
          <w:lang w:val="en-US" w:eastAsia="zh-CN"/>
        </w:rPr>
        <w:t>。</w:t>
      </w:r>
    </w:p>
    <w:p w14:paraId="42387C55">
      <w:pPr>
        <w:rPr>
          <w:rFonts w:hint="eastAsia" w:ascii="Times New Roman" w:hAnsi="Times New Roman"/>
          <w:lang w:val="en-US" w:eastAsia="zh-CN"/>
        </w:rPr>
      </w:pPr>
      <w:r>
        <w:rPr>
          <w:rFonts w:hint="eastAsia" w:ascii="Times New Roman" w:hAnsi="Times New Roman"/>
          <w:b/>
          <w:bCs/>
          <w:lang w:val="en-US" w:eastAsia="zh-CN"/>
        </w:rPr>
        <w:t>——创新活力实现新跃升。</w:t>
      </w:r>
      <w:r>
        <w:rPr>
          <w:rFonts w:hint="eastAsia" w:ascii="Times New Roman" w:hAnsi="Times New Roman"/>
          <w:lang w:val="en-US" w:eastAsia="zh-CN"/>
        </w:rPr>
        <w:t>科技创新体系更加完善，创新要素加速集聚，“政产学研”合作模式高效运转。企业创新主体地位不断提升，核心技术攻关取得新进展，科技成果转化率大幅提升，力争科技研发经费投入</w:t>
      </w:r>
      <w:r>
        <w:rPr>
          <w:rFonts w:hint="eastAsia"/>
          <w:lang w:val="en-US" w:eastAsia="zh-CN"/>
        </w:rPr>
        <w:t>每年实现</w:t>
      </w:r>
      <w:r>
        <w:rPr>
          <w:rFonts w:hint="eastAsia" w:ascii="Times New Roman" w:hAnsi="Times New Roman"/>
          <w:lang w:val="en-US" w:eastAsia="zh-CN"/>
        </w:rPr>
        <w:t>增长。推动数字化、智能化深度赋能各产业，打造具有区域影响力的创新高地。</w:t>
      </w:r>
    </w:p>
    <w:p w14:paraId="32DB32B5">
      <w:pPr>
        <w:rPr>
          <w:rFonts w:hint="eastAsia" w:ascii="Times New Roman" w:hAnsi="Times New Roman"/>
          <w:lang w:val="en-US" w:eastAsia="zh-CN"/>
        </w:rPr>
      </w:pPr>
      <w:r>
        <w:rPr>
          <w:rFonts w:hint="eastAsia" w:ascii="Times New Roman" w:hAnsi="Times New Roman"/>
          <w:b/>
          <w:bCs/>
          <w:lang w:val="en-US" w:eastAsia="zh-CN"/>
        </w:rPr>
        <w:t>——城乡融合展现新面貌。</w:t>
      </w:r>
      <w:r>
        <w:rPr>
          <w:rFonts w:hint="eastAsia" w:ascii="Times New Roman" w:hAnsi="Times New Roman"/>
          <w:lang w:val="en-US" w:eastAsia="zh-CN"/>
        </w:rPr>
        <w:t>优化城市空间布局，深入推进“南建、北提、西活、东扩”战略，完善基础设施与公共服务设施，全面提升城市功能品质。扎实推进乡村振兴战略，持续改善农村人居环境，推动特色产业小镇蓬勃发展，健全城乡融合发展机制，不断缩小城乡差距，完善以人为核心、区域协调发展的新型城镇化格局。</w:t>
      </w:r>
    </w:p>
    <w:p w14:paraId="66A87BB3">
      <w:pPr>
        <w:rPr>
          <w:rFonts w:hint="eastAsia" w:ascii="Times New Roman" w:hAnsi="Times New Roman"/>
          <w:lang w:val="en-US" w:eastAsia="zh-CN"/>
        </w:rPr>
      </w:pPr>
      <w:r>
        <w:rPr>
          <w:rFonts w:hint="eastAsia" w:ascii="Times New Roman" w:hAnsi="Times New Roman"/>
          <w:b/>
          <w:bCs/>
          <w:lang w:val="en-US" w:eastAsia="zh-CN"/>
        </w:rPr>
        <w:t>——生态环境取得新成效。</w:t>
      </w:r>
      <w:r>
        <w:rPr>
          <w:rFonts w:hint="eastAsia" w:ascii="Times New Roman" w:hAnsi="Times New Roman"/>
          <w:lang w:val="en-US" w:eastAsia="zh-CN"/>
        </w:rPr>
        <w:t>全方位提升生态环境质量，有效治理农业面源污染，大幅提高水资源保护与利用水平，显著增加清洁能源使用比例，确保空气质量优良天数全面达标，增强生态系统稳定性与生态服务功能，全力将农安县建设成为长春市生态绿肺核心区。</w:t>
      </w:r>
    </w:p>
    <w:p w14:paraId="6A7EC304">
      <w:pPr>
        <w:rPr>
          <w:rFonts w:hint="eastAsia" w:ascii="Times New Roman" w:hAnsi="Times New Roman"/>
          <w:lang w:val="en-US" w:eastAsia="zh-CN"/>
        </w:rPr>
      </w:pPr>
      <w:r>
        <w:rPr>
          <w:rFonts w:hint="eastAsia" w:ascii="Times New Roman" w:hAnsi="Times New Roman"/>
          <w:b/>
          <w:bCs/>
          <w:lang w:val="en-US" w:eastAsia="zh-CN"/>
        </w:rPr>
        <w:t>——民生福祉达到新水平。</w:t>
      </w:r>
      <w:r>
        <w:rPr>
          <w:rFonts w:hint="eastAsia" w:ascii="Times New Roman" w:hAnsi="Times New Roman"/>
          <w:lang w:val="en-US" w:eastAsia="zh-CN"/>
        </w:rPr>
        <w:t>实现居民收入增长与经济增长基本同步，力争实现更加充分更高质量就业，健全社会保障体系。推动教育、医疗等基本公共服务优质均衡发展，繁荣文化事业，完善公共文化服务体系，丰富人民群众精神文化生活，持续增强群众获得感、幸福感、安全感。</w:t>
      </w:r>
    </w:p>
    <w:p w14:paraId="61675B3B">
      <w:pPr>
        <w:rPr>
          <w:rFonts w:hint="eastAsia" w:ascii="Times New Roman" w:hAnsi="Times New Roman"/>
          <w:lang w:val="en-US" w:eastAsia="zh-CN"/>
        </w:rPr>
      </w:pPr>
      <w:r>
        <w:rPr>
          <w:rFonts w:hint="eastAsia" w:ascii="Times New Roman" w:hAnsi="Times New Roman"/>
          <w:b/>
          <w:bCs/>
          <w:lang w:val="en-US" w:eastAsia="zh-CN"/>
        </w:rPr>
        <w:t>——治理效能呈现新气象。</w:t>
      </w:r>
      <w:r>
        <w:rPr>
          <w:rFonts w:hint="eastAsia" w:ascii="Times New Roman" w:hAnsi="Times New Roman"/>
          <w:lang w:val="en-US" w:eastAsia="zh-CN"/>
        </w:rPr>
        <w:t>推动法治政府建设迈向更高水平，全面提升依法行政能力，显著增强政府公信力与执行力。加快社会治理现代化进程，提升基层治理智慧化、精细化水平，保持安全生产形势持续稳定，强化风险防控与应急处置能力，维护社会大局和谐稳定。</w:t>
      </w:r>
    </w:p>
    <w:p w14:paraId="41776CA8">
      <w:pPr>
        <w:rPr>
          <w:rFonts w:hint="eastAsia" w:ascii="Times New Roman" w:hAnsi="Times New Roman"/>
          <w:lang w:val="en-US" w:eastAsia="zh-CN"/>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5"/>
        <w:gridCol w:w="3562"/>
        <w:gridCol w:w="1167"/>
        <w:gridCol w:w="1089"/>
        <w:gridCol w:w="1277"/>
        <w:gridCol w:w="1085"/>
      </w:tblGrid>
      <w:tr w14:paraId="1137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5000" w:type="pct"/>
            <w:gridSpan w:val="6"/>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2ECBBA7E">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b/>
                <w:bCs/>
                <w:kern w:val="2"/>
                <w:sz w:val="28"/>
                <w:szCs w:val="28"/>
                <w:lang w:val="en-US" w:eastAsia="zh-CN" w:bidi="ar-SA"/>
                <w14:ligatures w14:val="standardContextual"/>
              </w:rPr>
            </w:pPr>
            <w:r>
              <w:rPr>
                <w:rFonts w:hint="eastAsia" w:ascii="Times New Roman" w:hAnsi="Times New Roman" w:cs="宋体"/>
                <w:b/>
                <w:bCs/>
                <w:kern w:val="2"/>
                <w:sz w:val="28"/>
                <w:szCs w:val="28"/>
                <w:lang w:val="en-US" w:eastAsia="zh-CN" w:bidi="ar-SA"/>
                <w14:ligatures w14:val="standardContextual"/>
              </w:rPr>
              <w:t xml:space="preserve">专栏1 </w:t>
            </w:r>
            <w:r>
              <w:rPr>
                <w:rFonts w:hint="eastAsia" w:ascii="Times New Roman" w:hAnsi="Times New Roman" w:eastAsia="方正仿宋_GBK" w:cs="宋体"/>
                <w:b/>
                <w:bCs/>
                <w:kern w:val="2"/>
                <w:sz w:val="28"/>
                <w:szCs w:val="28"/>
                <w:lang w:val="en-US" w:eastAsia="zh-CN" w:bidi="ar-SA"/>
                <w14:ligatures w14:val="standardContextual"/>
              </w:rPr>
              <w:t>“十五五”时期经济社会发展主要指标</w:t>
            </w:r>
          </w:p>
        </w:tc>
      </w:tr>
      <w:tr w14:paraId="68F3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87"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76006857">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b/>
                <w:bCs/>
                <w:kern w:val="2"/>
                <w:sz w:val="28"/>
                <w:szCs w:val="28"/>
                <w:lang w:val="en-US" w:eastAsia="zh-CN" w:bidi="ar-SA"/>
                <w14:ligatures w14:val="standardContextual"/>
              </w:rPr>
            </w:pPr>
            <w:r>
              <w:rPr>
                <w:rFonts w:hint="eastAsia" w:ascii="Times New Roman" w:hAnsi="Times New Roman" w:eastAsia="方正仿宋_GBK" w:cs="宋体"/>
                <w:b/>
                <w:bCs/>
                <w:kern w:val="2"/>
                <w:sz w:val="28"/>
                <w:szCs w:val="28"/>
                <w:lang w:val="en-US" w:eastAsia="zh-CN" w:bidi="ar-SA"/>
                <w14:ligatures w14:val="standardContextual"/>
              </w:rPr>
              <w:t>类别</w:t>
            </w:r>
          </w:p>
        </w:tc>
        <w:tc>
          <w:tcPr>
            <w:tcW w:w="2009"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650720A2">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b/>
                <w:bCs/>
                <w:kern w:val="2"/>
                <w:sz w:val="28"/>
                <w:szCs w:val="28"/>
                <w:lang w:val="en-US" w:eastAsia="zh-CN" w:bidi="ar-SA"/>
                <w14:ligatures w14:val="standardContextual"/>
              </w:rPr>
            </w:pPr>
            <w:r>
              <w:rPr>
                <w:rFonts w:hint="eastAsia" w:ascii="Times New Roman" w:hAnsi="Times New Roman" w:eastAsia="方正仿宋_GBK" w:cs="宋体"/>
                <w:b/>
                <w:bCs/>
                <w:kern w:val="2"/>
                <w:sz w:val="28"/>
                <w:szCs w:val="28"/>
                <w:lang w:val="en-US" w:eastAsia="zh-CN" w:bidi="ar-SA"/>
                <w14:ligatures w14:val="standardContextual"/>
              </w:rPr>
              <w:t>指标</w:t>
            </w:r>
          </w:p>
        </w:tc>
        <w:tc>
          <w:tcPr>
            <w:tcW w:w="658"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1B3FEEF5">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b/>
                <w:bCs/>
                <w:kern w:val="2"/>
                <w:sz w:val="28"/>
                <w:szCs w:val="28"/>
                <w:lang w:val="en-US" w:eastAsia="zh-CN" w:bidi="ar-SA"/>
                <w14:ligatures w14:val="standardContextual"/>
              </w:rPr>
            </w:pPr>
            <w:r>
              <w:rPr>
                <w:rFonts w:hint="eastAsia" w:ascii="Times New Roman" w:hAnsi="Times New Roman" w:eastAsia="方正仿宋_GBK" w:cs="宋体"/>
                <w:b/>
                <w:bCs/>
                <w:kern w:val="2"/>
                <w:sz w:val="28"/>
                <w:szCs w:val="28"/>
                <w:lang w:val="en-US" w:eastAsia="zh-CN" w:bidi="ar-SA"/>
                <w14:ligatures w14:val="standardContextual"/>
              </w:rPr>
              <w:t>20</w:t>
            </w:r>
            <w:r>
              <w:rPr>
                <w:rFonts w:hint="eastAsia" w:ascii="Times New Roman" w:hAnsi="Times New Roman" w:cs="宋体"/>
                <w:b/>
                <w:bCs/>
                <w:kern w:val="2"/>
                <w:sz w:val="28"/>
                <w:szCs w:val="28"/>
                <w:lang w:val="en-US" w:eastAsia="zh-CN" w:bidi="ar-SA"/>
                <w14:ligatures w14:val="standardContextual"/>
              </w:rPr>
              <w:t>25</w:t>
            </w:r>
            <w:r>
              <w:rPr>
                <w:rFonts w:hint="eastAsia" w:ascii="Times New Roman" w:hAnsi="Times New Roman" w:eastAsia="方正仿宋_GBK" w:cs="宋体"/>
                <w:b/>
                <w:bCs/>
                <w:kern w:val="2"/>
                <w:sz w:val="28"/>
                <w:szCs w:val="28"/>
                <w:lang w:val="en-US" w:eastAsia="zh-CN" w:bidi="ar-SA"/>
                <w14:ligatures w14:val="standardContextual"/>
              </w:rPr>
              <w:t>年</w:t>
            </w:r>
          </w:p>
        </w:tc>
        <w:tc>
          <w:tcPr>
            <w:tcW w:w="614"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6D50B8B3">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b/>
                <w:bCs/>
                <w:kern w:val="2"/>
                <w:sz w:val="28"/>
                <w:szCs w:val="28"/>
                <w:lang w:val="en-US" w:eastAsia="zh-CN" w:bidi="ar-SA"/>
                <w14:ligatures w14:val="standardContextual"/>
              </w:rPr>
            </w:pPr>
            <w:r>
              <w:rPr>
                <w:rFonts w:hint="eastAsia" w:ascii="Times New Roman" w:hAnsi="Times New Roman" w:eastAsia="方正仿宋_GBK" w:cs="宋体"/>
                <w:b/>
                <w:bCs/>
                <w:kern w:val="2"/>
                <w:sz w:val="28"/>
                <w:szCs w:val="28"/>
                <w:lang w:val="en-US" w:eastAsia="zh-CN" w:bidi="ar-SA"/>
                <w14:ligatures w14:val="standardContextual"/>
              </w:rPr>
              <w:t>2030年</w:t>
            </w:r>
          </w:p>
        </w:tc>
        <w:tc>
          <w:tcPr>
            <w:tcW w:w="72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5785BD41">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b/>
                <w:bCs/>
                <w:kern w:val="2"/>
                <w:sz w:val="28"/>
                <w:szCs w:val="28"/>
                <w:lang w:val="en-US" w:eastAsia="zh-CN" w:bidi="ar-SA"/>
                <w14:ligatures w14:val="standardContextual"/>
              </w:rPr>
            </w:pPr>
            <w:r>
              <w:rPr>
                <w:rFonts w:hint="eastAsia" w:ascii="Times New Roman" w:hAnsi="Times New Roman" w:eastAsia="方正仿宋_GBK" w:cs="宋体"/>
                <w:b/>
                <w:bCs/>
                <w:kern w:val="2"/>
                <w:sz w:val="28"/>
                <w:szCs w:val="28"/>
                <w:lang w:val="en-US" w:eastAsia="zh-CN" w:bidi="ar-SA"/>
                <w14:ligatures w14:val="standardContextual"/>
              </w:rPr>
              <w:t>年均</w:t>
            </w:r>
          </w:p>
        </w:tc>
        <w:tc>
          <w:tcPr>
            <w:tcW w:w="61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3DB73786">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b/>
                <w:bCs/>
                <w:kern w:val="2"/>
                <w:sz w:val="28"/>
                <w:szCs w:val="28"/>
                <w:lang w:val="en-US" w:eastAsia="zh-CN" w:bidi="ar-SA"/>
                <w14:ligatures w14:val="standardContextual"/>
              </w:rPr>
            </w:pPr>
            <w:r>
              <w:rPr>
                <w:rFonts w:hint="eastAsia" w:ascii="Times New Roman" w:hAnsi="Times New Roman" w:eastAsia="方正仿宋_GBK" w:cs="宋体"/>
                <w:b/>
                <w:bCs/>
                <w:kern w:val="2"/>
                <w:sz w:val="28"/>
                <w:szCs w:val="28"/>
                <w:lang w:val="en-US" w:eastAsia="zh-CN" w:bidi="ar-SA"/>
                <w14:ligatures w14:val="standardContextual"/>
              </w:rPr>
              <w:t>属性</w:t>
            </w:r>
          </w:p>
        </w:tc>
      </w:tr>
      <w:tr w14:paraId="0137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87" w:type="pct"/>
            <w:vMerge w:val="restart"/>
            <w:tcBorders>
              <w:top w:val="single" w:color="000000" w:sz="2" w:space="0"/>
              <w:left w:val="single" w:color="000000" w:sz="2" w:space="0"/>
              <w:right w:val="single" w:color="000000" w:sz="2" w:space="0"/>
            </w:tcBorders>
            <w:shd w:val="clear" w:color="auto" w:fill="auto"/>
            <w:tcMar>
              <w:top w:w="10" w:type="dxa"/>
              <w:left w:w="10" w:type="dxa"/>
              <w:right w:w="10" w:type="dxa"/>
            </w:tcMar>
            <w:vAlign w:val="center"/>
          </w:tcPr>
          <w:p w14:paraId="10C18541">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kern w:val="2"/>
                <w:sz w:val="28"/>
                <w:szCs w:val="28"/>
                <w:lang w:val="en-US" w:eastAsia="zh-CN" w:bidi="ar-SA"/>
                <w14:ligatures w14:val="standardContextual"/>
              </w:rPr>
            </w:pPr>
            <w:r>
              <w:rPr>
                <w:rFonts w:hint="eastAsia" w:ascii="Times New Roman" w:hAnsi="Times New Roman" w:eastAsia="方正仿宋_GBK" w:cs="宋体"/>
                <w:kern w:val="2"/>
                <w:sz w:val="28"/>
                <w:szCs w:val="28"/>
                <w:lang w:val="en-US" w:eastAsia="zh-CN" w:bidi="ar-SA"/>
                <w14:ligatures w14:val="standardContextual"/>
              </w:rPr>
              <w:t>经济发展</w:t>
            </w:r>
          </w:p>
        </w:tc>
        <w:tc>
          <w:tcPr>
            <w:tcW w:w="2009"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7F176368">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left"/>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地区生产总值（GDP）增长（%）</w:t>
            </w:r>
          </w:p>
        </w:tc>
        <w:tc>
          <w:tcPr>
            <w:tcW w:w="658"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5842DCAA">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4.4</w:t>
            </w:r>
          </w:p>
        </w:tc>
        <w:tc>
          <w:tcPr>
            <w:tcW w:w="614"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11F64C42">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w:t>
            </w:r>
          </w:p>
        </w:tc>
        <w:tc>
          <w:tcPr>
            <w:tcW w:w="72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21EA1804">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cs="宋体"/>
                <w:color w:val="auto"/>
                <w:kern w:val="2"/>
                <w:sz w:val="28"/>
                <w:szCs w:val="28"/>
                <w:lang w:val="en-US" w:eastAsia="zh-CN" w:bidi="ar-SA"/>
                <w14:ligatures w14:val="standardContextual"/>
              </w:rPr>
              <w:t>&gt;</w:t>
            </w:r>
            <w:r>
              <w:rPr>
                <w:rFonts w:hint="eastAsia" w:cs="宋体"/>
                <w:color w:val="auto"/>
                <w:kern w:val="2"/>
                <w:sz w:val="28"/>
                <w:szCs w:val="28"/>
                <w:lang w:val="en-US" w:eastAsia="zh-CN" w:bidi="ar-SA"/>
                <w14:ligatures w14:val="standardContextual"/>
              </w:rPr>
              <w:t>5</w:t>
            </w:r>
          </w:p>
        </w:tc>
        <w:tc>
          <w:tcPr>
            <w:tcW w:w="61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6EA73413">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预期性</w:t>
            </w:r>
          </w:p>
        </w:tc>
      </w:tr>
      <w:tr w14:paraId="6CC70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87" w:type="pct"/>
            <w:vMerge w:val="continue"/>
            <w:tcBorders>
              <w:left w:val="single" w:color="000000" w:sz="2" w:space="0"/>
              <w:right w:val="single" w:color="000000" w:sz="2" w:space="0"/>
            </w:tcBorders>
            <w:shd w:val="clear" w:color="auto" w:fill="auto"/>
            <w:tcMar>
              <w:top w:w="10" w:type="dxa"/>
              <w:left w:w="10" w:type="dxa"/>
              <w:right w:w="10" w:type="dxa"/>
            </w:tcMar>
            <w:vAlign w:val="center"/>
          </w:tcPr>
          <w:p w14:paraId="78014D21">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0" w:firstLineChars="0"/>
              <w:textAlignment w:val="auto"/>
              <w:rPr>
                <w:rFonts w:hint="eastAsia" w:ascii="Times New Roman" w:hAnsi="Times New Roman" w:eastAsia="方正仿宋_GBK" w:cs="宋体"/>
                <w:kern w:val="2"/>
                <w:sz w:val="28"/>
                <w:szCs w:val="28"/>
                <w:lang w:val="en-US" w:eastAsia="zh-CN" w:bidi="ar-SA"/>
                <w14:ligatures w14:val="standardContextual"/>
              </w:rPr>
            </w:pPr>
          </w:p>
        </w:tc>
        <w:tc>
          <w:tcPr>
            <w:tcW w:w="2009"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2874BE83">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left"/>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全员劳动</w:t>
            </w:r>
            <w:r>
              <w:rPr>
                <w:rFonts w:hint="eastAsia" w:cs="宋体"/>
                <w:color w:val="auto"/>
                <w:kern w:val="2"/>
                <w:sz w:val="28"/>
                <w:szCs w:val="28"/>
                <w:lang w:val="en-US" w:eastAsia="zh-CN" w:bidi="ar-SA"/>
                <w14:ligatures w14:val="standardContextual"/>
              </w:rPr>
              <w:t>生产</w:t>
            </w:r>
            <w:r>
              <w:rPr>
                <w:rFonts w:hint="eastAsia" w:ascii="Times New Roman" w:hAnsi="Times New Roman" w:eastAsia="方正仿宋_GBK" w:cs="宋体"/>
                <w:color w:val="auto"/>
                <w:kern w:val="2"/>
                <w:sz w:val="28"/>
                <w:szCs w:val="28"/>
                <w:lang w:val="en-US" w:eastAsia="zh-CN" w:bidi="ar-SA"/>
                <w14:ligatures w14:val="standardContextual"/>
              </w:rPr>
              <w:t>率增长（%）</w:t>
            </w:r>
          </w:p>
        </w:tc>
        <w:tc>
          <w:tcPr>
            <w:tcW w:w="658"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35E826FF">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w:t>
            </w:r>
          </w:p>
        </w:tc>
        <w:tc>
          <w:tcPr>
            <w:tcW w:w="614"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1A5F8094">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w:t>
            </w:r>
          </w:p>
        </w:tc>
        <w:tc>
          <w:tcPr>
            <w:tcW w:w="72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290AD91C">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cs="宋体"/>
                <w:color w:val="auto"/>
                <w:kern w:val="2"/>
                <w:sz w:val="28"/>
                <w:szCs w:val="28"/>
                <w:lang w:val="en-US" w:eastAsia="zh-CN" w:bidi="ar-SA"/>
                <w14:ligatures w14:val="standardContextual"/>
              </w:rPr>
              <w:t>&gt;</w:t>
            </w:r>
            <w:r>
              <w:rPr>
                <w:rFonts w:hint="eastAsia" w:cs="宋体"/>
                <w:color w:val="auto"/>
                <w:kern w:val="2"/>
                <w:sz w:val="28"/>
                <w:szCs w:val="28"/>
                <w:lang w:val="en-US" w:eastAsia="zh-CN" w:bidi="ar-SA"/>
                <w14:ligatures w14:val="standardContextual"/>
              </w:rPr>
              <w:t>5.5</w:t>
            </w:r>
          </w:p>
        </w:tc>
        <w:tc>
          <w:tcPr>
            <w:tcW w:w="61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68B6D57C">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预期性</w:t>
            </w:r>
          </w:p>
        </w:tc>
      </w:tr>
      <w:tr w14:paraId="25CE7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87" w:type="pct"/>
            <w:vMerge w:val="continue"/>
            <w:tcBorders>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2E0EE6EC">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0" w:firstLineChars="0"/>
              <w:textAlignment w:val="auto"/>
              <w:rPr>
                <w:rFonts w:hint="eastAsia" w:ascii="Times New Roman" w:hAnsi="Times New Roman" w:eastAsia="方正仿宋_GBK" w:cs="宋体"/>
                <w:kern w:val="2"/>
                <w:sz w:val="28"/>
                <w:szCs w:val="28"/>
                <w:lang w:val="en-US" w:eastAsia="zh-CN" w:bidi="ar-SA"/>
                <w14:ligatures w14:val="standardContextual"/>
              </w:rPr>
            </w:pPr>
          </w:p>
        </w:tc>
        <w:tc>
          <w:tcPr>
            <w:tcW w:w="2009"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640A5A30">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0" w:firstLineChars="0"/>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b w:val="0"/>
                <w:bCs w:val="0"/>
                <w:color w:val="auto"/>
                <w:kern w:val="2"/>
                <w:sz w:val="28"/>
                <w:szCs w:val="28"/>
                <w:lang w:val="en-US" w:eastAsia="zh-CN" w:bidi="ar-SA"/>
                <w14:ligatures w14:val="standardContextual"/>
              </w:rPr>
              <w:t>常住人口城镇化率（%）</w:t>
            </w:r>
          </w:p>
        </w:tc>
        <w:tc>
          <w:tcPr>
            <w:tcW w:w="658"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2A1CC39F">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33</w:t>
            </w:r>
          </w:p>
        </w:tc>
        <w:tc>
          <w:tcPr>
            <w:tcW w:w="614"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1F3CC260">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35左右</w:t>
            </w:r>
          </w:p>
        </w:tc>
        <w:tc>
          <w:tcPr>
            <w:tcW w:w="72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0A37DCC7">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w:t>
            </w:r>
          </w:p>
        </w:tc>
        <w:tc>
          <w:tcPr>
            <w:tcW w:w="61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6FE4F793">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预期性</w:t>
            </w:r>
          </w:p>
        </w:tc>
      </w:tr>
      <w:tr w14:paraId="7B27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87" w:type="pct"/>
            <w:vMerge w:val="restar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0EF06762">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kern w:val="2"/>
                <w:sz w:val="28"/>
                <w:szCs w:val="28"/>
                <w:lang w:val="en-US" w:eastAsia="zh-CN" w:bidi="ar-SA"/>
                <w14:ligatures w14:val="standardContextual"/>
              </w:rPr>
            </w:pPr>
            <w:r>
              <w:rPr>
                <w:rFonts w:hint="eastAsia" w:ascii="Times New Roman" w:hAnsi="Times New Roman" w:eastAsia="方正仿宋_GBK" w:cs="宋体"/>
                <w:kern w:val="2"/>
                <w:sz w:val="28"/>
                <w:szCs w:val="28"/>
                <w:lang w:val="en-US" w:eastAsia="zh-CN" w:bidi="ar-SA"/>
                <w14:ligatures w14:val="standardContextual"/>
              </w:rPr>
              <w:t>创新驱动</w:t>
            </w:r>
          </w:p>
        </w:tc>
        <w:tc>
          <w:tcPr>
            <w:tcW w:w="2009"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0F8AB68A">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left"/>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研发经费投入增长（%）</w:t>
            </w:r>
          </w:p>
        </w:tc>
        <w:tc>
          <w:tcPr>
            <w:tcW w:w="658"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11827549">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w:t>
            </w:r>
          </w:p>
        </w:tc>
        <w:tc>
          <w:tcPr>
            <w:tcW w:w="614"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21D358C1">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w:t>
            </w:r>
          </w:p>
        </w:tc>
        <w:tc>
          <w:tcPr>
            <w:tcW w:w="72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0B902CA9">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highlight w:val="none"/>
                <w:lang w:val="en-US" w:eastAsia="zh-CN" w:bidi="ar-SA"/>
                <w14:ligatures w14:val="standardContextual"/>
              </w:rPr>
              <w:t>—</w:t>
            </w:r>
          </w:p>
        </w:tc>
        <w:tc>
          <w:tcPr>
            <w:tcW w:w="61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5744837D">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预期性</w:t>
            </w:r>
          </w:p>
        </w:tc>
      </w:tr>
      <w:tr w14:paraId="1DFAD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87" w:type="pct"/>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35EB9564">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0" w:firstLineChars="0"/>
              <w:textAlignment w:val="auto"/>
              <w:rPr>
                <w:rFonts w:hint="eastAsia" w:ascii="Times New Roman" w:hAnsi="Times New Roman" w:eastAsia="方正仿宋_GBK" w:cs="宋体"/>
                <w:kern w:val="2"/>
                <w:sz w:val="28"/>
                <w:szCs w:val="28"/>
                <w:lang w:val="en-US" w:eastAsia="zh-CN" w:bidi="ar-SA"/>
                <w14:ligatures w14:val="standardContextual"/>
              </w:rPr>
            </w:pPr>
          </w:p>
        </w:tc>
        <w:tc>
          <w:tcPr>
            <w:tcW w:w="2009"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4DD570B9">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left"/>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每万人口</w:t>
            </w:r>
            <w:r>
              <w:rPr>
                <w:rFonts w:hint="eastAsia" w:cs="宋体"/>
                <w:b w:val="0"/>
                <w:bCs w:val="0"/>
                <w:color w:val="auto"/>
                <w:kern w:val="2"/>
                <w:sz w:val="28"/>
                <w:szCs w:val="28"/>
                <w:lang w:val="en-US" w:eastAsia="zh-CN" w:bidi="ar-SA"/>
                <w14:ligatures w14:val="standardContextual"/>
              </w:rPr>
              <w:t>高价值</w:t>
            </w:r>
            <w:r>
              <w:rPr>
                <w:rFonts w:hint="eastAsia" w:ascii="Times New Roman" w:hAnsi="Times New Roman" w:eastAsia="方正仿宋_GBK" w:cs="宋体"/>
                <w:color w:val="auto"/>
                <w:kern w:val="2"/>
                <w:sz w:val="28"/>
                <w:szCs w:val="28"/>
                <w:lang w:val="en-US" w:eastAsia="zh-CN" w:bidi="ar-SA"/>
                <w14:ligatures w14:val="standardContextual"/>
              </w:rPr>
              <w:t>专利拥有量（件）</w:t>
            </w:r>
          </w:p>
        </w:tc>
        <w:tc>
          <w:tcPr>
            <w:tcW w:w="658"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00992F15">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highlight w:val="none"/>
                <w:lang w:val="en-US" w:eastAsia="zh-CN" w:bidi="ar-SA"/>
                <w14:ligatures w14:val="standardContextual"/>
              </w:rPr>
            </w:pPr>
            <w:r>
              <w:rPr>
                <w:rFonts w:hint="eastAsia" w:cs="宋体"/>
                <w:color w:val="auto"/>
                <w:kern w:val="2"/>
                <w:sz w:val="28"/>
                <w:szCs w:val="28"/>
                <w:highlight w:val="none"/>
                <w:lang w:val="en-US" w:eastAsia="zh-CN" w:bidi="ar-SA"/>
                <w14:ligatures w14:val="standardContextual"/>
              </w:rPr>
              <w:t>0.56</w:t>
            </w:r>
          </w:p>
        </w:tc>
        <w:tc>
          <w:tcPr>
            <w:tcW w:w="614"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7E67063B">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highlight w:val="none"/>
                <w:lang w:val="en-US" w:eastAsia="zh-CN" w:bidi="ar-SA"/>
                <w14:ligatures w14:val="standardContextual"/>
              </w:rPr>
            </w:pPr>
            <w:r>
              <w:rPr>
                <w:rFonts w:hint="eastAsia" w:cs="宋体"/>
                <w:color w:val="auto"/>
                <w:kern w:val="2"/>
                <w:sz w:val="28"/>
                <w:szCs w:val="28"/>
                <w:highlight w:val="none"/>
                <w:lang w:val="en-US" w:eastAsia="zh-CN" w:bidi="ar-SA"/>
                <w14:ligatures w14:val="standardContextual"/>
              </w:rPr>
              <w:t>0.65</w:t>
            </w:r>
          </w:p>
        </w:tc>
        <w:tc>
          <w:tcPr>
            <w:tcW w:w="72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5BC925A2">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highlight w:val="none"/>
                <w:lang w:val="en-US" w:eastAsia="zh-CN" w:bidi="ar-SA"/>
                <w14:ligatures w14:val="standardContextual"/>
              </w:rPr>
            </w:pPr>
            <w:r>
              <w:rPr>
                <w:rFonts w:hint="eastAsia" w:cs="宋体"/>
                <w:color w:val="auto"/>
                <w:kern w:val="2"/>
                <w:sz w:val="28"/>
                <w:szCs w:val="28"/>
                <w:highlight w:val="none"/>
                <w:lang w:val="en-US" w:eastAsia="zh-CN" w:bidi="ar-SA"/>
                <w14:ligatures w14:val="standardContextual"/>
              </w:rPr>
              <w:t>—</w:t>
            </w:r>
          </w:p>
        </w:tc>
        <w:tc>
          <w:tcPr>
            <w:tcW w:w="61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5FA09394">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预期性</w:t>
            </w:r>
          </w:p>
        </w:tc>
      </w:tr>
      <w:tr w14:paraId="2EA1D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87" w:type="pct"/>
            <w:vMerge w:val="restar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39682468">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kern w:val="2"/>
                <w:sz w:val="28"/>
                <w:szCs w:val="28"/>
                <w:lang w:val="en-US" w:eastAsia="zh-CN" w:bidi="ar-SA"/>
                <w14:ligatures w14:val="standardContextual"/>
              </w:rPr>
            </w:pPr>
            <w:r>
              <w:rPr>
                <w:rFonts w:hint="eastAsia" w:ascii="Times New Roman" w:hAnsi="Times New Roman" w:eastAsia="方正仿宋_GBK" w:cs="宋体"/>
                <w:kern w:val="2"/>
                <w:sz w:val="28"/>
                <w:szCs w:val="28"/>
                <w:lang w:val="en-US" w:eastAsia="zh-CN" w:bidi="ar-SA"/>
                <w14:ligatures w14:val="standardContextual"/>
              </w:rPr>
              <w:t>绿色低碳</w:t>
            </w:r>
          </w:p>
        </w:tc>
        <w:tc>
          <w:tcPr>
            <w:tcW w:w="2009"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2823564B">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left"/>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单位GDP二氧化碳排放降低（%）</w:t>
            </w:r>
          </w:p>
        </w:tc>
        <w:tc>
          <w:tcPr>
            <w:tcW w:w="658"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1F4D7799">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w:t>
            </w:r>
          </w:p>
        </w:tc>
        <w:tc>
          <w:tcPr>
            <w:tcW w:w="614"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078C718C">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按省</w:t>
            </w:r>
            <w:r>
              <w:rPr>
                <w:rFonts w:hint="eastAsia" w:cs="宋体"/>
                <w:color w:val="auto"/>
                <w:kern w:val="2"/>
                <w:sz w:val="28"/>
                <w:szCs w:val="28"/>
                <w:lang w:val="en-US" w:eastAsia="zh-CN" w:bidi="ar-SA"/>
                <w14:ligatures w14:val="standardContextual"/>
              </w:rPr>
              <w:t>市要求</w:t>
            </w:r>
          </w:p>
        </w:tc>
        <w:tc>
          <w:tcPr>
            <w:tcW w:w="72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45E01461">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w:t>
            </w:r>
          </w:p>
        </w:tc>
        <w:tc>
          <w:tcPr>
            <w:tcW w:w="61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6D7AC2EC">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约束性</w:t>
            </w:r>
          </w:p>
        </w:tc>
      </w:tr>
      <w:tr w14:paraId="1670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87" w:type="pct"/>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2234095E">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0" w:firstLineChars="0"/>
              <w:textAlignment w:val="auto"/>
              <w:rPr>
                <w:rFonts w:hint="eastAsia" w:ascii="Times New Roman" w:hAnsi="Times New Roman" w:eastAsia="方正仿宋_GBK" w:cs="宋体"/>
                <w:kern w:val="2"/>
                <w:sz w:val="28"/>
                <w:szCs w:val="28"/>
                <w:lang w:val="en-US" w:eastAsia="zh-CN" w:bidi="ar-SA"/>
                <w14:ligatures w14:val="standardContextual"/>
              </w:rPr>
            </w:pPr>
          </w:p>
        </w:tc>
        <w:tc>
          <w:tcPr>
            <w:tcW w:w="2009"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048F4810">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left"/>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非化石能源占能源消费总量比重（%）</w:t>
            </w:r>
          </w:p>
        </w:tc>
        <w:tc>
          <w:tcPr>
            <w:tcW w:w="658"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64FF435A">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w:t>
            </w:r>
          </w:p>
        </w:tc>
        <w:tc>
          <w:tcPr>
            <w:tcW w:w="614"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0D5FE837">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按省</w:t>
            </w:r>
            <w:r>
              <w:rPr>
                <w:rFonts w:hint="eastAsia" w:cs="宋体"/>
                <w:color w:val="auto"/>
                <w:kern w:val="2"/>
                <w:sz w:val="28"/>
                <w:szCs w:val="28"/>
                <w:lang w:val="en-US" w:eastAsia="zh-CN" w:bidi="ar-SA"/>
                <w14:ligatures w14:val="standardContextual"/>
              </w:rPr>
              <w:t>市要求</w:t>
            </w:r>
          </w:p>
        </w:tc>
        <w:tc>
          <w:tcPr>
            <w:tcW w:w="72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5BB0F04D">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w:t>
            </w:r>
          </w:p>
        </w:tc>
        <w:tc>
          <w:tcPr>
            <w:tcW w:w="61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50F69A84">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约束性</w:t>
            </w:r>
          </w:p>
        </w:tc>
      </w:tr>
      <w:tr w14:paraId="18946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87" w:type="pct"/>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63EEACA0">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0" w:firstLineChars="0"/>
              <w:textAlignment w:val="auto"/>
              <w:rPr>
                <w:rFonts w:hint="eastAsia" w:ascii="Times New Roman" w:hAnsi="Times New Roman" w:eastAsia="方正仿宋_GBK" w:cs="宋体"/>
                <w:kern w:val="2"/>
                <w:sz w:val="28"/>
                <w:szCs w:val="28"/>
                <w:lang w:val="en-US" w:eastAsia="zh-CN" w:bidi="ar-SA"/>
                <w14:ligatures w14:val="standardContextual"/>
              </w:rPr>
            </w:pPr>
          </w:p>
        </w:tc>
        <w:tc>
          <w:tcPr>
            <w:tcW w:w="2009"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22C9F87D">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left"/>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城市细颗粒物（PM2.5）浓度（微克/立方米）</w:t>
            </w:r>
          </w:p>
        </w:tc>
        <w:tc>
          <w:tcPr>
            <w:tcW w:w="658"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719ECD9B">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w:t>
            </w:r>
          </w:p>
        </w:tc>
        <w:tc>
          <w:tcPr>
            <w:tcW w:w="614"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76F294AD">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按省</w:t>
            </w:r>
            <w:r>
              <w:rPr>
                <w:rFonts w:hint="eastAsia" w:cs="宋体"/>
                <w:color w:val="auto"/>
                <w:kern w:val="2"/>
                <w:sz w:val="28"/>
                <w:szCs w:val="28"/>
                <w:lang w:val="en-US" w:eastAsia="zh-CN" w:bidi="ar-SA"/>
                <w14:ligatures w14:val="standardContextual"/>
              </w:rPr>
              <w:t>市要求</w:t>
            </w:r>
          </w:p>
        </w:tc>
        <w:tc>
          <w:tcPr>
            <w:tcW w:w="72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69A5A6E2">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w:t>
            </w:r>
          </w:p>
        </w:tc>
        <w:tc>
          <w:tcPr>
            <w:tcW w:w="61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1A4308F9">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约束性</w:t>
            </w:r>
          </w:p>
        </w:tc>
      </w:tr>
      <w:tr w14:paraId="6FDC8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87" w:type="pct"/>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715E7803">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0" w:firstLineChars="0"/>
              <w:textAlignment w:val="auto"/>
              <w:rPr>
                <w:rFonts w:hint="eastAsia" w:ascii="Times New Roman" w:hAnsi="Times New Roman" w:eastAsia="方正仿宋_GBK" w:cs="宋体"/>
                <w:kern w:val="2"/>
                <w:sz w:val="28"/>
                <w:szCs w:val="28"/>
                <w:lang w:val="en-US" w:eastAsia="zh-CN" w:bidi="ar-SA"/>
                <w14:ligatures w14:val="standardContextual"/>
              </w:rPr>
            </w:pPr>
          </w:p>
        </w:tc>
        <w:tc>
          <w:tcPr>
            <w:tcW w:w="2009"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2BE1D025">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left"/>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cs="宋体"/>
                <w:b w:val="0"/>
                <w:bCs w:val="0"/>
                <w:color w:val="auto"/>
                <w:kern w:val="2"/>
                <w:sz w:val="28"/>
                <w:szCs w:val="28"/>
                <w:lang w:val="en-US" w:eastAsia="zh-CN" w:bidi="ar-SA"/>
                <w14:ligatures w14:val="standardContextual"/>
              </w:rPr>
              <w:t>优良</w:t>
            </w:r>
            <w:r>
              <w:rPr>
                <w:rFonts w:hint="eastAsia" w:ascii="Times New Roman" w:hAnsi="Times New Roman" w:eastAsia="方正仿宋_GBK" w:cs="宋体"/>
                <w:b w:val="0"/>
                <w:bCs w:val="0"/>
                <w:color w:val="auto"/>
                <w:kern w:val="2"/>
                <w:sz w:val="28"/>
                <w:szCs w:val="28"/>
                <w:lang w:val="en-US" w:eastAsia="zh-CN" w:bidi="ar-SA"/>
                <w14:ligatures w14:val="standardContextual"/>
              </w:rPr>
              <w:t>水体比例（%）</w:t>
            </w:r>
          </w:p>
        </w:tc>
        <w:tc>
          <w:tcPr>
            <w:tcW w:w="658"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77E5A73E">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highlight w:val="none"/>
                <w:lang w:val="en-US" w:eastAsia="zh-CN" w:bidi="ar-SA"/>
                <w14:ligatures w14:val="standardContextual"/>
              </w:rPr>
            </w:pPr>
            <w:r>
              <w:rPr>
                <w:rFonts w:hint="eastAsia" w:cs="宋体"/>
                <w:color w:val="auto"/>
                <w:kern w:val="2"/>
                <w:sz w:val="28"/>
                <w:szCs w:val="28"/>
                <w:highlight w:val="none"/>
                <w:lang w:val="en-US" w:eastAsia="zh-CN" w:bidi="ar-SA"/>
                <w14:ligatures w14:val="standardContextual"/>
              </w:rPr>
              <w:t>100</w:t>
            </w:r>
          </w:p>
        </w:tc>
        <w:tc>
          <w:tcPr>
            <w:tcW w:w="614"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2C4CB0E3">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highlight w:val="none"/>
                <w:lang w:val="en-US" w:eastAsia="zh-CN" w:bidi="ar-SA"/>
                <w14:ligatures w14:val="standardContextual"/>
              </w:rPr>
            </w:pPr>
            <w:r>
              <w:rPr>
                <w:rFonts w:hint="eastAsia" w:ascii="Times New Roman" w:hAnsi="Times New Roman" w:eastAsia="方正仿宋_GBK" w:cs="宋体"/>
                <w:color w:val="auto"/>
                <w:kern w:val="2"/>
                <w:sz w:val="28"/>
                <w:szCs w:val="28"/>
                <w:highlight w:val="none"/>
                <w:lang w:val="en-US" w:eastAsia="zh-CN" w:bidi="ar-SA"/>
                <w14:ligatures w14:val="standardContextual"/>
              </w:rPr>
              <w:t>按省</w:t>
            </w:r>
            <w:r>
              <w:rPr>
                <w:rFonts w:hint="eastAsia" w:cs="宋体"/>
                <w:color w:val="auto"/>
                <w:kern w:val="2"/>
                <w:sz w:val="28"/>
                <w:szCs w:val="28"/>
                <w:highlight w:val="none"/>
                <w:lang w:val="en-US" w:eastAsia="zh-CN" w:bidi="ar-SA"/>
                <w14:ligatures w14:val="standardContextual"/>
              </w:rPr>
              <w:t>市要求</w:t>
            </w:r>
          </w:p>
        </w:tc>
        <w:tc>
          <w:tcPr>
            <w:tcW w:w="72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3F338895">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highlight w:val="none"/>
                <w:lang w:val="en-US" w:eastAsia="zh-CN" w:bidi="ar-SA"/>
                <w14:ligatures w14:val="standardContextual"/>
              </w:rPr>
            </w:pPr>
            <w:r>
              <w:rPr>
                <w:rFonts w:hint="eastAsia" w:cs="宋体"/>
                <w:color w:val="auto"/>
                <w:kern w:val="2"/>
                <w:sz w:val="28"/>
                <w:szCs w:val="28"/>
                <w:highlight w:val="none"/>
                <w:lang w:val="en-US" w:eastAsia="zh-CN" w:bidi="ar-SA"/>
                <w14:ligatures w14:val="standardContextual"/>
              </w:rPr>
              <w:t>—</w:t>
            </w:r>
          </w:p>
        </w:tc>
        <w:tc>
          <w:tcPr>
            <w:tcW w:w="61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1062C2DB">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约束性</w:t>
            </w:r>
          </w:p>
        </w:tc>
      </w:tr>
      <w:tr w14:paraId="6C06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87" w:type="pct"/>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5521B8EF">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0" w:firstLineChars="0"/>
              <w:textAlignment w:val="auto"/>
              <w:rPr>
                <w:rFonts w:hint="eastAsia" w:ascii="Times New Roman" w:hAnsi="Times New Roman" w:eastAsia="方正仿宋_GBK" w:cs="宋体"/>
                <w:kern w:val="2"/>
                <w:sz w:val="28"/>
                <w:szCs w:val="28"/>
                <w:lang w:val="en-US" w:eastAsia="zh-CN" w:bidi="ar-SA"/>
                <w14:ligatures w14:val="standardContextual"/>
              </w:rPr>
            </w:pPr>
          </w:p>
        </w:tc>
        <w:tc>
          <w:tcPr>
            <w:tcW w:w="2009"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72764FA0">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left"/>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森林覆盖率（%）</w:t>
            </w:r>
          </w:p>
        </w:tc>
        <w:tc>
          <w:tcPr>
            <w:tcW w:w="658"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2D9B557C">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5.45</w:t>
            </w:r>
          </w:p>
        </w:tc>
        <w:tc>
          <w:tcPr>
            <w:tcW w:w="614"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2636D58A">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5.5</w:t>
            </w:r>
          </w:p>
        </w:tc>
        <w:tc>
          <w:tcPr>
            <w:tcW w:w="72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14061797">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w:t>
            </w:r>
          </w:p>
        </w:tc>
        <w:tc>
          <w:tcPr>
            <w:tcW w:w="61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3466FD0A">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约束性</w:t>
            </w:r>
          </w:p>
        </w:tc>
      </w:tr>
      <w:tr w14:paraId="777D1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87" w:type="pct"/>
            <w:vMerge w:val="restar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210239CC">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kern w:val="2"/>
                <w:sz w:val="28"/>
                <w:szCs w:val="28"/>
                <w:lang w:val="en-US" w:eastAsia="zh-CN" w:bidi="ar-SA"/>
                <w14:ligatures w14:val="standardContextual"/>
              </w:rPr>
            </w:pPr>
            <w:r>
              <w:rPr>
                <w:rFonts w:hint="eastAsia" w:ascii="Times New Roman" w:hAnsi="Times New Roman"/>
                <w:sz w:val="28"/>
                <w:szCs w:val="28"/>
                <w:lang w:val="en-US" w:eastAsia="zh-CN"/>
              </w:rPr>
              <w:t>民生</w:t>
            </w:r>
            <w:r>
              <w:rPr>
                <w:rFonts w:hint="eastAsia" w:ascii="Times New Roman" w:hAnsi="Times New Roman" w:eastAsia="方正仿宋_GBK" w:cs="宋体"/>
                <w:kern w:val="2"/>
                <w:sz w:val="28"/>
                <w:szCs w:val="28"/>
                <w:lang w:val="en-US" w:eastAsia="zh-CN" w:bidi="ar-SA"/>
                <w14:ligatures w14:val="standardContextual"/>
              </w:rPr>
              <w:t>福祉</w:t>
            </w:r>
          </w:p>
        </w:tc>
        <w:tc>
          <w:tcPr>
            <w:tcW w:w="2009"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6B32AA52">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left"/>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城镇居民人均可支配收入增长率（%）</w:t>
            </w:r>
          </w:p>
        </w:tc>
        <w:tc>
          <w:tcPr>
            <w:tcW w:w="658"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0F44D26E">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4.5</w:t>
            </w:r>
          </w:p>
        </w:tc>
        <w:tc>
          <w:tcPr>
            <w:tcW w:w="614"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687529B5">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w:t>
            </w:r>
          </w:p>
        </w:tc>
        <w:tc>
          <w:tcPr>
            <w:tcW w:w="72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16A76487">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与GDP增长基本同步</w:t>
            </w:r>
          </w:p>
        </w:tc>
        <w:tc>
          <w:tcPr>
            <w:tcW w:w="61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592FB0AB">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预期性</w:t>
            </w:r>
          </w:p>
        </w:tc>
      </w:tr>
      <w:tr w14:paraId="2D2B1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387" w:type="pct"/>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319762DD">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0" w:firstLineChars="0"/>
              <w:textAlignment w:val="auto"/>
              <w:rPr>
                <w:rFonts w:hint="eastAsia" w:ascii="Times New Roman" w:hAnsi="Times New Roman" w:eastAsia="方正仿宋_GBK" w:cs="宋体"/>
                <w:kern w:val="2"/>
                <w:sz w:val="28"/>
                <w:szCs w:val="28"/>
                <w:lang w:val="en-US" w:eastAsia="zh-CN" w:bidi="ar-SA"/>
                <w14:ligatures w14:val="standardContextual"/>
              </w:rPr>
            </w:pPr>
          </w:p>
        </w:tc>
        <w:tc>
          <w:tcPr>
            <w:tcW w:w="2009"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15EE508E">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left"/>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农村居民人均可支配收入增长率（%）</w:t>
            </w:r>
          </w:p>
        </w:tc>
        <w:tc>
          <w:tcPr>
            <w:tcW w:w="658"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101B2B1C">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6</w:t>
            </w:r>
          </w:p>
        </w:tc>
        <w:tc>
          <w:tcPr>
            <w:tcW w:w="614"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49BC6D43">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w:t>
            </w:r>
          </w:p>
        </w:tc>
        <w:tc>
          <w:tcPr>
            <w:tcW w:w="72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0AE64F83">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高于GDP 增长率</w:t>
            </w:r>
          </w:p>
        </w:tc>
        <w:tc>
          <w:tcPr>
            <w:tcW w:w="61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41B5254D">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预期性</w:t>
            </w:r>
          </w:p>
        </w:tc>
      </w:tr>
      <w:tr w14:paraId="145FE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87" w:type="pct"/>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26AC99BF">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0" w:firstLineChars="0"/>
              <w:textAlignment w:val="auto"/>
              <w:rPr>
                <w:rFonts w:hint="eastAsia" w:ascii="Times New Roman" w:hAnsi="Times New Roman" w:eastAsia="方正仿宋_GBK" w:cs="宋体"/>
                <w:kern w:val="2"/>
                <w:sz w:val="28"/>
                <w:szCs w:val="28"/>
                <w:lang w:val="en-US" w:eastAsia="zh-CN" w:bidi="ar-SA"/>
                <w14:ligatures w14:val="standardContextual"/>
              </w:rPr>
            </w:pPr>
          </w:p>
        </w:tc>
        <w:tc>
          <w:tcPr>
            <w:tcW w:w="2009"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7BD3224B">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left"/>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劳动年龄人口平均受教育年限（年）</w:t>
            </w:r>
          </w:p>
        </w:tc>
        <w:tc>
          <w:tcPr>
            <w:tcW w:w="658"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35F25E47">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11.21</w:t>
            </w:r>
          </w:p>
        </w:tc>
        <w:tc>
          <w:tcPr>
            <w:tcW w:w="614"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5E25FA92">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11.25</w:t>
            </w:r>
          </w:p>
        </w:tc>
        <w:tc>
          <w:tcPr>
            <w:tcW w:w="72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098ECEC2">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bookmarkStart w:id="253" w:name="_GoBack"/>
            <w:bookmarkEnd w:id="253"/>
            <w:r>
              <w:rPr>
                <w:rFonts w:hint="eastAsia" w:cs="宋体"/>
                <w:color w:val="auto"/>
                <w:kern w:val="2"/>
                <w:sz w:val="28"/>
                <w:szCs w:val="28"/>
                <w:lang w:val="en-US" w:eastAsia="zh-CN" w:bidi="ar-SA"/>
                <w14:ligatures w14:val="standardContextual"/>
              </w:rPr>
              <w:t>—</w:t>
            </w:r>
          </w:p>
        </w:tc>
        <w:tc>
          <w:tcPr>
            <w:tcW w:w="61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4EA10273">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约束性</w:t>
            </w:r>
          </w:p>
        </w:tc>
      </w:tr>
      <w:tr w14:paraId="442D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87" w:type="pct"/>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4F682DD3">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0" w:firstLineChars="0"/>
              <w:textAlignment w:val="auto"/>
              <w:rPr>
                <w:rFonts w:hint="eastAsia" w:ascii="Times New Roman" w:hAnsi="Times New Roman" w:eastAsia="方正仿宋_GBK" w:cs="宋体"/>
                <w:kern w:val="2"/>
                <w:sz w:val="28"/>
                <w:szCs w:val="28"/>
                <w:lang w:val="en-US" w:eastAsia="zh-CN" w:bidi="ar-SA"/>
                <w14:ligatures w14:val="standardContextual"/>
              </w:rPr>
            </w:pPr>
          </w:p>
        </w:tc>
        <w:tc>
          <w:tcPr>
            <w:tcW w:w="2009"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73009EFC">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left"/>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普惠性幼儿园覆盖率</w:t>
            </w:r>
          </w:p>
        </w:tc>
        <w:tc>
          <w:tcPr>
            <w:tcW w:w="658"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4A5E247F">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cs="宋体"/>
                <w:color w:val="auto"/>
                <w:kern w:val="2"/>
                <w:sz w:val="28"/>
                <w:szCs w:val="28"/>
                <w:highlight w:val="none"/>
                <w:lang w:val="en-US" w:eastAsia="zh-CN" w:bidi="ar-SA"/>
                <w14:ligatures w14:val="standardContextual"/>
              </w:rPr>
            </w:pPr>
            <w:r>
              <w:rPr>
                <w:rFonts w:hint="eastAsia" w:cs="宋体"/>
                <w:color w:val="auto"/>
                <w:kern w:val="2"/>
                <w:sz w:val="28"/>
                <w:szCs w:val="28"/>
                <w:highlight w:val="none"/>
                <w:lang w:val="en-US" w:eastAsia="zh-CN" w:bidi="ar-SA"/>
                <w14:ligatures w14:val="standardContextual"/>
              </w:rPr>
              <w:t>67.48</w:t>
            </w:r>
          </w:p>
        </w:tc>
        <w:tc>
          <w:tcPr>
            <w:tcW w:w="614"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4CCFE998">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cs="宋体"/>
                <w:color w:val="auto"/>
                <w:kern w:val="2"/>
                <w:sz w:val="28"/>
                <w:szCs w:val="28"/>
                <w:highlight w:val="none"/>
                <w:lang w:val="en-US" w:eastAsia="zh-CN" w:bidi="ar-SA"/>
                <w14:ligatures w14:val="standardContextual"/>
              </w:rPr>
            </w:pPr>
            <w:r>
              <w:rPr>
                <w:rFonts w:hint="eastAsia" w:cs="宋体"/>
                <w:color w:val="auto"/>
                <w:kern w:val="2"/>
                <w:sz w:val="28"/>
                <w:szCs w:val="28"/>
                <w:highlight w:val="none"/>
                <w:lang w:val="en-US" w:eastAsia="zh-CN" w:bidi="ar-SA"/>
                <w14:ligatures w14:val="standardContextual"/>
              </w:rPr>
              <w:t>90</w:t>
            </w:r>
          </w:p>
        </w:tc>
        <w:tc>
          <w:tcPr>
            <w:tcW w:w="72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0B1EB23E">
            <w:pPr>
              <w:pStyle w:val="17"/>
              <w:keepNext w:val="0"/>
              <w:keepLines w:val="0"/>
              <w:pageBreakBefore w:val="0"/>
              <w:widowControl/>
              <w:suppressLineNumbers w:val="0"/>
              <w:tabs>
                <w:tab w:val="left" w:pos="585"/>
              </w:tabs>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cs="宋体"/>
                <w:color w:val="auto"/>
                <w:kern w:val="2"/>
                <w:sz w:val="28"/>
                <w:szCs w:val="28"/>
                <w:highlight w:val="none"/>
                <w:lang w:val="en-US" w:eastAsia="zh-CN" w:bidi="ar-SA"/>
                <w14:ligatures w14:val="standardContextual"/>
              </w:rPr>
            </w:pPr>
            <w:r>
              <w:rPr>
                <w:rFonts w:hint="eastAsia" w:cs="宋体"/>
                <w:color w:val="auto"/>
                <w:kern w:val="2"/>
                <w:sz w:val="28"/>
                <w:szCs w:val="28"/>
                <w:highlight w:val="none"/>
                <w:lang w:val="en-US" w:eastAsia="zh-CN" w:bidi="ar-SA"/>
                <w14:ligatures w14:val="standardContextual"/>
              </w:rPr>
              <w:t>—</w:t>
            </w:r>
          </w:p>
        </w:tc>
        <w:tc>
          <w:tcPr>
            <w:tcW w:w="61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4656B9FD">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预期性</w:t>
            </w:r>
          </w:p>
        </w:tc>
      </w:tr>
      <w:tr w14:paraId="096E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87" w:type="pct"/>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5AC6D07A">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0" w:firstLineChars="0"/>
              <w:textAlignment w:val="auto"/>
              <w:rPr>
                <w:rFonts w:hint="eastAsia" w:ascii="Times New Roman" w:hAnsi="Times New Roman" w:eastAsia="方正仿宋_GBK" w:cs="宋体"/>
                <w:kern w:val="2"/>
                <w:sz w:val="28"/>
                <w:szCs w:val="28"/>
                <w:lang w:val="en-US" w:eastAsia="zh-CN" w:bidi="ar-SA"/>
                <w14:ligatures w14:val="standardContextual"/>
              </w:rPr>
            </w:pPr>
          </w:p>
        </w:tc>
        <w:tc>
          <w:tcPr>
            <w:tcW w:w="2009"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24F73EA1">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left"/>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高中阶段毛入学率</w:t>
            </w:r>
          </w:p>
        </w:tc>
        <w:tc>
          <w:tcPr>
            <w:tcW w:w="658"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5AF3295E">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cs="宋体"/>
                <w:color w:val="auto"/>
                <w:kern w:val="2"/>
                <w:sz w:val="28"/>
                <w:szCs w:val="28"/>
                <w:highlight w:val="none"/>
                <w:lang w:val="en-US" w:eastAsia="zh-CN" w:bidi="ar-SA"/>
                <w14:ligatures w14:val="standardContextual"/>
              </w:rPr>
            </w:pPr>
            <w:r>
              <w:rPr>
                <w:rFonts w:hint="eastAsia" w:cs="宋体"/>
                <w:color w:val="auto"/>
                <w:kern w:val="2"/>
                <w:sz w:val="28"/>
                <w:szCs w:val="28"/>
                <w:highlight w:val="none"/>
                <w:lang w:val="en-US" w:eastAsia="zh-CN" w:bidi="ar-SA"/>
                <w14:ligatures w14:val="standardContextual"/>
              </w:rPr>
              <w:t>95</w:t>
            </w:r>
          </w:p>
        </w:tc>
        <w:tc>
          <w:tcPr>
            <w:tcW w:w="614"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38431DBE">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cs="宋体"/>
                <w:color w:val="auto"/>
                <w:kern w:val="2"/>
                <w:sz w:val="28"/>
                <w:szCs w:val="28"/>
                <w:highlight w:val="none"/>
                <w:lang w:val="en-US" w:eastAsia="zh-CN" w:bidi="ar-SA"/>
                <w14:ligatures w14:val="standardContextual"/>
              </w:rPr>
            </w:pPr>
            <w:r>
              <w:rPr>
                <w:rFonts w:hint="eastAsia" w:cs="宋体"/>
                <w:color w:val="auto"/>
                <w:kern w:val="2"/>
                <w:sz w:val="28"/>
                <w:szCs w:val="28"/>
                <w:highlight w:val="none"/>
                <w:lang w:val="en-US" w:eastAsia="zh-CN" w:bidi="ar-SA"/>
                <w14:ligatures w14:val="standardContextual"/>
              </w:rPr>
              <w:t>95</w:t>
            </w:r>
          </w:p>
        </w:tc>
        <w:tc>
          <w:tcPr>
            <w:tcW w:w="72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576AA3F3">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cs="宋体"/>
                <w:color w:val="auto"/>
                <w:kern w:val="2"/>
                <w:sz w:val="28"/>
                <w:szCs w:val="28"/>
                <w:highlight w:val="none"/>
                <w:lang w:val="en-US" w:eastAsia="zh-CN" w:bidi="ar-SA"/>
                <w14:ligatures w14:val="standardContextual"/>
              </w:rPr>
            </w:pPr>
            <w:r>
              <w:rPr>
                <w:rFonts w:hint="eastAsia" w:cs="宋体"/>
                <w:color w:val="auto"/>
                <w:kern w:val="2"/>
                <w:sz w:val="28"/>
                <w:szCs w:val="28"/>
                <w:highlight w:val="none"/>
                <w:lang w:val="en-US" w:eastAsia="zh-CN" w:bidi="ar-SA"/>
                <w14:ligatures w14:val="standardContextual"/>
              </w:rPr>
              <w:t>—</w:t>
            </w:r>
          </w:p>
        </w:tc>
        <w:tc>
          <w:tcPr>
            <w:tcW w:w="61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3D1ECBDD">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预期性</w:t>
            </w:r>
          </w:p>
        </w:tc>
      </w:tr>
      <w:tr w14:paraId="51D71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87" w:type="pct"/>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6A8F922A">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0" w:firstLineChars="0"/>
              <w:textAlignment w:val="auto"/>
              <w:rPr>
                <w:rFonts w:hint="eastAsia" w:ascii="Times New Roman" w:hAnsi="Times New Roman" w:eastAsia="方正仿宋_GBK" w:cs="宋体"/>
                <w:kern w:val="2"/>
                <w:sz w:val="28"/>
                <w:szCs w:val="28"/>
                <w:lang w:val="en-US" w:eastAsia="zh-CN" w:bidi="ar-SA"/>
                <w14:ligatures w14:val="standardContextual"/>
              </w:rPr>
            </w:pPr>
          </w:p>
        </w:tc>
        <w:tc>
          <w:tcPr>
            <w:tcW w:w="2009"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508B6D02">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left"/>
              <w:textAlignment w:val="auto"/>
              <w:rPr>
                <w:rFonts w:hint="eastAsia" w:cs="宋体"/>
                <w:b w:val="0"/>
                <w:bCs w:val="0"/>
                <w:color w:val="auto"/>
                <w:kern w:val="2"/>
                <w:sz w:val="28"/>
                <w:szCs w:val="28"/>
                <w:lang w:val="en-US" w:eastAsia="zh-CN" w:bidi="ar-SA"/>
                <w14:ligatures w14:val="standardContextual"/>
              </w:rPr>
            </w:pPr>
            <w:r>
              <w:rPr>
                <w:rFonts w:hint="eastAsia" w:cs="宋体"/>
                <w:b w:val="0"/>
                <w:bCs w:val="0"/>
                <w:color w:val="auto"/>
                <w:kern w:val="2"/>
                <w:sz w:val="28"/>
                <w:szCs w:val="28"/>
                <w:lang w:val="en-US" w:eastAsia="zh-CN" w:bidi="ar-SA"/>
                <w14:ligatures w14:val="standardContextual"/>
              </w:rPr>
              <w:t>累计城镇新增就业人数（人）</w:t>
            </w:r>
          </w:p>
        </w:tc>
        <w:tc>
          <w:tcPr>
            <w:tcW w:w="658"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6AC59501">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cs="宋体"/>
                <w:b w:val="0"/>
                <w:bCs w:val="0"/>
                <w:color w:val="auto"/>
                <w:kern w:val="2"/>
                <w:sz w:val="28"/>
                <w:szCs w:val="28"/>
                <w:highlight w:val="none"/>
                <w:lang w:val="en-US" w:eastAsia="zh-CN" w:bidi="ar-SA"/>
                <w14:ligatures w14:val="standardContextual"/>
              </w:rPr>
            </w:pPr>
            <w:r>
              <w:rPr>
                <w:rFonts w:hint="eastAsia" w:cs="宋体"/>
                <w:b w:val="0"/>
                <w:bCs w:val="0"/>
                <w:color w:val="auto"/>
                <w:kern w:val="2"/>
                <w:sz w:val="28"/>
                <w:szCs w:val="28"/>
                <w:highlight w:val="none"/>
                <w:lang w:val="en-US" w:eastAsia="zh-CN" w:bidi="ar-SA"/>
                <w14:ligatures w14:val="standardContextual"/>
              </w:rPr>
              <w:t>4066</w:t>
            </w:r>
          </w:p>
        </w:tc>
        <w:tc>
          <w:tcPr>
            <w:tcW w:w="614"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69756512">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cs="宋体"/>
                <w:color w:val="auto"/>
                <w:kern w:val="2"/>
                <w:sz w:val="28"/>
                <w:szCs w:val="28"/>
                <w:highlight w:val="none"/>
                <w:lang w:val="en-US" w:eastAsia="zh-CN" w:bidi="ar-SA"/>
                <w14:ligatures w14:val="standardContextual"/>
              </w:rPr>
            </w:pPr>
            <w:r>
              <w:rPr>
                <w:rFonts w:hint="eastAsia" w:cs="宋体"/>
                <w:color w:val="auto"/>
                <w:kern w:val="2"/>
                <w:sz w:val="28"/>
                <w:szCs w:val="28"/>
                <w:lang w:val="en-US" w:eastAsia="zh-CN" w:bidi="ar-SA"/>
                <w14:ligatures w14:val="standardContextual"/>
              </w:rPr>
              <w:t>3500</w:t>
            </w:r>
          </w:p>
        </w:tc>
        <w:tc>
          <w:tcPr>
            <w:tcW w:w="72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3407D96F">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cs="宋体"/>
                <w:b/>
                <w:bCs/>
                <w:color w:val="auto"/>
                <w:kern w:val="2"/>
                <w:sz w:val="28"/>
                <w:szCs w:val="28"/>
                <w:highlight w:val="none"/>
                <w:lang w:val="en-US" w:eastAsia="zh-CN" w:bidi="ar-SA"/>
                <w14:ligatures w14:val="standardContextual"/>
              </w:rPr>
            </w:pPr>
            <w:r>
              <w:rPr>
                <w:rFonts w:hint="eastAsia" w:cs="宋体"/>
                <w:color w:val="auto"/>
                <w:kern w:val="2"/>
                <w:sz w:val="28"/>
                <w:szCs w:val="28"/>
                <w:highlight w:val="none"/>
                <w:lang w:val="en-US" w:eastAsia="zh-CN" w:bidi="ar-SA"/>
                <w14:ligatures w14:val="standardContextual"/>
              </w:rPr>
              <w:t>—</w:t>
            </w:r>
          </w:p>
        </w:tc>
        <w:tc>
          <w:tcPr>
            <w:tcW w:w="61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33D520A8">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预期性</w:t>
            </w:r>
          </w:p>
        </w:tc>
      </w:tr>
      <w:tr w14:paraId="3F989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87" w:type="pct"/>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03E76263">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0" w:firstLineChars="0"/>
              <w:textAlignment w:val="auto"/>
              <w:rPr>
                <w:rFonts w:hint="eastAsia" w:ascii="Times New Roman" w:hAnsi="Times New Roman" w:eastAsia="方正仿宋_GBK" w:cs="宋体"/>
                <w:kern w:val="2"/>
                <w:sz w:val="28"/>
                <w:szCs w:val="28"/>
                <w:lang w:val="en-US" w:eastAsia="zh-CN" w:bidi="ar-SA"/>
                <w14:ligatures w14:val="standardContextual"/>
              </w:rPr>
            </w:pPr>
          </w:p>
        </w:tc>
        <w:tc>
          <w:tcPr>
            <w:tcW w:w="2009"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575F2D12">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left"/>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每千人口拥有执业医师数（人）</w:t>
            </w:r>
          </w:p>
        </w:tc>
        <w:tc>
          <w:tcPr>
            <w:tcW w:w="658"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1044FEBD">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b w:val="0"/>
                <w:bCs w:val="0"/>
                <w:color w:val="auto"/>
                <w:kern w:val="2"/>
                <w:sz w:val="28"/>
                <w:szCs w:val="28"/>
                <w:lang w:val="en-US" w:eastAsia="zh-CN" w:bidi="ar-SA"/>
                <w14:ligatures w14:val="standardContextual"/>
              </w:rPr>
            </w:pPr>
            <w:r>
              <w:rPr>
                <w:rFonts w:hint="eastAsia" w:cs="宋体"/>
                <w:b w:val="0"/>
                <w:bCs w:val="0"/>
                <w:color w:val="auto"/>
                <w:kern w:val="2"/>
                <w:sz w:val="28"/>
                <w:szCs w:val="28"/>
                <w:lang w:val="en-US" w:eastAsia="zh-CN" w:bidi="ar-SA"/>
                <w14:ligatures w14:val="standardContextual"/>
              </w:rPr>
              <w:t>2.48</w:t>
            </w:r>
          </w:p>
        </w:tc>
        <w:tc>
          <w:tcPr>
            <w:tcW w:w="614"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650CCAFA">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b w:val="0"/>
                <w:bCs w:val="0"/>
                <w:color w:val="auto"/>
                <w:kern w:val="2"/>
                <w:sz w:val="28"/>
                <w:szCs w:val="28"/>
                <w:lang w:val="en-US" w:eastAsia="zh-CN" w:bidi="ar-SA"/>
                <w14:ligatures w14:val="standardContextual"/>
              </w:rPr>
            </w:pPr>
            <w:r>
              <w:rPr>
                <w:rFonts w:hint="eastAsia" w:cs="宋体"/>
                <w:b w:val="0"/>
                <w:bCs w:val="0"/>
                <w:color w:val="auto"/>
                <w:kern w:val="2"/>
                <w:sz w:val="28"/>
                <w:szCs w:val="28"/>
                <w:lang w:val="en-US" w:eastAsia="zh-CN" w:bidi="ar-SA"/>
                <w14:ligatures w14:val="standardContextual"/>
              </w:rPr>
              <w:t>3.54</w:t>
            </w:r>
          </w:p>
        </w:tc>
        <w:tc>
          <w:tcPr>
            <w:tcW w:w="72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5D462867">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w:t>
            </w:r>
          </w:p>
        </w:tc>
        <w:tc>
          <w:tcPr>
            <w:tcW w:w="61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1EDC33A9">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预期</w:t>
            </w:r>
            <w:r>
              <w:rPr>
                <w:rFonts w:hint="eastAsia" w:ascii="Times New Roman" w:hAnsi="Times New Roman" w:eastAsia="方正仿宋_GBK" w:cs="宋体"/>
                <w:color w:val="auto"/>
                <w:kern w:val="2"/>
                <w:sz w:val="28"/>
                <w:szCs w:val="28"/>
                <w:lang w:val="en-US" w:eastAsia="zh-CN" w:bidi="ar-SA"/>
                <w14:ligatures w14:val="standardContextual"/>
              </w:rPr>
              <w:t>性</w:t>
            </w:r>
          </w:p>
        </w:tc>
      </w:tr>
      <w:tr w14:paraId="6F615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87" w:type="pct"/>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61973ADC">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0" w:firstLineChars="0"/>
              <w:textAlignment w:val="auto"/>
              <w:rPr>
                <w:rFonts w:hint="eastAsia" w:ascii="Times New Roman" w:hAnsi="Times New Roman" w:eastAsia="方正仿宋_GBK" w:cs="宋体"/>
                <w:kern w:val="2"/>
                <w:sz w:val="28"/>
                <w:szCs w:val="28"/>
                <w:lang w:val="en-US" w:eastAsia="zh-CN" w:bidi="ar-SA"/>
                <w14:ligatures w14:val="standardContextual"/>
              </w:rPr>
            </w:pPr>
          </w:p>
        </w:tc>
        <w:tc>
          <w:tcPr>
            <w:tcW w:w="2009"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1BB3358F">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left"/>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每千人口拥有注册护士数（人）</w:t>
            </w:r>
          </w:p>
        </w:tc>
        <w:tc>
          <w:tcPr>
            <w:tcW w:w="658"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6CCB42CB">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cs="宋体"/>
                <w:b w:val="0"/>
                <w:bCs w:val="0"/>
                <w:color w:val="auto"/>
                <w:kern w:val="2"/>
                <w:sz w:val="28"/>
                <w:szCs w:val="28"/>
                <w:lang w:val="en-US" w:eastAsia="zh-CN" w:bidi="ar-SA"/>
                <w14:ligatures w14:val="standardContextual"/>
              </w:rPr>
            </w:pPr>
            <w:r>
              <w:rPr>
                <w:rFonts w:hint="eastAsia" w:cs="宋体"/>
                <w:b w:val="0"/>
                <w:bCs w:val="0"/>
                <w:color w:val="auto"/>
                <w:kern w:val="2"/>
                <w:sz w:val="28"/>
                <w:szCs w:val="28"/>
                <w:lang w:val="en-US" w:eastAsia="zh-CN" w:bidi="ar-SA"/>
                <w14:ligatures w14:val="standardContextual"/>
              </w:rPr>
              <w:t>2.24</w:t>
            </w:r>
          </w:p>
        </w:tc>
        <w:tc>
          <w:tcPr>
            <w:tcW w:w="614"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0801560E">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cs="宋体"/>
                <w:b w:val="0"/>
                <w:bCs w:val="0"/>
                <w:color w:val="auto"/>
                <w:kern w:val="2"/>
                <w:sz w:val="28"/>
                <w:szCs w:val="28"/>
                <w:lang w:val="en-US" w:eastAsia="zh-CN" w:bidi="ar-SA"/>
                <w14:ligatures w14:val="standardContextual"/>
              </w:rPr>
            </w:pPr>
            <w:r>
              <w:rPr>
                <w:rFonts w:hint="eastAsia" w:cs="宋体"/>
                <w:b w:val="0"/>
                <w:bCs w:val="0"/>
                <w:color w:val="auto"/>
                <w:kern w:val="2"/>
                <w:sz w:val="28"/>
                <w:szCs w:val="28"/>
                <w:lang w:val="en-US" w:eastAsia="zh-CN" w:bidi="ar-SA"/>
                <w14:ligatures w14:val="standardContextual"/>
              </w:rPr>
              <w:t>4.2</w:t>
            </w:r>
          </w:p>
        </w:tc>
        <w:tc>
          <w:tcPr>
            <w:tcW w:w="72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3BDDC239">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w:t>
            </w:r>
          </w:p>
        </w:tc>
        <w:tc>
          <w:tcPr>
            <w:tcW w:w="61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70364336">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预期性</w:t>
            </w:r>
          </w:p>
        </w:tc>
      </w:tr>
      <w:tr w14:paraId="1AC83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4" w:hRule="atLeast"/>
        </w:trPr>
        <w:tc>
          <w:tcPr>
            <w:tcW w:w="387" w:type="pct"/>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64EE58B1">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0" w:firstLineChars="0"/>
              <w:textAlignment w:val="auto"/>
              <w:rPr>
                <w:rFonts w:hint="eastAsia" w:ascii="Times New Roman" w:hAnsi="Times New Roman" w:eastAsia="方正仿宋_GBK" w:cs="宋体"/>
                <w:kern w:val="2"/>
                <w:sz w:val="28"/>
                <w:szCs w:val="28"/>
                <w:lang w:val="en-US" w:eastAsia="zh-CN" w:bidi="ar-SA"/>
                <w14:ligatures w14:val="standardContextual"/>
              </w:rPr>
            </w:pPr>
          </w:p>
        </w:tc>
        <w:tc>
          <w:tcPr>
            <w:tcW w:w="2009"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0C1B4065">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left"/>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3岁以下婴幼儿入托率提高（百分点）</w:t>
            </w:r>
          </w:p>
        </w:tc>
        <w:tc>
          <w:tcPr>
            <w:tcW w:w="1272" w:type="pct"/>
            <w:gridSpan w:val="2"/>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152F0A31">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cs="宋体"/>
                <w:b w:val="0"/>
                <w:bCs w:val="0"/>
                <w:color w:val="auto"/>
                <w:kern w:val="2"/>
                <w:sz w:val="28"/>
                <w:szCs w:val="28"/>
                <w:lang w:val="en-US" w:eastAsia="zh-CN" w:bidi="ar-SA"/>
                <w14:ligatures w14:val="standardContextual"/>
              </w:rPr>
            </w:pPr>
            <w:r>
              <w:rPr>
                <w:rFonts w:hint="eastAsia" w:cs="宋体"/>
                <w:b w:val="0"/>
                <w:bCs w:val="0"/>
                <w:color w:val="auto"/>
                <w:kern w:val="2"/>
                <w:sz w:val="28"/>
                <w:szCs w:val="28"/>
                <w:lang w:val="en-US" w:eastAsia="zh-CN" w:bidi="ar-SA"/>
                <w14:ligatures w14:val="standardContextual"/>
              </w:rPr>
              <w:t>3</w:t>
            </w:r>
          </w:p>
        </w:tc>
        <w:tc>
          <w:tcPr>
            <w:tcW w:w="72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7668EB7B">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w:t>
            </w:r>
          </w:p>
        </w:tc>
        <w:tc>
          <w:tcPr>
            <w:tcW w:w="61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663D94D5">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预期性</w:t>
            </w:r>
          </w:p>
        </w:tc>
      </w:tr>
      <w:tr w14:paraId="5D99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87" w:type="pct"/>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2251967F">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0" w:firstLineChars="0"/>
              <w:textAlignment w:val="auto"/>
              <w:rPr>
                <w:rFonts w:hint="eastAsia" w:ascii="Times New Roman" w:hAnsi="Times New Roman" w:eastAsia="方正仿宋_GBK" w:cs="宋体"/>
                <w:kern w:val="2"/>
                <w:sz w:val="28"/>
                <w:szCs w:val="28"/>
                <w:lang w:val="en-US" w:eastAsia="zh-CN" w:bidi="ar-SA"/>
                <w14:ligatures w14:val="standardContextual"/>
              </w:rPr>
            </w:pPr>
          </w:p>
        </w:tc>
        <w:tc>
          <w:tcPr>
            <w:tcW w:w="2009"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2286CBF1">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left"/>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b w:val="0"/>
                <w:bCs w:val="0"/>
                <w:color w:val="auto"/>
                <w:kern w:val="2"/>
                <w:sz w:val="28"/>
                <w:szCs w:val="28"/>
                <w:lang w:val="en-US" w:eastAsia="zh-CN" w:bidi="ar-SA"/>
                <w14:ligatures w14:val="standardContextual"/>
              </w:rPr>
              <w:t>养老机构护理型床位占比（%）</w:t>
            </w:r>
          </w:p>
        </w:tc>
        <w:tc>
          <w:tcPr>
            <w:tcW w:w="658"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62F2DD8C">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cs="宋体"/>
                <w:b w:val="0"/>
                <w:bCs w:val="0"/>
                <w:color w:val="auto"/>
                <w:kern w:val="2"/>
                <w:sz w:val="28"/>
                <w:szCs w:val="28"/>
                <w:lang w:val="en-US" w:eastAsia="zh-CN" w:bidi="ar-SA"/>
                <w14:ligatures w14:val="standardContextual"/>
              </w:rPr>
            </w:pPr>
            <w:r>
              <w:rPr>
                <w:rFonts w:hint="eastAsia" w:cs="宋体"/>
                <w:b w:val="0"/>
                <w:bCs w:val="0"/>
                <w:color w:val="auto"/>
                <w:kern w:val="2"/>
                <w:sz w:val="28"/>
                <w:szCs w:val="28"/>
                <w:lang w:val="en-US" w:eastAsia="zh-CN" w:bidi="ar-SA"/>
                <w14:ligatures w14:val="standardContextual"/>
              </w:rPr>
              <w:t>68</w:t>
            </w:r>
          </w:p>
        </w:tc>
        <w:tc>
          <w:tcPr>
            <w:tcW w:w="614"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2AB7FB8C">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cs="宋体"/>
                <w:b w:val="0"/>
                <w:bCs w:val="0"/>
                <w:color w:val="auto"/>
                <w:kern w:val="2"/>
                <w:sz w:val="28"/>
                <w:szCs w:val="28"/>
                <w:lang w:val="en-US" w:eastAsia="zh-CN" w:bidi="ar-SA"/>
                <w14:ligatures w14:val="standardContextual"/>
              </w:rPr>
            </w:pPr>
            <w:r>
              <w:rPr>
                <w:rFonts w:hint="eastAsia" w:cs="宋体"/>
                <w:b w:val="0"/>
                <w:bCs w:val="0"/>
                <w:color w:val="auto"/>
                <w:kern w:val="2"/>
                <w:sz w:val="28"/>
                <w:szCs w:val="28"/>
                <w:lang w:val="en-US" w:eastAsia="zh-CN" w:bidi="ar-SA"/>
                <w14:ligatures w14:val="standardContextual"/>
              </w:rPr>
              <w:t>73</w:t>
            </w:r>
          </w:p>
        </w:tc>
        <w:tc>
          <w:tcPr>
            <w:tcW w:w="72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282BCB1D">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cs="宋体"/>
                <w:color w:val="auto"/>
                <w:kern w:val="2"/>
                <w:sz w:val="28"/>
                <w:szCs w:val="28"/>
                <w:lang w:val="en-US" w:eastAsia="zh-CN" w:bidi="ar-SA"/>
                <w14:ligatures w14:val="standardContextual"/>
              </w:rPr>
            </w:pPr>
            <w:r>
              <w:rPr>
                <w:rFonts w:hint="eastAsia" w:cs="宋体"/>
                <w:color w:val="auto"/>
                <w:kern w:val="2"/>
                <w:sz w:val="28"/>
                <w:szCs w:val="28"/>
                <w:highlight w:val="none"/>
                <w:lang w:val="en-US" w:eastAsia="zh-CN" w:bidi="ar-SA"/>
                <w14:ligatures w14:val="standardContextual"/>
              </w:rPr>
              <w:t>—</w:t>
            </w:r>
          </w:p>
        </w:tc>
        <w:tc>
          <w:tcPr>
            <w:tcW w:w="61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2424C28A">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预期性</w:t>
            </w:r>
          </w:p>
        </w:tc>
      </w:tr>
      <w:tr w14:paraId="1591F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87" w:type="pct"/>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009514DD">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0" w:firstLineChars="0"/>
              <w:textAlignment w:val="auto"/>
              <w:rPr>
                <w:rFonts w:hint="eastAsia" w:ascii="Times New Roman" w:hAnsi="Times New Roman" w:eastAsia="方正仿宋_GBK" w:cs="宋体"/>
                <w:kern w:val="2"/>
                <w:sz w:val="28"/>
                <w:szCs w:val="28"/>
                <w:lang w:val="en-US" w:eastAsia="zh-CN" w:bidi="ar-SA"/>
                <w14:ligatures w14:val="standardContextual"/>
              </w:rPr>
            </w:pPr>
          </w:p>
        </w:tc>
        <w:tc>
          <w:tcPr>
            <w:tcW w:w="2009"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24AEB35B">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left"/>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人均预期寿命（岁）</w:t>
            </w:r>
          </w:p>
        </w:tc>
        <w:tc>
          <w:tcPr>
            <w:tcW w:w="658"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064C7253">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77</w:t>
            </w:r>
          </w:p>
        </w:tc>
        <w:tc>
          <w:tcPr>
            <w:tcW w:w="614"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680FCF04">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80左右</w:t>
            </w:r>
          </w:p>
        </w:tc>
        <w:tc>
          <w:tcPr>
            <w:tcW w:w="72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39C82C49">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w:t>
            </w:r>
          </w:p>
        </w:tc>
        <w:tc>
          <w:tcPr>
            <w:tcW w:w="61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7EDD5C67">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预期性</w:t>
            </w:r>
          </w:p>
        </w:tc>
      </w:tr>
      <w:tr w14:paraId="51AD8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87" w:type="pct"/>
            <w:vMerge w:val="restar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3BD1D2B8">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kern w:val="2"/>
                <w:sz w:val="28"/>
                <w:szCs w:val="28"/>
                <w:lang w:val="en-US" w:eastAsia="zh-CN" w:bidi="ar-SA"/>
                <w14:ligatures w14:val="standardContextual"/>
              </w:rPr>
            </w:pPr>
            <w:r>
              <w:rPr>
                <w:rFonts w:hint="eastAsia" w:ascii="Times New Roman" w:hAnsi="Times New Roman" w:eastAsia="方正仿宋_GBK" w:cs="宋体"/>
                <w:kern w:val="2"/>
                <w:sz w:val="28"/>
                <w:szCs w:val="28"/>
                <w:lang w:val="en-US" w:eastAsia="zh-CN" w:bidi="ar-SA"/>
                <w14:ligatures w14:val="standardContextual"/>
              </w:rPr>
              <w:t>安全保障</w:t>
            </w:r>
          </w:p>
        </w:tc>
        <w:tc>
          <w:tcPr>
            <w:tcW w:w="2009"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19ED6751">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left"/>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粮食综合生产能力（亿斤）</w:t>
            </w:r>
          </w:p>
        </w:tc>
        <w:tc>
          <w:tcPr>
            <w:tcW w:w="658"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3A27359B">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60.65</w:t>
            </w:r>
          </w:p>
        </w:tc>
        <w:tc>
          <w:tcPr>
            <w:tcW w:w="614"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5B013E7F">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66</w:t>
            </w:r>
          </w:p>
        </w:tc>
        <w:tc>
          <w:tcPr>
            <w:tcW w:w="72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7C54519E">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w:t>
            </w:r>
          </w:p>
        </w:tc>
        <w:tc>
          <w:tcPr>
            <w:tcW w:w="61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370B2691">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约束性</w:t>
            </w:r>
          </w:p>
        </w:tc>
      </w:tr>
      <w:tr w14:paraId="0399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2" w:hRule="atLeast"/>
        </w:trPr>
        <w:tc>
          <w:tcPr>
            <w:tcW w:w="387" w:type="pct"/>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40EED170">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0" w:firstLineChars="0"/>
              <w:textAlignment w:val="auto"/>
              <w:rPr>
                <w:rFonts w:hint="eastAsia" w:ascii="Times New Roman" w:hAnsi="Times New Roman" w:eastAsia="方正仿宋_GBK" w:cs="宋体"/>
                <w:kern w:val="2"/>
                <w:sz w:val="28"/>
                <w:szCs w:val="28"/>
                <w:lang w:val="en-US" w:eastAsia="zh-CN" w:bidi="ar-SA"/>
                <w14:ligatures w14:val="standardContextual"/>
              </w:rPr>
            </w:pPr>
          </w:p>
        </w:tc>
        <w:tc>
          <w:tcPr>
            <w:tcW w:w="2009"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4F3CECCD">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left"/>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能源综合生产能力（万吨标煤）</w:t>
            </w:r>
          </w:p>
        </w:tc>
        <w:tc>
          <w:tcPr>
            <w:tcW w:w="658"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5E8EC0AD">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w:t>
            </w:r>
          </w:p>
        </w:tc>
        <w:tc>
          <w:tcPr>
            <w:tcW w:w="614"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4C351DB5">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kern w:val="2"/>
                <w:sz w:val="28"/>
                <w:szCs w:val="28"/>
                <w:highlight w:val="none"/>
                <w:lang w:val="en-US" w:eastAsia="zh-CN" w:bidi="ar-SA"/>
                <w14:ligatures w14:val="standardContextual"/>
              </w:rPr>
              <w:t>按省</w:t>
            </w:r>
            <w:r>
              <w:rPr>
                <w:rFonts w:hint="eastAsia" w:cs="宋体"/>
                <w:kern w:val="2"/>
                <w:sz w:val="28"/>
                <w:szCs w:val="28"/>
                <w:highlight w:val="none"/>
                <w:lang w:val="en-US" w:eastAsia="zh-CN" w:bidi="ar-SA"/>
                <w14:ligatures w14:val="standardContextual"/>
              </w:rPr>
              <w:t>市要求</w:t>
            </w:r>
          </w:p>
        </w:tc>
        <w:tc>
          <w:tcPr>
            <w:tcW w:w="72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571F443A">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方正仿宋_GBK" w:cs="宋体"/>
                <w:color w:val="auto"/>
                <w:kern w:val="2"/>
                <w:sz w:val="28"/>
                <w:szCs w:val="28"/>
                <w:lang w:val="en-US" w:eastAsia="zh-CN" w:bidi="ar-SA"/>
                <w14:ligatures w14:val="standardContextual"/>
              </w:rPr>
            </w:pPr>
            <w:r>
              <w:rPr>
                <w:rFonts w:hint="eastAsia" w:cs="宋体"/>
                <w:color w:val="auto"/>
                <w:kern w:val="2"/>
                <w:sz w:val="28"/>
                <w:szCs w:val="28"/>
                <w:lang w:val="en-US" w:eastAsia="zh-CN" w:bidi="ar-SA"/>
                <w14:ligatures w14:val="standardContextual"/>
              </w:rPr>
              <w:t>—</w:t>
            </w:r>
          </w:p>
        </w:tc>
        <w:tc>
          <w:tcPr>
            <w:tcW w:w="610" w:type="pct"/>
            <w:tcBorders>
              <w:top w:val="single" w:color="000000" w:sz="2" w:space="0"/>
              <w:left w:val="single" w:color="000000" w:sz="2" w:space="0"/>
              <w:bottom w:val="single" w:color="000000" w:sz="2" w:space="0"/>
              <w:right w:val="single" w:color="000000" w:sz="2" w:space="0"/>
            </w:tcBorders>
            <w:shd w:val="clear" w:color="auto" w:fill="auto"/>
            <w:tcMar>
              <w:top w:w="10" w:type="dxa"/>
              <w:left w:w="10" w:type="dxa"/>
              <w:right w:w="10" w:type="dxa"/>
            </w:tcMar>
            <w:vAlign w:val="center"/>
          </w:tcPr>
          <w:p w14:paraId="0ACB0113">
            <w:pPr>
              <w:pStyle w:val="17"/>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宋体"/>
                <w:color w:val="auto"/>
                <w:kern w:val="2"/>
                <w:sz w:val="28"/>
                <w:szCs w:val="28"/>
                <w:lang w:val="en-US" w:eastAsia="zh-CN" w:bidi="ar-SA"/>
                <w14:ligatures w14:val="standardContextual"/>
              </w:rPr>
            </w:pPr>
            <w:r>
              <w:rPr>
                <w:rFonts w:hint="eastAsia" w:ascii="Times New Roman" w:hAnsi="Times New Roman" w:eastAsia="方正仿宋_GBK" w:cs="宋体"/>
                <w:color w:val="auto"/>
                <w:kern w:val="2"/>
                <w:sz w:val="28"/>
                <w:szCs w:val="28"/>
                <w:lang w:val="en-US" w:eastAsia="zh-CN" w:bidi="ar-SA"/>
                <w14:ligatures w14:val="standardContextual"/>
              </w:rPr>
              <w:t>约束性</w:t>
            </w:r>
          </w:p>
        </w:tc>
      </w:tr>
    </w:tbl>
    <w:p w14:paraId="3483B755">
      <w:pPr>
        <w:pStyle w:val="7"/>
        <w:bidi w:val="0"/>
        <w:rPr>
          <w:rFonts w:hint="eastAsia" w:ascii="Times New Roman" w:hAnsi="Times New Roman"/>
          <w:b/>
          <w:lang w:val="en-US" w:eastAsia="zh-CN"/>
        </w:rPr>
      </w:pPr>
      <w:bookmarkStart w:id="39" w:name="_Toc7019"/>
      <w:bookmarkStart w:id="40" w:name="_Toc6895"/>
      <w:bookmarkStart w:id="41" w:name="_Toc8980"/>
    </w:p>
    <w:p w14:paraId="0593998B">
      <w:pPr>
        <w:pStyle w:val="7"/>
        <w:bidi w:val="0"/>
        <w:rPr>
          <w:rFonts w:hint="default" w:ascii="Times New Roman" w:hAnsi="Times New Roman"/>
          <w:b/>
          <w:lang w:val="en-US" w:eastAsia="zh-CN"/>
        </w:rPr>
      </w:pPr>
      <w:r>
        <w:rPr>
          <w:rFonts w:hint="eastAsia" w:ascii="Times New Roman" w:hAnsi="Times New Roman"/>
          <w:b/>
          <w:lang w:val="en-US" w:eastAsia="zh-CN"/>
        </w:rPr>
        <w:t>第三节  空间布局</w:t>
      </w:r>
      <w:bookmarkEnd w:id="39"/>
      <w:bookmarkEnd w:id="40"/>
      <w:bookmarkEnd w:id="41"/>
    </w:p>
    <w:p w14:paraId="6A62ED21">
      <w:pPr>
        <w:rPr>
          <w:rFonts w:hint="eastAsia" w:ascii="Times New Roman" w:hAnsi="Times New Roman"/>
          <w:lang w:val="en-US" w:eastAsia="zh-CN"/>
        </w:rPr>
      </w:pPr>
      <w:r>
        <w:rPr>
          <w:rFonts w:hint="eastAsia" w:ascii="Times New Roman" w:hAnsi="Times New Roman"/>
          <w:lang w:val="en-US" w:eastAsia="zh-CN"/>
        </w:rPr>
        <w:t>深度融合农安特色产业、历史文化与自然资源，构建“双核三带多组团”的空间发展新格局，推动县域经济、生态、文化全面提升。</w:t>
      </w:r>
    </w:p>
    <w:p w14:paraId="1C5A119E">
      <w:pPr>
        <w:rPr>
          <w:rFonts w:hint="eastAsia" w:ascii="Times New Roman" w:hAnsi="Times New Roman"/>
          <w:b/>
          <w:bCs/>
          <w:lang w:val="en-US" w:eastAsia="zh-CN"/>
        </w:rPr>
      </w:pPr>
      <w:r>
        <w:rPr>
          <w:rFonts w:hint="eastAsia" w:ascii="Times New Roman" w:hAnsi="Times New Roman"/>
          <w:b/>
          <w:bCs/>
          <w:lang w:val="en-US" w:eastAsia="zh-CN"/>
        </w:rPr>
        <w:t>双核：</w:t>
      </w:r>
    </w:p>
    <w:p w14:paraId="79A322F4">
      <w:pPr>
        <w:rPr>
          <w:rFonts w:hint="eastAsia" w:ascii="Times New Roman" w:hAnsi="Times New Roman"/>
          <w:lang w:val="en-US" w:eastAsia="zh-CN"/>
        </w:rPr>
      </w:pPr>
      <w:r>
        <w:rPr>
          <w:rFonts w:hint="eastAsia" w:ascii="Times New Roman" w:hAnsi="Times New Roman"/>
          <w:b/>
          <w:bCs/>
          <w:lang w:val="en-US" w:eastAsia="zh-CN"/>
        </w:rPr>
        <w:t>县城政治文化服务中心：</w:t>
      </w:r>
      <w:r>
        <w:rPr>
          <w:rFonts w:hint="eastAsia" w:ascii="Times New Roman" w:hAnsi="Times New Roman"/>
          <w:lang w:val="en-US" w:eastAsia="zh-CN"/>
        </w:rPr>
        <w:t>强化县城作为全县政治、文化、公共服务中心的地位，提升综合承载力和城市品质。</w:t>
      </w:r>
    </w:p>
    <w:p w14:paraId="0A7ACC42">
      <w:pPr>
        <w:rPr>
          <w:rFonts w:hint="eastAsia" w:ascii="Times New Roman" w:hAnsi="Times New Roman"/>
          <w:lang w:val="en-US" w:eastAsia="zh-CN"/>
        </w:rPr>
      </w:pPr>
      <w:r>
        <w:rPr>
          <w:rFonts w:hint="eastAsia" w:ascii="Times New Roman" w:hAnsi="Times New Roman"/>
          <w:b/>
          <w:bCs/>
          <w:lang w:val="en-US" w:eastAsia="zh-CN"/>
        </w:rPr>
        <w:t>合隆镇经济发展中心：</w:t>
      </w:r>
      <w:r>
        <w:rPr>
          <w:rFonts w:hint="eastAsia" w:ascii="Times New Roman" w:hAnsi="Times New Roman"/>
          <w:lang w:val="en-US" w:eastAsia="zh-CN"/>
        </w:rPr>
        <w:t>打造成为全县重要的经济中心、产业高地，重点承载装备制造、新能源、农畜产品精深加工等产业功能，辐射带动区域经济发展。</w:t>
      </w:r>
    </w:p>
    <w:p w14:paraId="46CF26C4">
      <w:pPr>
        <w:rPr>
          <w:rFonts w:hint="eastAsia" w:ascii="Times New Roman" w:hAnsi="Times New Roman"/>
          <w:lang w:val="en-US" w:eastAsia="zh-CN"/>
        </w:rPr>
      </w:pPr>
      <w:r>
        <w:rPr>
          <w:rFonts w:hint="eastAsia" w:ascii="Times New Roman" w:hAnsi="Times New Roman"/>
          <w:b/>
          <w:bCs/>
          <w:lang w:val="en-US" w:eastAsia="zh-CN"/>
        </w:rPr>
        <w:t>三带：</w:t>
      </w:r>
    </w:p>
    <w:p w14:paraId="7C32B93E">
      <w:pPr>
        <w:rPr>
          <w:rFonts w:hint="eastAsia" w:ascii="Times New Roman" w:hAnsi="Times New Roman"/>
          <w:lang w:val="en-US" w:eastAsia="zh-CN"/>
        </w:rPr>
      </w:pPr>
      <w:r>
        <w:rPr>
          <w:rFonts w:hint="eastAsia" w:ascii="Times New Roman" w:hAnsi="Times New Roman"/>
          <w:b/>
          <w:bCs/>
          <w:lang w:val="en-US" w:eastAsia="zh-CN"/>
        </w:rPr>
        <w:t>新兴产业发展带：</w:t>
      </w:r>
      <w:r>
        <w:rPr>
          <w:rFonts w:hint="eastAsia" w:ascii="Times New Roman" w:hAnsi="Times New Roman"/>
          <w:lang w:val="en-US" w:eastAsia="zh-CN"/>
        </w:rPr>
        <w:t>依托环长春一小时经济圈高速路网，沿交通节点布局新能源、装备制造、医药健康、农畜产品加工四大产业集群，推动合隆经济核心区产城融合，形成深度融入长春都市圈的产业走廊。</w:t>
      </w:r>
    </w:p>
    <w:p w14:paraId="3434532E">
      <w:pPr>
        <w:rPr>
          <w:rFonts w:hint="eastAsia" w:ascii="Times New Roman" w:hAnsi="Times New Roman"/>
          <w:lang w:val="en-US" w:eastAsia="zh-CN"/>
        </w:rPr>
      </w:pPr>
      <w:r>
        <w:rPr>
          <w:rFonts w:hint="eastAsia" w:ascii="Times New Roman" w:hAnsi="Times New Roman"/>
          <w:b/>
          <w:bCs/>
          <w:lang w:val="en-US" w:eastAsia="zh-CN"/>
        </w:rPr>
        <w:t>城镇发展带：</w:t>
      </w:r>
      <w:r>
        <w:rPr>
          <w:rFonts w:hint="eastAsia" w:ascii="Times New Roman" w:hAnsi="Times New Roman"/>
          <w:lang w:val="en-US" w:eastAsia="zh-CN"/>
        </w:rPr>
        <w:t>以珲乌公路为纵向主轴，强化县城综合服务能力与合隆产业人口承载力，构建串联县城、合隆、伏龙泉、哈拉海等节点镇的城镇化骨架</w:t>
      </w:r>
      <w:r>
        <w:rPr>
          <w:rFonts w:hint="eastAsia"/>
          <w:lang w:val="en-US" w:eastAsia="zh-CN"/>
        </w:rPr>
        <w:t>，</w:t>
      </w:r>
      <w:r>
        <w:rPr>
          <w:rFonts w:hint="eastAsia" w:ascii="Times New Roman" w:hAnsi="Times New Roman"/>
          <w:lang w:val="en-US" w:eastAsia="zh-CN"/>
        </w:rPr>
        <w:t>提升节点镇基础设施与公共服务水平，优化教育、医疗等资源沿带布局，形成支撑县域协调发展的城乡融合走廊。</w:t>
      </w:r>
    </w:p>
    <w:p w14:paraId="52A01F74">
      <w:pPr>
        <w:rPr>
          <w:rFonts w:hint="eastAsia" w:ascii="Times New Roman" w:hAnsi="Times New Roman"/>
          <w:lang w:val="en-US" w:eastAsia="zh-CN"/>
        </w:rPr>
      </w:pPr>
      <w:r>
        <w:rPr>
          <w:rFonts w:hint="eastAsia" w:ascii="Times New Roman" w:hAnsi="Times New Roman"/>
          <w:b/>
          <w:bCs/>
          <w:lang w:val="en-US" w:eastAsia="zh-CN"/>
        </w:rPr>
        <w:t>文旅发展带：</w:t>
      </w:r>
      <w:r>
        <w:rPr>
          <w:rFonts w:hint="eastAsia" w:ascii="Times New Roman" w:hAnsi="Times New Roman"/>
          <w:lang w:val="en-US" w:eastAsia="zh-CN"/>
        </w:rPr>
        <w:t>依托长太高速及长白公路，整合辽塔、太平池湿地、波罗湖等核心资源。聚焦历史文化体验、生态休闲两大</w:t>
      </w:r>
      <w:r>
        <w:rPr>
          <w:rFonts w:hint="eastAsia"/>
          <w:lang w:val="en-US" w:eastAsia="zh-CN"/>
        </w:rPr>
        <w:t>核心板块</w:t>
      </w:r>
      <w:r>
        <w:rPr>
          <w:rFonts w:hint="eastAsia" w:ascii="Times New Roman" w:hAnsi="Times New Roman"/>
          <w:lang w:val="en-US" w:eastAsia="zh-CN"/>
        </w:rPr>
        <w:t>，开发精品旅游线路，打造长春西北部生态旅游目的地。</w:t>
      </w:r>
    </w:p>
    <w:p w14:paraId="2F28A4B0">
      <w:pPr>
        <w:rPr>
          <w:rFonts w:hint="eastAsia" w:ascii="Times New Roman" w:hAnsi="Times New Roman"/>
          <w:lang w:val="en-US" w:eastAsia="zh-CN"/>
        </w:rPr>
      </w:pPr>
      <w:r>
        <w:rPr>
          <w:rFonts w:hint="eastAsia" w:ascii="Times New Roman" w:hAnsi="Times New Roman"/>
          <w:b/>
          <w:bCs/>
          <w:lang w:val="en-US" w:eastAsia="zh-CN"/>
        </w:rPr>
        <w:t>多组团：</w:t>
      </w:r>
      <w:r>
        <w:rPr>
          <w:rFonts w:hint="eastAsia" w:ascii="Times New Roman" w:hAnsi="Times New Roman"/>
          <w:lang w:val="en-US" w:eastAsia="zh-CN"/>
        </w:rPr>
        <w:t>以合隆镇、伏龙泉镇、哈拉海镇、巴吉垒</w:t>
      </w:r>
      <w:r>
        <w:rPr>
          <w:rFonts w:hint="eastAsia"/>
          <w:lang w:val="en-US" w:eastAsia="zh-CN"/>
        </w:rPr>
        <w:t>镇、靠山镇</w:t>
      </w:r>
      <w:r>
        <w:rPr>
          <w:rFonts w:hint="eastAsia" w:ascii="Times New Roman" w:hAnsi="Times New Roman"/>
          <w:lang w:val="en-US" w:eastAsia="zh-CN"/>
        </w:rPr>
        <w:t>等乡镇为依托，辐射农安县南部、西北部、北部等乡镇，形成“</w:t>
      </w:r>
      <w:r>
        <w:rPr>
          <w:rFonts w:hint="eastAsia"/>
          <w:lang w:val="en-US" w:eastAsia="zh-CN"/>
        </w:rPr>
        <w:t>组</w:t>
      </w:r>
      <w:r>
        <w:rPr>
          <w:rFonts w:hint="eastAsia" w:ascii="Times New Roman" w:hAnsi="Times New Roman"/>
          <w:lang w:val="en-US" w:eastAsia="zh-CN"/>
        </w:rPr>
        <w:t>团”发展体系。</w:t>
      </w:r>
    </w:p>
    <w:p w14:paraId="4E9EF86F">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lang w:val="en-US" w:eastAsia="zh-CN"/>
        </w:rPr>
      </w:pPr>
      <w:r>
        <w:rPr>
          <w:rFonts w:hint="eastAsia" w:ascii="Times New Roman" w:hAnsi="Times New Roman"/>
          <w:lang w:val="en-US" w:eastAsia="zh-CN"/>
        </w:rPr>
        <w:drawing>
          <wp:inline distT="0" distB="0" distL="0" distR="0">
            <wp:extent cx="5530850" cy="6834505"/>
            <wp:effectExtent l="0" t="0" r="3175" b="4445"/>
            <wp:docPr id="1026" name="图片 4" descr="空间布局图"/>
            <wp:cNvGraphicFramePr/>
            <a:graphic xmlns:a="http://schemas.openxmlformats.org/drawingml/2006/main">
              <a:graphicData uri="http://schemas.openxmlformats.org/drawingml/2006/picture">
                <pic:pic xmlns:pic="http://schemas.openxmlformats.org/drawingml/2006/picture">
                  <pic:nvPicPr>
                    <pic:cNvPr id="1026" name="图片 4" descr="空间布局图"/>
                    <pic:cNvPicPr/>
                  </pic:nvPicPr>
                  <pic:blipFill>
                    <a:blip r:embed="rId8" cstate="print"/>
                    <a:srcRect l="3816" t="10646" r="14818" b="13941"/>
                    <a:stretch>
                      <a:fillRect/>
                    </a:stretch>
                  </pic:blipFill>
                  <pic:spPr>
                    <a:xfrm>
                      <a:off x="0" y="0"/>
                      <a:ext cx="5530850" cy="6834505"/>
                    </a:xfrm>
                    <a:prstGeom prst="rect">
                      <a:avLst/>
                    </a:prstGeom>
                  </pic:spPr>
                </pic:pic>
              </a:graphicData>
            </a:graphic>
          </wp:inline>
        </w:drawing>
      </w:r>
    </w:p>
    <w:p w14:paraId="1DFA3AF7">
      <w:pPr>
        <w:ind w:left="0" w:leftChars="0" w:firstLine="0" w:firstLineChars="0"/>
        <w:jc w:val="center"/>
        <w:rPr>
          <w:rFonts w:hint="default" w:ascii="Times New Roman" w:hAnsi="Times New Roman"/>
          <w:b/>
          <w:bCs/>
          <w:sz w:val="28"/>
          <w:szCs w:val="28"/>
          <w:lang w:val="en-US" w:eastAsia="zh-CN"/>
        </w:rPr>
      </w:pPr>
      <w:r>
        <w:rPr>
          <w:rFonts w:hint="eastAsia" w:ascii="Times New Roman" w:hAnsi="Times New Roman"/>
          <w:b/>
          <w:bCs/>
          <w:sz w:val="28"/>
          <w:szCs w:val="28"/>
          <w:lang w:val="en-US" w:eastAsia="zh-CN"/>
        </w:rPr>
        <w:t>图1.农安县“十五五”期间经济社会发展空间布局</w:t>
      </w:r>
      <w:r>
        <w:rPr>
          <w:rFonts w:hint="eastAsia"/>
          <w:b/>
          <w:bCs/>
          <w:sz w:val="28"/>
          <w:szCs w:val="28"/>
          <w:lang w:val="en-US" w:eastAsia="zh-CN"/>
        </w:rPr>
        <w:t>示意</w:t>
      </w:r>
      <w:r>
        <w:rPr>
          <w:rFonts w:hint="eastAsia" w:ascii="Times New Roman" w:hAnsi="Times New Roman"/>
          <w:b/>
          <w:bCs/>
          <w:sz w:val="28"/>
          <w:szCs w:val="28"/>
          <w:lang w:val="en-US" w:eastAsia="zh-CN"/>
        </w:rPr>
        <w:t>图</w:t>
      </w:r>
    </w:p>
    <w:p w14:paraId="6AA81B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lang w:val="en-US" w:eastAsia="zh-CN"/>
        </w:rPr>
      </w:pPr>
      <w:r>
        <w:rPr>
          <w:rFonts w:hint="eastAsia" w:ascii="Times New Roman" w:hAnsi="Times New Roman"/>
          <w:lang w:val="en-US" w:eastAsia="zh-CN"/>
        </w:rPr>
        <w:br w:type="page"/>
      </w:r>
    </w:p>
    <w:p w14:paraId="0AC4A057">
      <w:pPr>
        <w:pStyle w:val="4"/>
        <w:bidi w:val="0"/>
        <w:rPr>
          <w:rFonts w:hint="eastAsia" w:ascii="Times New Roman" w:hAnsi="Times New Roman"/>
        </w:rPr>
      </w:pPr>
      <w:bookmarkStart w:id="42" w:name="_Toc868"/>
      <w:bookmarkStart w:id="43" w:name="_Toc8857"/>
      <w:bookmarkStart w:id="44" w:name="_Toc27557"/>
      <w:bookmarkStart w:id="45" w:name="_Toc27257"/>
      <w:r>
        <w:rPr>
          <w:rFonts w:hint="eastAsia" w:ascii="Times New Roman" w:hAnsi="Times New Roman"/>
        </w:rPr>
        <w:t>产业篇</w:t>
      </w:r>
      <w:r>
        <w:rPr>
          <w:rFonts w:hint="eastAsia" w:ascii="Times New Roman" w:hAnsi="Times New Roman"/>
          <w:lang w:eastAsia="zh-CN"/>
        </w:rPr>
        <w:t>：</w:t>
      </w:r>
      <w:r>
        <w:rPr>
          <w:rFonts w:hint="eastAsia" w:ascii="Times New Roman" w:hAnsi="Times New Roman"/>
        </w:rPr>
        <w:t>向新求质，加快构建现代化产业体系</w:t>
      </w:r>
      <w:bookmarkEnd w:id="42"/>
      <w:bookmarkEnd w:id="43"/>
      <w:bookmarkEnd w:id="44"/>
      <w:bookmarkEnd w:id="45"/>
    </w:p>
    <w:p w14:paraId="4D9FC5C0">
      <w:pPr>
        <w:pStyle w:val="5"/>
        <w:bidi w:val="0"/>
        <w:rPr>
          <w:rFonts w:hint="eastAsia" w:ascii="Times New Roman" w:hAnsi="Times New Roman"/>
        </w:rPr>
      </w:pPr>
      <w:bookmarkStart w:id="46" w:name="_Toc1362"/>
      <w:bookmarkStart w:id="47" w:name="_Toc31880"/>
      <w:bookmarkStart w:id="48" w:name="_Toc14870"/>
      <w:bookmarkStart w:id="49" w:name="_Toc17570"/>
      <w:r>
        <w:rPr>
          <w:rFonts w:hint="eastAsia" w:ascii="Times New Roman" w:hAnsi="Times New Roman"/>
        </w:rPr>
        <w:t>第</w:t>
      </w:r>
      <w:r>
        <w:rPr>
          <w:rFonts w:hint="eastAsia" w:ascii="Times New Roman" w:hAnsi="Times New Roman"/>
          <w:lang w:val="en-US" w:eastAsia="zh-CN"/>
        </w:rPr>
        <w:t>四</w:t>
      </w:r>
      <w:r>
        <w:rPr>
          <w:rFonts w:hint="eastAsia" w:ascii="Times New Roman" w:hAnsi="Times New Roman"/>
        </w:rPr>
        <w:t>章 全面推进农业现代化，筑牢乡村振兴产业根基</w:t>
      </w:r>
      <w:bookmarkEnd w:id="46"/>
      <w:bookmarkEnd w:id="47"/>
      <w:bookmarkEnd w:id="48"/>
      <w:bookmarkEnd w:id="49"/>
    </w:p>
    <w:p w14:paraId="68E515EF">
      <w:pPr>
        <w:bidi w:val="0"/>
        <w:rPr>
          <w:rFonts w:hint="eastAsia" w:ascii="Times New Roman" w:hAnsi="Times New Roman"/>
          <w:lang w:val="en-US" w:eastAsia="zh-CN"/>
        </w:rPr>
      </w:pPr>
      <w:r>
        <w:rPr>
          <w:rFonts w:hint="eastAsia" w:ascii="Times New Roman" w:hAnsi="Times New Roman"/>
          <w:lang w:val="en-US" w:eastAsia="zh-CN"/>
        </w:rPr>
        <w:t>坚持科技兴农、绿色兴农、质量兴农、品牌强农，加快农业供给侧结构性改革，逐步构建现代农业产业体系、生产体系和经营体系，推动农业发展质量变革、效率变革、动力变革，持续提高农业创新力、竞争力和全要素生产率，做好全省农业现代化的排头兵。</w:t>
      </w:r>
    </w:p>
    <w:p w14:paraId="2BD475C5">
      <w:pPr>
        <w:pStyle w:val="7"/>
        <w:bidi w:val="0"/>
        <w:rPr>
          <w:rFonts w:hint="eastAsia" w:ascii="Times New Roman" w:hAnsi="Times New Roman"/>
          <w:b/>
          <w:lang w:val="en-US" w:eastAsia="zh-CN"/>
        </w:rPr>
      </w:pPr>
      <w:bookmarkStart w:id="50" w:name="_Toc17825"/>
      <w:bookmarkStart w:id="51" w:name="_Toc27130"/>
      <w:bookmarkStart w:id="52" w:name="_Toc7485"/>
      <w:r>
        <w:rPr>
          <w:rFonts w:hint="eastAsia" w:ascii="Times New Roman" w:hAnsi="Times New Roman"/>
          <w:b/>
          <w:lang w:val="en-US" w:eastAsia="zh-CN"/>
        </w:rPr>
        <w:t>第一节  全力夯实粮食安全根基</w:t>
      </w:r>
      <w:bookmarkEnd w:id="50"/>
      <w:bookmarkEnd w:id="51"/>
      <w:bookmarkEnd w:id="52"/>
    </w:p>
    <w:p w14:paraId="2405FF66">
      <w:pPr>
        <w:rPr>
          <w:rFonts w:hint="eastAsia" w:ascii="Times New Roman" w:hAnsi="Times New Roman"/>
          <w:lang w:val="en-US" w:eastAsia="zh-CN"/>
        </w:rPr>
      </w:pPr>
      <w:r>
        <w:rPr>
          <w:rFonts w:hint="eastAsia" w:ascii="Times New Roman" w:hAnsi="Times New Roman"/>
          <w:b/>
          <w:bCs/>
          <w:lang w:val="en-US" w:eastAsia="zh-CN"/>
        </w:rPr>
        <w:t>保障粮食种植面积。严守耕地保护红线。</w:t>
      </w:r>
      <w:r>
        <w:rPr>
          <w:rFonts w:hint="eastAsia" w:ascii="Times New Roman" w:hAnsi="Times New Roman"/>
          <w:lang w:val="en-US" w:eastAsia="zh-CN"/>
        </w:rPr>
        <w:t>严格耕地保护制度，严守耕地红线不变，全面落实永久基本农田保护制度，全面推行田长制，保护性耕作面积占适宜区70%以上。</w:t>
      </w:r>
      <w:r>
        <w:rPr>
          <w:rFonts w:hint="eastAsia" w:ascii="Times New Roman" w:hAnsi="Times New Roman"/>
          <w:b/>
          <w:bCs/>
          <w:lang w:val="en-US" w:eastAsia="zh-CN"/>
        </w:rPr>
        <w:t>实施黑土地保护与地力提升工程。</w:t>
      </w:r>
      <w:r>
        <w:rPr>
          <w:rFonts w:hint="eastAsia" w:ascii="Times New Roman" w:hAnsi="Times New Roman"/>
          <w:lang w:val="en-US" w:eastAsia="zh-CN"/>
        </w:rPr>
        <w:t>加强黑土地保护利用，深化与中国科学院、省农科院等高校院所合作，推广测土配方施肥、生物防治等黑土地保护技术，统筹推进盐碱地综合利用工程，打造高标准保护性耕作长期应用样板和新装备新技术集成优化展示基地。</w:t>
      </w:r>
      <w:r>
        <w:rPr>
          <w:rFonts w:hint="eastAsia" w:ascii="Times New Roman" w:hAnsi="Times New Roman"/>
          <w:b/>
          <w:bCs/>
          <w:lang w:val="en-US" w:eastAsia="zh-CN"/>
        </w:rPr>
        <w:t>强化黑土地监测和督查。</w:t>
      </w:r>
      <w:r>
        <w:rPr>
          <w:rFonts w:hint="eastAsia" w:ascii="Times New Roman" w:hAnsi="Times New Roman"/>
          <w:lang w:val="en-US" w:eastAsia="zh-CN"/>
        </w:rPr>
        <w:t>探索运用地理信息系统、遥感、定位技术等现代化手段，</w:t>
      </w:r>
      <w:r>
        <w:rPr>
          <w:rFonts w:hint="eastAsia" w:ascii="Times New Roman" w:hAnsi="Times New Roman"/>
          <w:b w:val="0"/>
          <w:bCs w:val="0"/>
          <w:lang w:val="en-US" w:eastAsia="zh-CN"/>
        </w:rPr>
        <w:t>动态监测黑土地数量、质量、墒情变化，</w:t>
      </w:r>
      <w:r>
        <w:rPr>
          <w:rFonts w:hint="eastAsia" w:ascii="Times New Roman" w:hAnsi="Times New Roman"/>
          <w:lang w:val="en-US" w:eastAsia="zh-CN"/>
        </w:rPr>
        <w:t>加快构建成熟、完善的耕地质量监测评价体系</w:t>
      </w:r>
      <w:r>
        <w:rPr>
          <w:rFonts w:hint="eastAsia" w:ascii="Times New Roman" w:hAnsi="Times New Roman"/>
          <w:b w:val="0"/>
          <w:bCs w:val="0"/>
          <w:lang w:val="en-US" w:eastAsia="zh-CN"/>
        </w:rPr>
        <w:t>。强化黑土地保护目标责任制考核与督查，</w:t>
      </w:r>
      <w:r>
        <w:rPr>
          <w:rFonts w:hint="eastAsia" w:ascii="Times New Roman" w:hAnsi="Times New Roman"/>
          <w:lang w:val="en-US" w:eastAsia="zh-CN"/>
        </w:rPr>
        <w:t>建立多元投入、监测预警、协同执法、考核奖励等机制。</w:t>
      </w:r>
    </w:p>
    <w:p w14:paraId="3C8145DD">
      <w:pPr>
        <w:rPr>
          <w:rFonts w:hint="eastAsia" w:ascii="Times New Roman" w:hAnsi="Times New Roman"/>
          <w:lang w:val="en-US" w:eastAsia="zh-CN"/>
        </w:rPr>
      </w:pPr>
      <w:r>
        <w:rPr>
          <w:rFonts w:hint="eastAsia" w:ascii="Times New Roman" w:hAnsi="Times New Roman"/>
          <w:b/>
          <w:bCs/>
          <w:lang w:val="en-US" w:eastAsia="zh-CN"/>
        </w:rPr>
        <w:t>提升粮食生产能力。完善农田基础设施。</w:t>
      </w:r>
      <w:r>
        <w:rPr>
          <w:rFonts w:hint="eastAsia" w:ascii="Times New Roman" w:hAnsi="Times New Roman"/>
          <w:lang w:val="en-US" w:eastAsia="zh-CN"/>
        </w:rPr>
        <w:t>加强田间道路、灌溉排水、电力通讯等设施建设，系统规划八大涝区治理、灌区续建改造、一江两河防灾减灾、四沟四渠治理等重点项目，提高农田抗灾能力和综合生产能力。</w:t>
      </w:r>
      <w:r>
        <w:rPr>
          <w:rFonts w:hint="eastAsia" w:ascii="Times New Roman" w:hAnsi="Times New Roman"/>
          <w:b/>
          <w:bCs/>
          <w:lang w:val="en-US" w:eastAsia="zh-CN"/>
        </w:rPr>
        <w:t>加强高标准农田建设。</w:t>
      </w:r>
      <w:r>
        <w:rPr>
          <w:rFonts w:hint="eastAsia" w:ascii="Times New Roman" w:hAnsi="Times New Roman"/>
          <w:lang w:val="en-US" w:eastAsia="zh-CN"/>
        </w:rPr>
        <w:t>加大资金投入，持续推进高标准农田建设和改造提升，加快生产标准化、装备现代化、应用智能化、经营规模化、管护规范化的高标准农田建设。到“十五五”末，全县基本农田全部建成高标准农田。</w:t>
      </w:r>
      <w:r>
        <w:rPr>
          <w:rFonts w:hint="eastAsia" w:ascii="Times New Roman" w:hAnsi="Times New Roman"/>
          <w:b/>
          <w:bCs/>
          <w:lang w:val="en-US" w:eastAsia="zh-CN"/>
        </w:rPr>
        <w:t>优化粮食供给结构。</w:t>
      </w:r>
      <w:r>
        <w:rPr>
          <w:rFonts w:hint="eastAsia" w:ascii="Times New Roman" w:hAnsi="Times New Roman"/>
          <w:lang w:val="en-US" w:eastAsia="zh-CN"/>
        </w:rPr>
        <w:t>鼓励发展饲料玉米、食用玉米，增加绿色水稻、有机水稻、优质大豆、杂粮杂豆和马铃薯等农作物种植面积，推广绿色增产增效技术，提高单产、稳定总产，促进粮食产业高质量发展，建设粮食产业强县。</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5E5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F1F1F1"/>
          </w:tcPr>
          <w:p w14:paraId="759339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Times New Roman" w:hAnsi="Times New Roman" w:cs="宋体"/>
                <w:color w:val="000000"/>
                <w:sz w:val="28"/>
                <w:szCs w:val="28"/>
              </w:rPr>
            </w:pPr>
            <w:r>
              <w:rPr>
                <w:rFonts w:hint="eastAsia" w:ascii="Times New Roman" w:hAnsi="Times New Roman" w:cs="宋体"/>
                <w:b/>
                <w:bCs/>
                <w:color w:val="000000"/>
                <w:sz w:val="28"/>
                <w:szCs w:val="28"/>
              </w:rPr>
              <w:t>专栏</w:t>
            </w:r>
            <w:r>
              <w:rPr>
                <w:rFonts w:hint="eastAsia" w:ascii="Times New Roman" w:hAnsi="Times New Roman" w:cs="宋体"/>
                <w:b/>
                <w:bCs/>
                <w:color w:val="000000"/>
                <w:sz w:val="28"/>
                <w:szCs w:val="28"/>
                <w:lang w:val="en-US" w:eastAsia="zh-CN"/>
              </w:rPr>
              <w:t xml:space="preserve">2 </w:t>
            </w:r>
            <w:r>
              <w:rPr>
                <w:rFonts w:hint="eastAsia" w:ascii="Times New Roman" w:hAnsi="Times New Roman" w:cs="宋体"/>
                <w:b/>
                <w:bCs/>
                <w:color w:val="000000"/>
                <w:sz w:val="28"/>
                <w:szCs w:val="28"/>
              </w:rPr>
              <w:t>夯实粮食安全</w:t>
            </w:r>
            <w:r>
              <w:rPr>
                <w:rFonts w:hint="eastAsia" w:ascii="Times New Roman" w:hAnsi="Times New Roman" w:cs="宋体"/>
                <w:b/>
                <w:bCs/>
                <w:color w:val="000000"/>
                <w:sz w:val="28"/>
                <w:szCs w:val="28"/>
                <w:lang w:val="en-US" w:eastAsia="zh-CN"/>
              </w:rPr>
              <w:t>重点工程</w:t>
            </w:r>
          </w:p>
        </w:tc>
      </w:tr>
      <w:tr w14:paraId="5089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46F15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eastAsia" w:ascii="Times New Roman" w:hAnsi="Times New Roman" w:eastAsia="方正仿宋_GBK" w:cs="宋体"/>
                <w:color w:val="000000"/>
                <w:sz w:val="28"/>
                <w:szCs w:val="28"/>
                <w:lang w:val="en-US" w:eastAsia="zh-CN"/>
              </w:rPr>
            </w:pPr>
            <w:r>
              <w:rPr>
                <w:rFonts w:hint="eastAsia" w:ascii="Times New Roman" w:hAnsi="Times New Roman" w:cs="宋体"/>
                <w:b/>
                <w:bCs/>
                <w:color w:val="000000"/>
                <w:sz w:val="28"/>
                <w:szCs w:val="28"/>
              </w:rPr>
              <w:t>保障粮食种植面积</w:t>
            </w:r>
            <w:r>
              <w:rPr>
                <w:rFonts w:hint="eastAsia" w:ascii="Times New Roman" w:hAnsi="Times New Roman" w:cs="宋体"/>
                <w:b/>
                <w:bCs/>
                <w:color w:val="000000"/>
                <w:sz w:val="28"/>
                <w:szCs w:val="28"/>
                <w:lang w:eastAsia="zh-CN"/>
              </w:rPr>
              <w:t>：</w:t>
            </w:r>
            <w:r>
              <w:rPr>
                <w:rFonts w:hint="eastAsia" w:ascii="Times New Roman" w:hAnsi="Times New Roman" w:cs="宋体"/>
                <w:color w:val="000000"/>
                <w:sz w:val="28"/>
                <w:szCs w:val="28"/>
                <w:lang w:val="en-US" w:eastAsia="zh-CN"/>
              </w:rPr>
              <w:t>每年实施黑土地保护5万亩，连续实施3年；全县耕地保有量不低于</w:t>
            </w:r>
            <w:r>
              <w:rPr>
                <w:rFonts w:hint="eastAsia" w:cs="宋体"/>
                <w:color w:val="000000"/>
                <w:sz w:val="28"/>
                <w:szCs w:val="28"/>
                <w:lang w:val="en-US" w:eastAsia="zh-CN"/>
              </w:rPr>
              <w:t>613.22</w:t>
            </w:r>
            <w:r>
              <w:rPr>
                <w:rFonts w:hint="eastAsia" w:ascii="Times New Roman" w:hAnsi="Times New Roman" w:cs="宋体"/>
                <w:color w:val="000000"/>
                <w:sz w:val="28"/>
                <w:szCs w:val="28"/>
                <w:lang w:val="en-US" w:eastAsia="zh-CN"/>
              </w:rPr>
              <w:t>万亩，永久基本农田保护面积不低于</w:t>
            </w:r>
            <w:r>
              <w:rPr>
                <w:rFonts w:hint="eastAsia" w:cs="宋体"/>
                <w:color w:val="000000"/>
                <w:sz w:val="28"/>
                <w:szCs w:val="28"/>
                <w:lang w:val="en-US" w:eastAsia="zh-CN"/>
              </w:rPr>
              <w:t>525.25</w:t>
            </w:r>
            <w:r>
              <w:rPr>
                <w:rFonts w:hint="eastAsia" w:ascii="Times New Roman" w:hAnsi="Times New Roman" w:cs="宋体"/>
                <w:color w:val="000000"/>
                <w:sz w:val="28"/>
                <w:szCs w:val="28"/>
                <w:lang w:val="en-US" w:eastAsia="zh-CN"/>
              </w:rPr>
              <w:t>万亩；</w:t>
            </w:r>
          </w:p>
          <w:p w14:paraId="3CB7E5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default" w:ascii="Times New Roman" w:hAnsi="Times New Roman"/>
                <w:sz w:val="28"/>
                <w:szCs w:val="28"/>
              </w:rPr>
            </w:pPr>
            <w:r>
              <w:rPr>
                <w:rFonts w:hint="eastAsia" w:ascii="Times New Roman" w:hAnsi="Times New Roman" w:cs="宋体"/>
                <w:b/>
                <w:bCs/>
                <w:color w:val="000000"/>
                <w:sz w:val="28"/>
                <w:szCs w:val="28"/>
              </w:rPr>
              <w:t>提升粮食生产能力</w:t>
            </w:r>
            <w:r>
              <w:rPr>
                <w:rFonts w:hint="eastAsia" w:ascii="Times New Roman" w:hAnsi="Times New Roman" w:cs="宋体"/>
                <w:b/>
                <w:bCs/>
                <w:color w:val="000000"/>
                <w:sz w:val="28"/>
                <w:szCs w:val="28"/>
                <w:lang w:eastAsia="zh-CN"/>
              </w:rPr>
              <w:t>：</w:t>
            </w:r>
            <w:r>
              <w:rPr>
                <w:rFonts w:hint="eastAsia" w:ascii="Times New Roman" w:hAnsi="Times New Roman" w:cs="宋体"/>
                <w:color w:val="000000"/>
                <w:sz w:val="28"/>
                <w:szCs w:val="28"/>
                <w:lang w:eastAsia="zh-CN"/>
              </w:rPr>
              <w:t>重点推进225.75万亩基本农田建成高标准农田，力争到2030年，全县粮食总产量稳定达到105亿斤。</w:t>
            </w:r>
          </w:p>
        </w:tc>
      </w:tr>
    </w:tbl>
    <w:p w14:paraId="1DBCD231">
      <w:pPr>
        <w:pStyle w:val="7"/>
        <w:bidi w:val="0"/>
        <w:rPr>
          <w:rFonts w:hint="eastAsia" w:ascii="Times New Roman" w:hAnsi="Times New Roman"/>
          <w:b/>
          <w:lang w:val="en-US" w:eastAsia="zh-CN"/>
        </w:rPr>
      </w:pPr>
      <w:bookmarkStart w:id="53" w:name="_Toc10600"/>
      <w:bookmarkStart w:id="54" w:name="_Toc13749"/>
      <w:bookmarkStart w:id="55" w:name="_Toc12756"/>
      <w:r>
        <w:rPr>
          <w:rFonts w:hint="eastAsia" w:ascii="Times New Roman" w:hAnsi="Times New Roman"/>
          <w:b/>
          <w:lang w:val="en-US" w:eastAsia="zh-CN"/>
        </w:rPr>
        <w:t>第二节  持续做大做强特色农业</w:t>
      </w:r>
      <w:bookmarkEnd w:id="53"/>
      <w:bookmarkEnd w:id="54"/>
      <w:bookmarkEnd w:id="55"/>
    </w:p>
    <w:p w14:paraId="4E77BCBB">
      <w:pPr>
        <w:rPr>
          <w:rFonts w:hint="eastAsia" w:ascii="Times New Roman" w:hAnsi="Times New Roman"/>
          <w:lang w:val="en-US" w:eastAsia="zh-CN"/>
        </w:rPr>
      </w:pPr>
      <w:r>
        <w:rPr>
          <w:rFonts w:hint="eastAsia" w:ascii="Times New Roman" w:hAnsi="Times New Roman"/>
          <w:b/>
          <w:bCs/>
          <w:lang w:val="en-US" w:eastAsia="zh-CN"/>
        </w:rPr>
        <w:t>大力发展现代畜牧业。加快推进规模化饲养进程。</w:t>
      </w:r>
      <w:r>
        <w:rPr>
          <w:rFonts w:hint="eastAsia" w:ascii="Times New Roman" w:hAnsi="Times New Roman"/>
          <w:lang w:val="en-US" w:eastAsia="zh-CN"/>
        </w:rPr>
        <w:t>着力改变粗放型、大群体的养殖模式，推进传统养殖模式的转变。肉牛产业以龙头企业为带动，持续推进“13321”全产业链模式</w:t>
      </w:r>
      <w:r>
        <w:rPr>
          <w:rStyle w:val="24"/>
          <w:rFonts w:hint="eastAsia" w:ascii="Times New Roman" w:hAnsi="Times New Roman"/>
          <w:lang w:val="en-US" w:eastAsia="zh-CN"/>
        </w:rPr>
        <w:footnoteReference w:id="0"/>
      </w:r>
      <w:r>
        <w:rPr>
          <w:rFonts w:hint="eastAsia" w:ascii="Times New Roman" w:hAnsi="Times New Roman"/>
          <w:lang w:val="en-US" w:eastAsia="zh-CN"/>
        </w:rPr>
        <w:t>建设，促进规模化养殖的提升，谋划申报建设省级、国家级肉牛现代农业产业园；生猪产业构建产业基地+产业强镇+产业园区的“圈状”产业布局；肉鸡产业推进养殖场+公司模式，打造肉鸡（蛋鸡）产业增长极；加快推进鹅产业发展。</w:t>
      </w:r>
      <w:r>
        <w:rPr>
          <w:rFonts w:hint="eastAsia" w:ascii="Times New Roman" w:hAnsi="Times New Roman"/>
          <w:b/>
          <w:bCs/>
          <w:lang w:val="en-US" w:eastAsia="zh-CN"/>
        </w:rPr>
        <w:t>抓好良种繁育体系建设。</w:t>
      </w:r>
      <w:r>
        <w:rPr>
          <w:rFonts w:hint="eastAsia" w:ascii="Times New Roman" w:hAnsi="Times New Roman"/>
          <w:lang w:val="en-US" w:eastAsia="zh-CN"/>
        </w:rPr>
        <w:t>重点建设一批较高档次的原种场和优质扩繁场。生猪依托</w:t>
      </w:r>
      <w:r>
        <w:rPr>
          <w:rFonts w:hint="eastAsia"/>
          <w:lang w:val="en-US" w:eastAsia="zh-CN"/>
        </w:rPr>
        <w:t>重点</w:t>
      </w:r>
      <w:r>
        <w:rPr>
          <w:rFonts w:hint="eastAsia" w:ascii="Times New Roman" w:hAnsi="Times New Roman"/>
          <w:lang w:val="en-US" w:eastAsia="zh-CN"/>
        </w:rPr>
        <w:t>企业带动发展种猪5万头，以生猪良种补贴项目为引领继续大力推广人工授精技术；肉牛以吉林安牛、成恩牧业国家核心育种场为带动，加强优质种源核心基地建设，推广优质冻精提高肉牛良种化水平。</w:t>
      </w:r>
      <w:r>
        <w:rPr>
          <w:rFonts w:hint="eastAsia" w:ascii="Times New Roman" w:hAnsi="Times New Roman"/>
          <w:b/>
          <w:bCs/>
          <w:lang w:val="en-US" w:eastAsia="zh-CN"/>
        </w:rPr>
        <w:t>分类推进畜禽粪肥、农作物秸秆资源化利用。</w:t>
      </w:r>
      <w:r>
        <w:rPr>
          <w:rFonts w:hint="eastAsia" w:ascii="Times New Roman" w:hAnsi="Times New Roman"/>
          <w:lang w:val="en-US" w:eastAsia="zh-CN"/>
        </w:rPr>
        <w:t>强化污染防治与设施技术保障，严格执行畜禽养殖污染防治法律法规，督促养殖场（户）配套建设粪污处理设施，推广先进处理技术；引导养殖场（户）与种植户合作，实现粪污就近还田。发挥秸秆优势提升饲草供给，依托茎穗兼收项目政策，茎穗兼收机器保有量达300台以上，制作优质黄贮秸秆饲料30万吨以上。依托</w:t>
      </w:r>
      <w:r>
        <w:rPr>
          <w:rFonts w:hint="eastAsia"/>
          <w:lang w:val="en-US" w:eastAsia="zh-CN"/>
        </w:rPr>
        <w:t>重点企业</w:t>
      </w:r>
      <w:r>
        <w:rPr>
          <w:rFonts w:hint="eastAsia" w:ascii="Times New Roman" w:hAnsi="Times New Roman"/>
          <w:lang w:val="en-US" w:eastAsia="zh-CN"/>
        </w:rPr>
        <w:t>建设5个以上秸秆饲料化基地，覆盖青贮、黄贮、颗粒饲料全链条。</w:t>
      </w:r>
    </w:p>
    <w:p w14:paraId="056ABECD">
      <w:pPr>
        <w:rPr>
          <w:rFonts w:hint="eastAsia" w:ascii="Times New Roman" w:hAnsi="Times New Roman"/>
          <w:lang w:val="en-US" w:eastAsia="zh-CN"/>
        </w:rPr>
      </w:pPr>
      <w:r>
        <w:rPr>
          <w:rFonts w:hint="eastAsia" w:ascii="Times New Roman" w:hAnsi="Times New Roman"/>
          <w:b/>
          <w:bCs/>
          <w:lang w:val="en-US" w:eastAsia="zh-CN"/>
        </w:rPr>
        <w:t>持续发展特色农业产业。深入实施“一乡一品、一品一业”计划。</w:t>
      </w:r>
      <w:r>
        <w:rPr>
          <w:rFonts w:hint="eastAsia" w:ascii="Times New Roman" w:hAnsi="Times New Roman"/>
          <w:lang w:val="en-US" w:eastAsia="zh-CN"/>
        </w:rPr>
        <w:t>推进鲜食玉米、万寿菊、“三辣”、瓜果蔬菜、花生、小米（杂粮）等6大特色农业多业并举，实施“一乡一品、一品一业”差异化发展，推进全县统一标准、统一认定、统一品牌、统一入市，建立统一的营销平台。</w:t>
      </w:r>
      <w:r>
        <w:rPr>
          <w:rFonts w:hint="eastAsia" w:ascii="Times New Roman" w:hAnsi="Times New Roman"/>
          <w:b/>
          <w:bCs/>
          <w:lang w:val="en-US" w:eastAsia="zh-CN"/>
        </w:rPr>
        <w:t>加快完善“安农赞”区域公用品牌建设计划。</w:t>
      </w:r>
      <w:r>
        <w:rPr>
          <w:rFonts w:hint="eastAsia" w:ascii="Times New Roman" w:hAnsi="Times New Roman"/>
          <w:b w:val="0"/>
          <w:bCs w:val="0"/>
          <w:lang w:val="en-US" w:eastAsia="zh-CN"/>
        </w:rPr>
        <w:t>坚持品牌引领，加快完善启用“安农赞”区域公用品牌，以县域区域公用品牌为龙头，辅之乡镇特色品牌，形</w:t>
      </w:r>
      <w:r>
        <w:rPr>
          <w:rFonts w:hint="eastAsia"/>
          <w:b w:val="0"/>
          <w:bCs w:val="0"/>
          <w:lang w:val="en-US" w:eastAsia="zh-CN"/>
        </w:rPr>
        <w:t>成具</w:t>
      </w:r>
      <w:r>
        <w:rPr>
          <w:rFonts w:hint="eastAsia" w:ascii="Times New Roman" w:hAnsi="Times New Roman"/>
          <w:b w:val="0"/>
          <w:bCs w:val="0"/>
          <w:lang w:val="en-US" w:eastAsia="zh-CN"/>
        </w:rPr>
        <w:t>有农安特色的区域公用品牌+产品品牌的“母子”体系，并加快申请纳入全省优质“吉字号”农产品品牌体系。</w:t>
      </w:r>
      <w:r>
        <w:rPr>
          <w:rFonts w:hint="eastAsia" w:ascii="Times New Roman" w:hAnsi="Times New Roman"/>
          <w:b/>
          <w:bCs/>
          <w:lang w:val="en-US" w:eastAsia="zh-CN"/>
        </w:rPr>
        <w:t>全方位推进优质特色农业全产业链建设计划。</w:t>
      </w:r>
      <w:r>
        <w:rPr>
          <w:rFonts w:hint="eastAsia" w:ascii="Times New Roman" w:hAnsi="Times New Roman"/>
          <w:lang w:val="en-US" w:eastAsia="zh-CN"/>
        </w:rPr>
        <w:t>扩大鲜食玉米、“三辣”、瓜果蔬菜、花生、肉牛、小米（杂粮）、万寿菊等特色农产品生产规模，建设一批标准化“第一车间”“原料车间”，提高农业特色产业持续供给能力；聚焦精深农产品加工，以龙头企业为主体，建设一批科技含量高、带动能力强的高端农产品加工项目，推动农业产业链、供应链、价值链重构和优化升级。</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710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F1F1F1"/>
          </w:tcPr>
          <w:p w14:paraId="1038E0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Times New Roman" w:hAnsi="Times New Roman" w:cs="宋体"/>
                <w:color w:val="000000"/>
                <w:sz w:val="28"/>
                <w:szCs w:val="28"/>
              </w:rPr>
            </w:pPr>
            <w:r>
              <w:rPr>
                <w:rFonts w:hint="eastAsia" w:ascii="Times New Roman" w:hAnsi="Times New Roman" w:cs="宋体"/>
                <w:b/>
                <w:bCs/>
                <w:color w:val="000000"/>
                <w:sz w:val="28"/>
                <w:szCs w:val="28"/>
              </w:rPr>
              <w:t>专栏</w:t>
            </w:r>
            <w:r>
              <w:rPr>
                <w:rFonts w:hint="eastAsia" w:ascii="Times New Roman" w:hAnsi="Times New Roman" w:cs="宋体"/>
                <w:b/>
                <w:bCs/>
                <w:color w:val="000000"/>
                <w:sz w:val="28"/>
                <w:szCs w:val="28"/>
                <w:lang w:val="en-US" w:eastAsia="zh-CN"/>
              </w:rPr>
              <w:t xml:space="preserve">3 </w:t>
            </w:r>
            <w:r>
              <w:rPr>
                <w:rFonts w:hint="eastAsia" w:ascii="Times New Roman" w:hAnsi="Times New Roman" w:cs="宋体"/>
                <w:b/>
                <w:bCs/>
                <w:color w:val="000000"/>
                <w:sz w:val="28"/>
                <w:szCs w:val="28"/>
              </w:rPr>
              <w:t>特色农业</w:t>
            </w:r>
            <w:r>
              <w:rPr>
                <w:rFonts w:hint="eastAsia" w:ascii="Times New Roman" w:hAnsi="Times New Roman" w:cs="宋体"/>
                <w:b/>
                <w:bCs/>
                <w:color w:val="000000"/>
                <w:sz w:val="28"/>
                <w:szCs w:val="28"/>
                <w:lang w:val="en-US" w:eastAsia="zh-CN"/>
              </w:rPr>
              <w:t>发展重点工程</w:t>
            </w:r>
          </w:p>
        </w:tc>
      </w:tr>
      <w:tr w14:paraId="6542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A466D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eastAsia" w:ascii="Times New Roman" w:hAnsi="Times New Roman" w:cs="宋体"/>
                <w:color w:val="000000"/>
                <w:sz w:val="28"/>
                <w:szCs w:val="28"/>
                <w:lang w:val="en-US" w:eastAsia="zh-CN"/>
              </w:rPr>
            </w:pPr>
            <w:r>
              <w:rPr>
                <w:rFonts w:hint="eastAsia" w:ascii="Times New Roman" w:hAnsi="Times New Roman" w:cs="宋体"/>
                <w:b/>
                <w:bCs/>
                <w:color w:val="000000"/>
                <w:sz w:val="28"/>
                <w:szCs w:val="28"/>
              </w:rPr>
              <w:t>现代畜牧业</w:t>
            </w:r>
            <w:r>
              <w:rPr>
                <w:rFonts w:hint="eastAsia" w:ascii="Times New Roman" w:hAnsi="Times New Roman" w:cs="宋体"/>
                <w:b/>
                <w:bCs/>
                <w:color w:val="000000"/>
                <w:sz w:val="28"/>
                <w:szCs w:val="28"/>
                <w:lang w:eastAsia="zh-CN"/>
              </w:rPr>
              <w:t>：</w:t>
            </w:r>
            <w:r>
              <w:rPr>
                <w:rFonts w:hint="eastAsia" w:ascii="Times New Roman" w:hAnsi="Times New Roman" w:cs="宋体"/>
                <w:b w:val="0"/>
                <w:bCs w:val="0"/>
                <w:color w:val="000000"/>
                <w:sz w:val="28"/>
                <w:szCs w:val="28"/>
              </w:rPr>
              <w:t>到2027年，建成优质千头肉牛繁育场5家、万头育肥场2家、千头以上育肥场20家、100头规模养殖场200家</w:t>
            </w:r>
            <w:r>
              <w:rPr>
                <w:rFonts w:hint="eastAsia" w:ascii="Times New Roman" w:hAnsi="Times New Roman" w:cs="宋体"/>
                <w:b w:val="0"/>
                <w:bCs w:val="0"/>
                <w:color w:val="000000"/>
                <w:sz w:val="28"/>
                <w:szCs w:val="28"/>
                <w:lang w:eastAsia="zh-CN"/>
              </w:rPr>
              <w:t>；</w:t>
            </w:r>
            <w:r>
              <w:rPr>
                <w:rFonts w:hint="eastAsia" w:ascii="Times New Roman" w:hAnsi="Times New Roman" w:cs="宋体"/>
                <w:color w:val="000000"/>
                <w:sz w:val="28"/>
                <w:szCs w:val="28"/>
                <w:lang w:val="en-US" w:eastAsia="zh-CN"/>
              </w:rPr>
              <w:t>到2030年，新增50个标准化规模养殖场，规模养殖场总量达到1000个，畜禽粪污资源化综合利用率稳定在85%以上。</w:t>
            </w:r>
          </w:p>
          <w:p w14:paraId="38BBF3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default" w:ascii="Times New Roman" w:hAnsi="Times New Roman"/>
                <w:sz w:val="28"/>
                <w:szCs w:val="28"/>
              </w:rPr>
            </w:pPr>
            <w:r>
              <w:rPr>
                <w:rFonts w:hint="eastAsia" w:ascii="Times New Roman" w:hAnsi="Times New Roman" w:cs="宋体"/>
                <w:b/>
                <w:bCs/>
                <w:color w:val="000000"/>
                <w:sz w:val="28"/>
                <w:szCs w:val="28"/>
              </w:rPr>
              <w:t>特色农业</w:t>
            </w:r>
            <w:r>
              <w:rPr>
                <w:rFonts w:hint="eastAsia" w:ascii="Times New Roman" w:hAnsi="Times New Roman" w:cs="宋体"/>
                <w:b/>
                <w:bCs/>
                <w:color w:val="000000"/>
                <w:sz w:val="28"/>
                <w:szCs w:val="28"/>
                <w:lang w:val="en-US" w:eastAsia="zh-CN"/>
              </w:rPr>
              <w:t>产业</w:t>
            </w:r>
            <w:r>
              <w:rPr>
                <w:rFonts w:hint="eastAsia" w:ascii="Times New Roman" w:hAnsi="Times New Roman" w:cs="宋体"/>
                <w:b/>
                <w:bCs/>
                <w:color w:val="000000"/>
                <w:sz w:val="28"/>
                <w:szCs w:val="28"/>
                <w:lang w:eastAsia="zh-CN"/>
              </w:rPr>
              <w:t>：</w:t>
            </w:r>
            <w:r>
              <w:rPr>
                <w:rFonts w:hint="eastAsia" w:ascii="Times New Roman" w:hAnsi="Times New Roman" w:cs="宋体"/>
                <w:b w:val="0"/>
                <w:bCs w:val="0"/>
                <w:color w:val="000000"/>
                <w:sz w:val="28"/>
                <w:szCs w:val="28"/>
                <w:lang w:eastAsia="zh-CN"/>
              </w:rPr>
              <w:t>到2027年，优质鲜食玉米基地面积10万亩、优质万寿菊种植1.3亿株、优质“三辣”种植基地15万亩、优质瓜果蔬菜种植基地15.5万亩；优质花生种植基地13万亩。</w:t>
            </w:r>
          </w:p>
        </w:tc>
      </w:tr>
    </w:tbl>
    <w:p w14:paraId="49FB9710">
      <w:pPr>
        <w:pStyle w:val="7"/>
        <w:bidi w:val="0"/>
        <w:rPr>
          <w:rFonts w:hint="eastAsia" w:ascii="Times New Roman" w:hAnsi="Times New Roman"/>
          <w:b/>
          <w:lang w:val="en-US" w:eastAsia="zh-CN"/>
        </w:rPr>
      </w:pPr>
      <w:bookmarkStart w:id="56" w:name="_Toc6179"/>
      <w:bookmarkStart w:id="57" w:name="_Toc3224"/>
      <w:bookmarkStart w:id="58" w:name="_Toc2188"/>
      <w:r>
        <w:rPr>
          <w:rFonts w:hint="eastAsia" w:ascii="Times New Roman" w:hAnsi="Times New Roman"/>
          <w:b/>
          <w:lang w:val="en-US" w:eastAsia="zh-CN"/>
        </w:rPr>
        <w:t xml:space="preserve">第三节  </w:t>
      </w:r>
      <w:bookmarkEnd w:id="56"/>
      <w:bookmarkEnd w:id="57"/>
      <w:r>
        <w:rPr>
          <w:rFonts w:hint="eastAsia" w:ascii="Times New Roman" w:hAnsi="Times New Roman"/>
          <w:b/>
          <w:lang w:val="en-US" w:eastAsia="zh-CN"/>
        </w:rPr>
        <w:t>全领域推进农业科技装备创新</w:t>
      </w:r>
      <w:bookmarkEnd w:id="58"/>
    </w:p>
    <w:p w14:paraId="228A7292">
      <w:pPr>
        <w:rPr>
          <w:rFonts w:hint="eastAsia" w:ascii="Times New Roman" w:hAnsi="Times New Roman"/>
          <w:lang w:val="en-US" w:eastAsia="zh-CN"/>
        </w:rPr>
      </w:pPr>
      <w:r>
        <w:rPr>
          <w:rFonts w:hint="eastAsia" w:ascii="Times New Roman" w:hAnsi="Times New Roman"/>
          <w:b/>
          <w:bCs/>
          <w:lang w:val="en-US" w:eastAsia="zh-CN"/>
        </w:rPr>
        <w:t>推动农业科技创新能力跃升。加大农业科技创新力度。</w:t>
      </w:r>
      <w:r>
        <w:rPr>
          <w:rFonts w:hint="eastAsia" w:ascii="Times New Roman" w:hAnsi="Times New Roman"/>
          <w:lang w:val="en-US" w:eastAsia="zh-CN"/>
        </w:rPr>
        <w:t>增加财政对农业科研的支持，引导企业与社会资本参与科技创新；深化与吉林大学、吉林农大、省农科院等科研院所长期合作，共建技术创新平台，开展关键技术研发，解决农业生产实际问题；加强农业科技成果转化，推动农业主产区与科技创新活跃区深度合作。</w:t>
      </w:r>
      <w:r>
        <w:rPr>
          <w:rFonts w:hint="eastAsia" w:ascii="Times New Roman" w:hAnsi="Times New Roman"/>
          <w:b/>
          <w:bCs/>
          <w:lang w:val="en-US" w:eastAsia="zh-CN"/>
        </w:rPr>
        <w:t>加强农业科技推广。</w:t>
      </w:r>
      <w:r>
        <w:rPr>
          <w:rFonts w:hint="eastAsia" w:ascii="Times New Roman" w:hAnsi="Times New Roman"/>
          <w:lang w:val="en-US" w:eastAsia="zh-CN"/>
        </w:rPr>
        <w:t>加大农业新品种、新技术、新装备的引进和推广力度，提高农业科技进步贡献率；建立健全农业科技推广服务体系，加强基层推广队伍建设；通过举办培训班、发放技术资料、开展</w:t>
      </w:r>
      <w:r>
        <w:rPr>
          <w:rFonts w:hint="eastAsia"/>
          <w:lang w:val="en-US" w:eastAsia="zh-CN"/>
        </w:rPr>
        <w:t>试点</w:t>
      </w:r>
      <w:r>
        <w:rPr>
          <w:rFonts w:hint="eastAsia" w:ascii="Times New Roman" w:hAnsi="Times New Roman"/>
          <w:lang w:val="en-US" w:eastAsia="zh-CN"/>
        </w:rPr>
        <w:t>推广等方式，将先进科技成果推广到农民手中；利用现代信息技术，搭建农业科技服务平台，为农民提供咨询与技术指导。</w:t>
      </w:r>
      <w:r>
        <w:rPr>
          <w:rFonts w:hint="eastAsia" w:ascii="Times New Roman" w:hAnsi="Times New Roman"/>
          <w:b/>
          <w:bCs/>
          <w:lang w:val="en-US" w:eastAsia="zh-CN"/>
        </w:rPr>
        <w:t>培养农业科技人才。</w:t>
      </w:r>
      <w:r>
        <w:rPr>
          <w:rFonts w:hint="eastAsia" w:ascii="Times New Roman" w:hAnsi="Times New Roman"/>
          <w:lang w:val="en-US" w:eastAsia="zh-CN"/>
        </w:rPr>
        <w:t>制定优惠政策，吸引农业科技人才到农安县工作；加强农民科技培训，提高农民科技文化素质与生产技能，培养新型职业农民。</w:t>
      </w:r>
    </w:p>
    <w:p w14:paraId="73F64F7F">
      <w:pPr>
        <w:rPr>
          <w:rFonts w:hint="eastAsia" w:ascii="Times New Roman" w:hAnsi="Times New Roman"/>
          <w:lang w:val="en-US" w:eastAsia="zh-CN"/>
        </w:rPr>
      </w:pPr>
      <w:r>
        <w:rPr>
          <w:rFonts w:hint="eastAsia" w:ascii="Times New Roman" w:hAnsi="Times New Roman"/>
          <w:b/>
          <w:bCs/>
          <w:lang w:val="en-US" w:eastAsia="zh-CN"/>
        </w:rPr>
        <w:t>推进农业科技装备升级。促进数字技术与现代农业全面融合。</w:t>
      </w:r>
      <w:r>
        <w:rPr>
          <w:rFonts w:hint="eastAsia" w:ascii="Times New Roman" w:hAnsi="Times New Roman"/>
          <w:lang w:val="en-US" w:eastAsia="zh-CN"/>
        </w:rPr>
        <w:t>建立健全天空地一体化农业观测网络，发挥隆源、乾溢两个省级智慧农业示范基地带动作用，完善农业农村统计调查监测体系，建设全领域覆盖、多层级联通的农业农村大数据平台，健全涉农数据开发利用机制。释放农业农村数字生产力，深入推进华讯方舟集团三产融合项目，打造现代农业大数据生态产业园和智慧农庄；全面深化智慧农业暨数字乡村建设，形成智慧农业新模式。</w:t>
      </w:r>
      <w:r>
        <w:rPr>
          <w:rFonts w:hint="eastAsia" w:ascii="Times New Roman" w:hAnsi="Times New Roman"/>
          <w:b/>
          <w:bCs/>
          <w:lang w:val="en-US" w:eastAsia="zh-CN"/>
        </w:rPr>
        <w:t>加速推进农业机械化升级。</w:t>
      </w:r>
      <w:r>
        <w:rPr>
          <w:rFonts w:hint="eastAsia" w:ascii="Times New Roman" w:hAnsi="Times New Roman"/>
          <w:lang w:val="en-US" w:eastAsia="zh-CN"/>
        </w:rPr>
        <w:t>继续以改变农机装备结构为重点，积极争取国家和省、市扶持农业机械化发展资金，落实好农机购置补贴政策，开展好农机购置补贴工作，提高农机综合作业水平。积极做好农机具报废更新补贴工作，充分利用“两新”政策资金，全力推动我县农业机械报废拆解工作，每年拆解老旧农机具1000台，加快先进适用、节能环保、安全可靠农业机械的推广应用，优化农机装备结构，加快推进我县的农业机械化转型升级。</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5D9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F1F1F1"/>
          </w:tcPr>
          <w:p w14:paraId="174923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Times New Roman" w:hAnsi="Times New Roman" w:cs="宋体"/>
                <w:color w:val="000000"/>
                <w:sz w:val="28"/>
                <w:szCs w:val="28"/>
              </w:rPr>
            </w:pPr>
            <w:r>
              <w:rPr>
                <w:rFonts w:hint="eastAsia" w:ascii="Times New Roman" w:hAnsi="Times New Roman" w:cs="宋体"/>
                <w:b/>
                <w:bCs/>
                <w:color w:val="000000"/>
                <w:sz w:val="28"/>
                <w:szCs w:val="28"/>
              </w:rPr>
              <w:t>专栏</w:t>
            </w:r>
            <w:r>
              <w:rPr>
                <w:rFonts w:hint="eastAsia" w:ascii="Times New Roman" w:hAnsi="Times New Roman" w:cs="宋体"/>
                <w:b/>
                <w:bCs/>
                <w:color w:val="000000"/>
                <w:sz w:val="28"/>
                <w:szCs w:val="28"/>
                <w:lang w:val="en-US" w:eastAsia="zh-CN"/>
              </w:rPr>
              <w:t xml:space="preserve">4 </w:t>
            </w:r>
            <w:r>
              <w:rPr>
                <w:rFonts w:hint="eastAsia" w:ascii="Times New Roman" w:hAnsi="Times New Roman" w:cs="宋体"/>
                <w:b/>
                <w:bCs/>
                <w:color w:val="000000"/>
                <w:sz w:val="28"/>
                <w:szCs w:val="28"/>
              </w:rPr>
              <w:t>农业科技装备创新</w:t>
            </w:r>
            <w:r>
              <w:rPr>
                <w:rFonts w:hint="eastAsia" w:ascii="Times New Roman" w:hAnsi="Times New Roman" w:cs="宋体"/>
                <w:b/>
                <w:bCs/>
                <w:color w:val="000000"/>
                <w:sz w:val="28"/>
                <w:szCs w:val="28"/>
                <w:lang w:val="en-US" w:eastAsia="zh-CN"/>
              </w:rPr>
              <w:t>重点工程</w:t>
            </w:r>
          </w:p>
        </w:tc>
      </w:tr>
      <w:tr w14:paraId="06D4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E4C59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default" w:ascii="Times New Roman" w:hAnsi="Times New Roman"/>
                <w:sz w:val="28"/>
                <w:szCs w:val="28"/>
              </w:rPr>
            </w:pPr>
            <w:r>
              <w:rPr>
                <w:rFonts w:hint="eastAsia" w:ascii="Times New Roman" w:hAnsi="Times New Roman" w:cs="宋体"/>
                <w:b/>
                <w:bCs/>
                <w:color w:val="000000"/>
                <w:sz w:val="28"/>
                <w:szCs w:val="28"/>
              </w:rPr>
              <w:t>农业科技装备升级</w:t>
            </w:r>
            <w:r>
              <w:rPr>
                <w:rFonts w:hint="eastAsia" w:ascii="Times New Roman" w:hAnsi="Times New Roman" w:cs="宋体"/>
                <w:b/>
                <w:bCs/>
                <w:color w:val="000000"/>
                <w:sz w:val="28"/>
                <w:szCs w:val="28"/>
                <w:lang w:eastAsia="zh-CN"/>
              </w:rPr>
              <w:t>：</w:t>
            </w:r>
            <w:r>
              <w:rPr>
                <w:rFonts w:hint="eastAsia" w:ascii="Times New Roman" w:hAnsi="Times New Roman" w:cs="宋体"/>
                <w:b w:val="0"/>
                <w:bCs w:val="0"/>
                <w:color w:val="000000"/>
                <w:sz w:val="28"/>
                <w:szCs w:val="28"/>
                <w:lang w:eastAsia="zh-CN"/>
              </w:rPr>
              <w:t>到2030年，全县农机总动力达到252万千瓦，拖拉机保有量12万台，配套农机具32.5万台套，主要粮食作物综合机械化水平达到97.2%。</w:t>
            </w:r>
          </w:p>
        </w:tc>
      </w:tr>
    </w:tbl>
    <w:p w14:paraId="6EA12DFC">
      <w:pPr>
        <w:pStyle w:val="7"/>
        <w:bidi w:val="0"/>
        <w:rPr>
          <w:rFonts w:hint="eastAsia" w:ascii="Times New Roman" w:hAnsi="Times New Roman"/>
          <w:b/>
          <w:lang w:val="en-US" w:eastAsia="zh-CN"/>
        </w:rPr>
      </w:pPr>
      <w:bookmarkStart w:id="59" w:name="_Toc417"/>
      <w:bookmarkStart w:id="60" w:name="_Toc7760"/>
      <w:bookmarkStart w:id="61" w:name="_Toc22339"/>
      <w:r>
        <w:rPr>
          <w:rFonts w:hint="eastAsia" w:ascii="Times New Roman" w:hAnsi="Times New Roman"/>
          <w:b/>
          <w:lang w:val="en-US" w:eastAsia="zh-CN"/>
        </w:rPr>
        <w:t>第四节  全环节完善现代农业经营体系</w:t>
      </w:r>
      <w:bookmarkEnd w:id="59"/>
      <w:bookmarkEnd w:id="60"/>
      <w:bookmarkEnd w:id="61"/>
    </w:p>
    <w:p w14:paraId="4172FDED">
      <w:pPr>
        <w:pStyle w:val="6"/>
        <w:rPr>
          <w:rFonts w:hint="eastAsia" w:ascii="Times New Roman" w:hAnsi="Times New Roman"/>
          <w:lang w:val="en-US" w:eastAsia="zh-CN"/>
        </w:rPr>
      </w:pPr>
      <w:r>
        <w:rPr>
          <w:rFonts w:hint="eastAsia" w:ascii="Times New Roman" w:hAnsi="Times New Roman"/>
          <w:b/>
          <w:bCs/>
          <w:lang w:val="en-US" w:eastAsia="zh-CN"/>
        </w:rPr>
        <w:t>完善农村基本经营制度。深化农村土地制度改革。</w:t>
      </w:r>
      <w:r>
        <w:rPr>
          <w:rFonts w:hint="eastAsia" w:ascii="Times New Roman" w:hAnsi="Times New Roman"/>
          <w:lang w:val="en-US" w:eastAsia="zh-CN"/>
        </w:rPr>
        <w:t>贯彻落实农村土地承包关系稳定并长久不变政策，衔接落实第二轮土地承包到期后再延长30年政策；落实农村承包地“三权”分置制度，加强土地经营权流转和规模经营的管理服务，推动土地经营权抵押融资。</w:t>
      </w:r>
      <w:r>
        <w:rPr>
          <w:rFonts w:hint="eastAsia" w:ascii="Times New Roman" w:hAnsi="Times New Roman"/>
          <w:b/>
          <w:bCs/>
          <w:lang w:val="en-US" w:eastAsia="zh-CN"/>
        </w:rPr>
        <w:t>完善集体林权制度。</w:t>
      </w:r>
      <w:r>
        <w:rPr>
          <w:rFonts w:hint="eastAsia" w:ascii="Times New Roman" w:hAnsi="Times New Roman"/>
          <w:lang w:val="en-US" w:eastAsia="zh-CN"/>
        </w:rPr>
        <w:t>稳定林地承包经营权，引导规范有序流转，扩大商品林经营自主权，支持开展林权收储担保服务。</w:t>
      </w:r>
      <w:r>
        <w:rPr>
          <w:rFonts w:hint="eastAsia" w:ascii="Times New Roman" w:hAnsi="Times New Roman"/>
          <w:b/>
          <w:bCs/>
          <w:lang w:val="en-US" w:eastAsia="zh-CN"/>
        </w:rPr>
        <w:t>推进农村集体经济活权赋能。</w:t>
      </w:r>
      <w:r>
        <w:rPr>
          <w:rFonts w:hint="eastAsia" w:ascii="Times New Roman" w:hAnsi="Times New Roman"/>
          <w:lang w:val="en-US" w:eastAsia="zh-CN"/>
        </w:rPr>
        <w:t>深化农村集体产权制度改革，健全农村集体资产监督管理服务体系；发挥农村集体经济组织贴近农户、服务综合、辐射带动等优势，完善农村集体经济组织在服务农业生产方面的统筹协调功能；发展新型农村集体经济，构建产权明晰、分配合理的运行机制，赋予农民更加充分的财产权益；启动集体经济组织标准化建设试点，打造特色产业发展样板。</w:t>
      </w:r>
    </w:p>
    <w:p w14:paraId="0929C3FD">
      <w:pPr>
        <w:pStyle w:val="6"/>
        <w:rPr>
          <w:rFonts w:hint="eastAsia" w:ascii="Times New Roman" w:hAnsi="Times New Roman"/>
          <w:lang w:val="en-US" w:eastAsia="zh-CN"/>
        </w:rPr>
      </w:pPr>
      <w:r>
        <w:rPr>
          <w:rFonts w:hint="eastAsia" w:ascii="Times New Roman" w:hAnsi="Times New Roman"/>
          <w:b/>
          <w:bCs/>
          <w:lang w:val="en-US" w:eastAsia="zh-CN"/>
        </w:rPr>
        <w:t>发展新型农村集体经济。加强村集体经济组织管理人员能力建设。</w:t>
      </w:r>
      <w:r>
        <w:rPr>
          <w:rFonts w:hint="eastAsia" w:ascii="Times New Roman" w:hAnsi="Times New Roman"/>
          <w:lang w:val="en-US" w:eastAsia="zh-CN"/>
        </w:rPr>
        <w:t>培养村集体经济组织合格的理事长和职业经理人、培养村集体经济组织经营管理团队，重点是推动理事长、职业经理人和管理人员心智成长、能力成长；培养村集体经济组织理事长和职业经理人的产业设计能力、品牌运作能力、优质特色农产品营销能力、生产技术运行管理能力以及对现代农业产业发展方向的把握能力。</w:t>
      </w:r>
      <w:r>
        <w:rPr>
          <w:rFonts w:hint="eastAsia" w:ascii="Times New Roman" w:hAnsi="Times New Roman"/>
          <w:b/>
          <w:bCs/>
          <w:lang w:val="en-US" w:eastAsia="zh-CN"/>
        </w:rPr>
        <w:t>加强村集体经济组织运行管理能力建设。</w:t>
      </w:r>
      <w:r>
        <w:rPr>
          <w:rFonts w:hint="eastAsia" w:ascii="Times New Roman" w:hAnsi="Times New Roman"/>
          <w:lang w:val="en-US" w:eastAsia="zh-CN"/>
        </w:rPr>
        <w:t>培养包括组织文化建设、运行的制度机制和流程建设，财务及投融资管理与经营核算，人力资源管理，分配机制建设等。</w:t>
      </w:r>
    </w:p>
    <w:p w14:paraId="45C5BCC3">
      <w:pPr>
        <w:pStyle w:val="6"/>
        <w:rPr>
          <w:rFonts w:hint="eastAsia" w:ascii="Times New Roman" w:hAnsi="Times New Roman"/>
          <w:lang w:val="en-US" w:eastAsia="zh-CN"/>
        </w:rPr>
      </w:pPr>
      <w:r>
        <w:rPr>
          <w:rFonts w:hint="eastAsia" w:ascii="Times New Roman" w:hAnsi="Times New Roman"/>
          <w:b/>
          <w:bCs/>
          <w:lang w:val="en-US" w:eastAsia="zh-CN"/>
        </w:rPr>
        <w:t>推进新型农业经营主体提质增效。发展农业适度规模经营。</w:t>
      </w:r>
      <w:r>
        <w:rPr>
          <w:rFonts w:hint="eastAsia" w:ascii="Times New Roman" w:hAnsi="Times New Roman"/>
          <w:lang w:val="en-US" w:eastAsia="zh-CN"/>
        </w:rPr>
        <w:t>鼓励家庭农场、农民合作社走专业化、规范化道路，提高合作社带动农户比例，持续培育新型职业农民。鼓励小农户新组建家庭农场，给予粮食收储成本补贴，加大政策性保险支持力度，提高农业生产组织化程度。</w:t>
      </w:r>
      <w:r>
        <w:rPr>
          <w:rFonts w:hint="eastAsia" w:ascii="Times New Roman" w:hAnsi="Times New Roman"/>
          <w:b/>
          <w:bCs/>
          <w:lang w:val="en-US" w:eastAsia="zh-CN"/>
        </w:rPr>
        <w:t>实施农业产业龙头企业建设计划。</w:t>
      </w:r>
      <w:r>
        <w:rPr>
          <w:rFonts w:hint="eastAsia" w:ascii="Times New Roman" w:hAnsi="Times New Roman"/>
          <w:lang w:val="en-US" w:eastAsia="zh-CN"/>
        </w:rPr>
        <w:t>全面实施专业合作社培育、农业产业龙头企业建设计划，</w:t>
      </w:r>
      <w:r>
        <w:rPr>
          <w:rFonts w:hint="eastAsia"/>
          <w:lang w:val="en-US" w:eastAsia="zh-CN"/>
        </w:rPr>
        <w:t>培育一批</w:t>
      </w:r>
      <w:r>
        <w:rPr>
          <w:rFonts w:hint="eastAsia" w:ascii="Times New Roman" w:hAnsi="Times New Roman"/>
          <w:lang w:val="en-US" w:eastAsia="zh-CN"/>
        </w:rPr>
        <w:t>高质量发展的专业合作社和新型特色农业产业化龙头企业，引领“安农赞”农产品全产业链发展。</w:t>
      </w:r>
      <w:r>
        <w:rPr>
          <w:rFonts w:hint="eastAsia" w:ascii="Times New Roman" w:hAnsi="Times New Roman"/>
          <w:b/>
          <w:bCs/>
          <w:lang w:val="en-US" w:eastAsia="zh-CN"/>
        </w:rPr>
        <w:t>实施企业家队伍建设计划。</w:t>
      </w:r>
      <w:r>
        <w:rPr>
          <w:rFonts w:hint="eastAsia" w:ascii="Times New Roman" w:hAnsi="Times New Roman"/>
          <w:lang w:val="en-US" w:eastAsia="zh-CN"/>
        </w:rPr>
        <w:t>以现有的回乡返乡创业的新农人、有创业志向的人员为主体，制定构建全周期、立体化政策服务体系，加大力度吸引在外农安人返乡创业。</w:t>
      </w:r>
    </w:p>
    <w:p w14:paraId="4E3F0730">
      <w:pPr>
        <w:pStyle w:val="5"/>
        <w:bidi w:val="0"/>
        <w:rPr>
          <w:rFonts w:hint="eastAsia" w:ascii="Times New Roman" w:hAnsi="Times New Roman"/>
        </w:rPr>
      </w:pPr>
      <w:bookmarkStart w:id="62" w:name="_Toc17434"/>
      <w:bookmarkStart w:id="63" w:name="_Toc26021"/>
      <w:bookmarkStart w:id="64" w:name="_Toc18540"/>
      <w:bookmarkStart w:id="65" w:name="_Toc1759"/>
      <w:r>
        <w:rPr>
          <w:rFonts w:hint="eastAsia" w:ascii="Times New Roman" w:hAnsi="Times New Roman"/>
        </w:rPr>
        <w:t>第</w:t>
      </w:r>
      <w:r>
        <w:rPr>
          <w:rFonts w:hint="eastAsia" w:ascii="Times New Roman" w:hAnsi="Times New Roman"/>
          <w:lang w:val="en-US" w:eastAsia="zh-CN"/>
        </w:rPr>
        <w:t>五</w:t>
      </w:r>
      <w:r>
        <w:rPr>
          <w:rFonts w:hint="eastAsia" w:ascii="Times New Roman" w:hAnsi="Times New Roman"/>
        </w:rPr>
        <w:t>章 大力实施“工业兴县”，夯实县域经济发展支撑</w:t>
      </w:r>
      <w:bookmarkEnd w:id="62"/>
      <w:bookmarkEnd w:id="63"/>
      <w:bookmarkEnd w:id="64"/>
      <w:bookmarkEnd w:id="65"/>
    </w:p>
    <w:p w14:paraId="75C3038F">
      <w:pPr>
        <w:bidi w:val="0"/>
        <w:rPr>
          <w:rFonts w:hint="eastAsia" w:ascii="Times New Roman" w:hAnsi="Times New Roman"/>
          <w:lang w:val="en-US" w:eastAsia="zh-CN"/>
        </w:rPr>
      </w:pPr>
      <w:bookmarkStart w:id="66" w:name="_Toc12505"/>
      <w:r>
        <w:rPr>
          <w:rFonts w:hint="eastAsia" w:ascii="Times New Roman" w:hAnsi="Times New Roman"/>
          <w:lang w:val="en-US" w:eastAsia="zh-CN"/>
        </w:rPr>
        <w:t>围绕做强主导产业、做大支撑产业、培育新兴产业为突破口，聚焦</w:t>
      </w:r>
      <w:r>
        <w:rPr>
          <w:rFonts w:hint="eastAsia"/>
          <w:lang w:val="en-US" w:eastAsia="zh-CN"/>
        </w:rPr>
        <w:t>全</w:t>
      </w:r>
      <w:r>
        <w:rPr>
          <w:rFonts w:hint="eastAsia" w:ascii="Times New Roman" w:hAnsi="Times New Roman"/>
          <w:lang w:val="en-US" w:eastAsia="zh-CN"/>
        </w:rPr>
        <w:t>产业链发展，推进数字化改造和产学研融合，构建</w:t>
      </w:r>
      <w:r>
        <w:rPr>
          <w:rFonts w:hint="eastAsia"/>
          <w:lang w:val="en-US" w:eastAsia="zh-CN"/>
        </w:rPr>
        <w:t>形成</w:t>
      </w:r>
      <w:r>
        <w:rPr>
          <w:rFonts w:hint="eastAsia" w:ascii="Times New Roman" w:hAnsi="Times New Roman"/>
          <w:lang w:val="en-US" w:eastAsia="zh-CN"/>
        </w:rPr>
        <w:t>“2+2+N”（2大主导产业，2大支撑产业，N个新兴产业）产业体系，加快推进农安县新型工业化进程。</w:t>
      </w:r>
    </w:p>
    <w:p w14:paraId="4E339771">
      <w:pPr>
        <w:pStyle w:val="7"/>
        <w:numPr>
          <w:ilvl w:val="0"/>
          <w:numId w:val="1"/>
        </w:numPr>
        <w:bidi w:val="0"/>
        <w:rPr>
          <w:rFonts w:hint="eastAsia" w:ascii="Times New Roman" w:hAnsi="Times New Roman"/>
          <w:b/>
          <w:lang w:val="en-US" w:eastAsia="zh-CN"/>
        </w:rPr>
      </w:pPr>
      <w:r>
        <w:rPr>
          <w:rFonts w:hint="eastAsia" w:ascii="Times New Roman" w:hAnsi="Times New Roman"/>
          <w:b/>
          <w:lang w:val="en-US" w:eastAsia="zh-CN"/>
        </w:rPr>
        <w:t xml:space="preserve"> </w:t>
      </w:r>
      <w:bookmarkStart w:id="67" w:name="_Toc9873"/>
      <w:bookmarkStart w:id="68" w:name="_Toc7259"/>
      <w:bookmarkStart w:id="69" w:name="_Toc21358"/>
      <w:r>
        <w:rPr>
          <w:rFonts w:hint="eastAsia" w:ascii="Times New Roman" w:hAnsi="Times New Roman"/>
          <w:b/>
          <w:lang w:val="en-US" w:eastAsia="zh-CN"/>
        </w:rPr>
        <w:t>做大做强主导产业</w:t>
      </w:r>
      <w:bookmarkEnd w:id="67"/>
      <w:bookmarkEnd w:id="68"/>
      <w:bookmarkEnd w:id="69"/>
    </w:p>
    <w:bookmarkEnd w:id="66"/>
    <w:p w14:paraId="207AC9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4"/>
        <w:rPr>
          <w:rFonts w:hint="default" w:ascii="Times New Roman" w:hAnsi="Times New Roman" w:eastAsia="方正仿宋_GBK"/>
          <w:b/>
          <w:bCs/>
          <w:sz w:val="32"/>
          <w:szCs w:val="22"/>
          <w:lang w:val="en-US" w:eastAsia="zh-CN"/>
          <w14:ligatures w14:val="standardContextual"/>
        </w:rPr>
      </w:pPr>
      <w:r>
        <w:rPr>
          <w:rFonts w:hint="eastAsia"/>
          <w:b/>
          <w:bCs/>
          <w:sz w:val="32"/>
          <w:szCs w:val="22"/>
          <w:lang w:val="en-US" w:eastAsia="zh-CN"/>
          <w14:ligatures w14:val="standardContextual"/>
        </w:rPr>
        <w:t>一</w:t>
      </w:r>
      <w:r>
        <w:rPr>
          <w:rFonts w:hint="eastAsia" w:ascii="Times New Roman" w:hAnsi="Times New Roman"/>
          <w:b/>
          <w:bCs/>
          <w:sz w:val="32"/>
          <w:szCs w:val="22"/>
          <w:lang w:val="en-US" w:eastAsia="zh-CN"/>
          <w14:ligatures w14:val="standardContextual"/>
        </w:rPr>
        <w:t>、</w:t>
      </w:r>
      <w:r>
        <w:rPr>
          <w:rFonts w:hint="eastAsia" w:ascii="Times New Roman" w:hAnsi="Times New Roman"/>
          <w:b/>
          <w:lang w:val="en-US" w:eastAsia="zh-CN"/>
        </w:rPr>
        <w:t>农产品加工及食品加工</w:t>
      </w:r>
    </w:p>
    <w:p w14:paraId="06A81CC1">
      <w:pPr>
        <w:spacing w:line="560" w:lineRule="exact"/>
        <w:ind w:firstLine="640" w:firstLineChars="200"/>
        <w:rPr>
          <w:rFonts w:hint="eastAsia" w:ascii="Times New Roman" w:hAnsi="Times New Roman" w:eastAsia="方正仿宋_GBK"/>
          <w:b w:val="0"/>
          <w:bCs w:val="0"/>
          <w:sz w:val="32"/>
          <w:szCs w:val="22"/>
          <w:lang w:val="en-US" w:eastAsia="zh-CN"/>
          <w14:ligatures w14:val="standardContextual"/>
        </w:rPr>
      </w:pPr>
      <w:r>
        <w:rPr>
          <w:rFonts w:hint="eastAsia" w:ascii="Times New Roman" w:hAnsi="Times New Roman" w:eastAsia="方正仿宋_GBK"/>
          <w:b/>
          <w:bCs/>
          <w:sz w:val="32"/>
          <w:szCs w:val="22"/>
          <w:lang w:val="en-US" w:eastAsia="zh-CN"/>
          <w14:ligatures w14:val="standardContextual"/>
        </w:rPr>
        <w:t>优化升级畜禽产品加工业。</w:t>
      </w:r>
      <w:r>
        <w:rPr>
          <w:rFonts w:hint="eastAsia" w:ascii="Times New Roman" w:hAnsi="Times New Roman" w:eastAsia="方正仿宋_GBK"/>
          <w:b w:val="0"/>
          <w:bCs w:val="0"/>
          <w:sz w:val="32"/>
          <w:szCs w:val="22"/>
          <w:lang w:val="en-US" w:eastAsia="zh-CN"/>
          <w14:ligatures w14:val="standardContextual"/>
        </w:rPr>
        <w:t>提高现有产品生产技术水平、丰富度、市场推广度，着重探索开发功能性制品，深化品牌建设拓宽销售渠道，做优畜禽制品加工业。</w:t>
      </w:r>
      <w:r>
        <w:rPr>
          <w:rFonts w:hint="eastAsia" w:ascii="Times New Roman" w:hAnsi="Times New Roman" w:eastAsia="方正仿宋_GBK"/>
          <w:b/>
          <w:bCs/>
          <w:sz w:val="32"/>
          <w:szCs w:val="22"/>
          <w:lang w:val="en-US" w:eastAsia="zh-CN"/>
          <w14:ligatures w14:val="standardContextual"/>
        </w:rPr>
        <w:t>生产新鲜及冷冻肉制品。</w:t>
      </w:r>
      <w:r>
        <w:rPr>
          <w:rFonts w:hint="eastAsia" w:ascii="Times New Roman" w:hAnsi="Times New Roman" w:eastAsia="方正仿宋_GBK"/>
          <w:b w:val="0"/>
          <w:bCs w:val="0"/>
          <w:sz w:val="32"/>
          <w:szCs w:val="22"/>
          <w:lang w:val="en-US" w:eastAsia="zh-CN"/>
          <w14:ligatures w14:val="standardContextual"/>
        </w:rPr>
        <w:t>重点发展生猪、肉牛加工业，推动开展生猪、肉牛精细化分割业务，推出高端</w:t>
      </w:r>
      <w:r>
        <w:rPr>
          <w:rFonts w:hint="eastAsia" w:ascii="Times New Roman" w:hAnsi="Times New Roman"/>
          <w:b w:val="0"/>
          <w:bCs w:val="0"/>
          <w:sz w:val="32"/>
          <w:szCs w:val="22"/>
          <w:lang w:val="en-US" w:eastAsia="zh-CN"/>
          <w14:ligatures w14:val="standardContextual"/>
        </w:rPr>
        <w:t>肉牛</w:t>
      </w:r>
      <w:r>
        <w:rPr>
          <w:rFonts w:hint="eastAsia" w:ascii="Times New Roman" w:hAnsi="Times New Roman" w:eastAsia="方正仿宋_GBK"/>
          <w:b w:val="0"/>
          <w:bCs w:val="0"/>
          <w:sz w:val="32"/>
          <w:szCs w:val="22"/>
          <w:lang w:val="en-US" w:eastAsia="zh-CN"/>
          <w14:ligatures w14:val="standardContextual"/>
        </w:rPr>
        <w:t>精确分级分割产品，鼓励屠宰加工企业开展冷鲜肉制品直供业务，与火锅店、盒马鲜生等外送平台建立合作配送机制。</w:t>
      </w:r>
      <w:r>
        <w:rPr>
          <w:rFonts w:hint="eastAsia" w:ascii="Times New Roman" w:hAnsi="Times New Roman"/>
          <w:b/>
          <w:bCs/>
          <w:sz w:val="32"/>
          <w:szCs w:val="22"/>
          <w:lang w:val="en-US" w:eastAsia="zh-CN"/>
          <w14:ligatures w14:val="standardContextual"/>
        </w:rPr>
        <w:t>扩大</w:t>
      </w:r>
      <w:r>
        <w:rPr>
          <w:rFonts w:hint="eastAsia" w:ascii="Times New Roman" w:hAnsi="Times New Roman" w:eastAsia="方正仿宋_GBK"/>
          <w:b/>
          <w:bCs/>
          <w:sz w:val="32"/>
          <w:szCs w:val="22"/>
          <w:lang w:val="en-US" w:eastAsia="zh-CN"/>
          <w14:ligatures w14:val="standardContextual"/>
        </w:rPr>
        <w:t>特色制品生产规模。</w:t>
      </w:r>
      <w:r>
        <w:rPr>
          <w:rFonts w:hint="eastAsia" w:ascii="Times New Roman" w:hAnsi="Times New Roman" w:eastAsia="方正仿宋_GBK"/>
          <w:b w:val="0"/>
          <w:bCs w:val="0"/>
          <w:sz w:val="32"/>
          <w:szCs w:val="22"/>
          <w:lang w:val="en-US" w:eastAsia="zh-CN"/>
          <w14:ligatures w14:val="standardContextual"/>
        </w:rPr>
        <w:t>以“吉牛”品牌为引领，推动热鲜肉、冷冻肉初级加工向预制菜、休闲食品、</w:t>
      </w:r>
      <w:r>
        <w:rPr>
          <w:rFonts w:hint="eastAsia" w:ascii="Times New Roman" w:hAnsi="Times New Roman"/>
          <w:b w:val="0"/>
          <w:bCs w:val="0"/>
          <w:sz w:val="32"/>
          <w:szCs w:val="22"/>
          <w:lang w:val="en-US" w:eastAsia="zh-CN"/>
          <w14:ligatures w14:val="standardContextual"/>
        </w:rPr>
        <w:t>牛</w:t>
      </w:r>
      <w:r>
        <w:rPr>
          <w:rFonts w:hint="eastAsia" w:ascii="Times New Roman" w:hAnsi="Times New Roman" w:eastAsia="方正仿宋_GBK"/>
          <w:b w:val="0"/>
          <w:bCs w:val="0"/>
          <w:sz w:val="32"/>
          <w:szCs w:val="22"/>
          <w:lang w:val="en-US" w:eastAsia="zh-CN"/>
          <w14:ligatures w14:val="standardContextual"/>
        </w:rPr>
        <w:t>肉干、</w:t>
      </w:r>
      <w:r>
        <w:rPr>
          <w:rFonts w:hint="eastAsia" w:ascii="Times New Roman" w:hAnsi="Times New Roman"/>
          <w:b w:val="0"/>
          <w:bCs w:val="0"/>
          <w:sz w:val="32"/>
          <w:szCs w:val="22"/>
          <w:lang w:val="en-US" w:eastAsia="zh-CN"/>
          <w14:ligatures w14:val="standardContextual"/>
        </w:rPr>
        <w:t>牛</w:t>
      </w:r>
      <w:r>
        <w:rPr>
          <w:rFonts w:hint="eastAsia" w:ascii="Times New Roman" w:hAnsi="Times New Roman" w:eastAsia="方正仿宋_GBK"/>
          <w:b w:val="0"/>
          <w:bCs w:val="0"/>
          <w:sz w:val="32"/>
          <w:szCs w:val="22"/>
          <w:lang w:val="en-US" w:eastAsia="zh-CN"/>
          <w14:ligatures w14:val="standardContextual"/>
        </w:rPr>
        <w:t>肉松、午餐肉</w:t>
      </w:r>
      <w:r>
        <w:rPr>
          <w:rFonts w:hint="eastAsia" w:ascii="Times New Roman" w:hAnsi="Times New Roman"/>
          <w:b w:val="0"/>
          <w:bCs w:val="0"/>
          <w:sz w:val="32"/>
          <w:szCs w:val="22"/>
          <w:lang w:val="en-US" w:eastAsia="zh-CN"/>
          <w14:ligatures w14:val="standardContextual"/>
        </w:rPr>
        <w:t>等特色制品拓展。</w:t>
      </w:r>
      <w:r>
        <w:rPr>
          <w:rFonts w:hint="eastAsia" w:ascii="Times New Roman" w:hAnsi="Times New Roman"/>
          <w:b/>
          <w:bCs/>
          <w:sz w:val="32"/>
          <w:szCs w:val="22"/>
          <w:lang w:val="en-US" w:eastAsia="zh-CN"/>
          <w14:ligatures w14:val="standardContextual"/>
        </w:rPr>
        <w:t>开发功能性制品。</w:t>
      </w:r>
      <w:r>
        <w:rPr>
          <w:rFonts w:hint="eastAsia" w:ascii="Times New Roman" w:hAnsi="Times New Roman"/>
          <w:b w:val="0"/>
          <w:bCs w:val="0"/>
          <w:sz w:val="32"/>
          <w:szCs w:val="22"/>
          <w:lang w:val="en-US" w:eastAsia="zh-CN"/>
          <w14:ligatures w14:val="standardContextual"/>
        </w:rPr>
        <w:t>支持企业联合科研机构，利用牛骨提取小分子胶原蛋白肽，将生产小分子胶原蛋白肽产生的骨粉、骨油、骨泥等副产品用于生产各类食品级产品。</w:t>
      </w:r>
      <w:r>
        <w:rPr>
          <w:rFonts w:hint="eastAsia" w:ascii="Times New Roman" w:hAnsi="Times New Roman"/>
          <w:b/>
          <w:bCs/>
          <w:sz w:val="32"/>
          <w:szCs w:val="22"/>
          <w:lang w:val="en-US" w:eastAsia="zh-CN"/>
          <w14:ligatures w14:val="standardContextual"/>
        </w:rPr>
        <w:t>拓展</w:t>
      </w:r>
      <w:r>
        <w:rPr>
          <w:rFonts w:hint="eastAsia" w:ascii="Times New Roman" w:hAnsi="Times New Roman" w:eastAsia="方正仿宋_GBK"/>
          <w:b/>
          <w:bCs/>
          <w:sz w:val="32"/>
          <w:szCs w:val="22"/>
          <w:lang w:val="en-US" w:eastAsia="zh-CN"/>
          <w14:ligatures w14:val="standardContextual"/>
        </w:rPr>
        <w:t>禽类产品加工业</w:t>
      </w:r>
      <w:r>
        <w:rPr>
          <w:rFonts w:hint="eastAsia" w:ascii="Times New Roman" w:hAnsi="Times New Roman"/>
          <w:b/>
          <w:bCs/>
          <w:sz w:val="32"/>
          <w:szCs w:val="22"/>
          <w:lang w:val="en-US" w:eastAsia="zh-CN"/>
          <w14:ligatures w14:val="standardContextual"/>
        </w:rPr>
        <w:t>。</w:t>
      </w:r>
      <w:r>
        <w:rPr>
          <w:rFonts w:hint="eastAsia" w:ascii="Times New Roman" w:hAnsi="Times New Roman" w:eastAsia="方正仿宋_GBK"/>
          <w:b w:val="0"/>
          <w:bCs w:val="0"/>
          <w:sz w:val="32"/>
          <w:szCs w:val="22"/>
          <w:lang w:val="en-US" w:eastAsia="zh-CN"/>
          <w14:ligatures w14:val="standardContextual"/>
        </w:rPr>
        <w:t>以博发牧业、柳桥羽毛为引领，带动肉鸡、肉鹅</w:t>
      </w:r>
      <w:r>
        <w:rPr>
          <w:rFonts w:hint="eastAsia" w:ascii="Times New Roman" w:hAnsi="Times New Roman"/>
          <w:b w:val="0"/>
          <w:bCs w:val="0"/>
          <w:sz w:val="32"/>
          <w:szCs w:val="22"/>
          <w:lang w:val="en-US" w:eastAsia="zh-CN"/>
          <w14:ligatures w14:val="standardContextual"/>
        </w:rPr>
        <w:t>等</w:t>
      </w:r>
      <w:r>
        <w:rPr>
          <w:rFonts w:hint="eastAsia" w:ascii="Times New Roman" w:hAnsi="Times New Roman" w:eastAsia="方正仿宋_GBK"/>
          <w:b w:val="0"/>
          <w:bCs w:val="0"/>
          <w:sz w:val="32"/>
          <w:szCs w:val="22"/>
          <w:lang w:val="en-US" w:eastAsia="zh-CN"/>
          <w14:ligatures w14:val="standardContextual"/>
        </w:rPr>
        <w:t>禽类产业养殖规模的扩大，推动上下游产业发展，进一步提升价值链。</w:t>
      </w:r>
    </w:p>
    <w:p w14:paraId="6833E23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rPr>
          <w:rFonts w:hint="eastAsia" w:ascii="Times New Roman" w:hAnsi="Times New Roman" w:eastAsia="方正仿宋_GBK"/>
          <w:b/>
          <w:bCs/>
          <w:sz w:val="32"/>
          <w:szCs w:val="22"/>
          <w:lang w:val="en-US" w:eastAsia="zh-CN"/>
          <w14:ligatures w14:val="standardContextual"/>
        </w:rPr>
      </w:pPr>
      <w:r>
        <w:rPr>
          <w:rFonts w:hint="eastAsia" w:ascii="Times New Roman" w:hAnsi="Times New Roman" w:eastAsia="方正仿宋_GBK"/>
          <w:b/>
          <w:bCs/>
          <w:sz w:val="32"/>
          <w:szCs w:val="22"/>
          <w:lang w:val="en-US" w:eastAsia="zh-CN"/>
          <w14:ligatures w14:val="standardContextual"/>
        </w:rPr>
        <w:t>培育发展玉米深加工产业。</w:t>
      </w:r>
      <w:r>
        <w:rPr>
          <w:rFonts w:hint="eastAsia" w:ascii="Times New Roman" w:hAnsi="Times New Roman"/>
          <w:b/>
          <w:bCs/>
          <w:sz w:val="32"/>
          <w:szCs w:val="22"/>
          <w:lang w:val="en-US" w:eastAsia="zh-CN"/>
          <w14:ligatures w14:val="standardContextual"/>
        </w:rPr>
        <w:t>大力发展玉米休闲食品。</w:t>
      </w:r>
      <w:r>
        <w:rPr>
          <w:rFonts w:hint="eastAsia" w:ascii="Times New Roman" w:hAnsi="Times New Roman" w:eastAsia="方正仿宋_GBK"/>
          <w:b w:val="0"/>
          <w:bCs w:val="0"/>
          <w:sz w:val="32"/>
          <w:szCs w:val="22"/>
          <w:lang w:val="en-US" w:eastAsia="zh-CN"/>
          <w14:ligatures w14:val="standardContextual"/>
        </w:rPr>
        <w:t>充分发挥区域较为丰富的玉米资源，加快推进食用玉米的加工转化，重点发展冷冻玉米主食、速食玉米制品、玉米</w:t>
      </w:r>
      <w:r>
        <w:rPr>
          <w:rFonts w:hint="eastAsia" w:ascii="Times New Roman" w:hAnsi="Times New Roman"/>
          <w:b w:val="0"/>
          <w:bCs w:val="0"/>
          <w:sz w:val="32"/>
          <w:szCs w:val="22"/>
          <w:lang w:val="en-US" w:eastAsia="zh-CN"/>
          <w14:ligatures w14:val="standardContextual"/>
        </w:rPr>
        <w:t>速溶</w:t>
      </w:r>
      <w:r>
        <w:rPr>
          <w:rFonts w:hint="eastAsia" w:ascii="Times New Roman" w:hAnsi="Times New Roman" w:eastAsia="方正仿宋_GBK"/>
          <w:b w:val="0"/>
          <w:bCs w:val="0"/>
          <w:sz w:val="32"/>
          <w:szCs w:val="22"/>
          <w:lang w:val="en-US" w:eastAsia="zh-CN"/>
          <w14:ligatures w14:val="standardContextual"/>
        </w:rPr>
        <w:t>饮料等休闲食品。</w:t>
      </w:r>
      <w:r>
        <w:rPr>
          <w:rFonts w:hint="eastAsia" w:ascii="Times New Roman" w:hAnsi="Times New Roman"/>
          <w:b/>
          <w:bCs/>
          <w:sz w:val="32"/>
          <w:szCs w:val="22"/>
          <w:lang w:val="en-US" w:eastAsia="zh-CN"/>
          <w14:ligatures w14:val="standardContextual"/>
        </w:rPr>
        <w:t>延伸发展玉米精深加工。</w:t>
      </w:r>
      <w:r>
        <w:rPr>
          <w:rFonts w:hint="eastAsia" w:ascii="Times New Roman" w:hAnsi="Times New Roman" w:eastAsia="方正仿宋_GBK"/>
          <w:b w:val="0"/>
          <w:bCs w:val="0"/>
          <w:sz w:val="32"/>
          <w:szCs w:val="22"/>
          <w:lang w:val="en-US" w:eastAsia="zh-CN"/>
          <w14:ligatures w14:val="standardContextual"/>
        </w:rPr>
        <w:t>大力引进</w:t>
      </w:r>
      <w:r>
        <w:rPr>
          <w:rFonts w:hint="eastAsia"/>
          <w:b w:val="0"/>
          <w:bCs w:val="0"/>
          <w:sz w:val="32"/>
          <w:szCs w:val="22"/>
          <w:lang w:val="en-US" w:eastAsia="zh-CN"/>
          <w14:ligatures w14:val="standardContextual"/>
        </w:rPr>
        <w:t>中粮等</w:t>
      </w:r>
      <w:r>
        <w:rPr>
          <w:rFonts w:hint="eastAsia" w:ascii="Times New Roman" w:hAnsi="Times New Roman" w:eastAsia="方正仿宋_GBK"/>
          <w:b w:val="0"/>
          <w:bCs w:val="0"/>
          <w:sz w:val="32"/>
          <w:szCs w:val="22"/>
          <w:lang w:val="en-US" w:eastAsia="zh-CN"/>
          <w14:ligatures w14:val="standardContextual"/>
        </w:rPr>
        <w:t>大型玉米深加工企业集团，</w:t>
      </w:r>
      <w:r>
        <w:rPr>
          <w:rFonts w:hint="eastAsia" w:ascii="Times New Roman" w:hAnsi="Times New Roman" w:eastAsia="方正仿宋_GBK" w:cs="宋体"/>
          <w:b w:val="0"/>
          <w:bCs w:val="0"/>
          <w:sz w:val="32"/>
          <w:szCs w:val="22"/>
          <w:lang w:val="en-US" w:eastAsia="zh-CN"/>
          <w14:ligatures w14:val="standardContextual"/>
        </w:rPr>
        <w:t>推动农安县100</w:t>
      </w:r>
      <w:r>
        <w:rPr>
          <w:rFonts w:hint="eastAsia" w:cs="宋体"/>
          <w:b w:val="0"/>
          <w:bCs w:val="0"/>
          <w:sz w:val="32"/>
          <w:szCs w:val="22"/>
          <w:lang w:val="en-US" w:eastAsia="zh-CN"/>
          <w14:ligatures w14:val="standardContextual"/>
        </w:rPr>
        <w:t>万</w:t>
      </w:r>
      <w:r>
        <w:rPr>
          <w:rFonts w:hint="eastAsia" w:ascii="Times New Roman" w:hAnsi="Times New Roman" w:eastAsia="方正仿宋_GBK" w:cs="宋体"/>
          <w:b w:val="0"/>
          <w:bCs w:val="0"/>
          <w:sz w:val="32"/>
          <w:szCs w:val="22"/>
          <w:lang w:val="en-US" w:eastAsia="zh-CN"/>
          <w14:ligatures w14:val="standardContextual"/>
        </w:rPr>
        <w:t>吨玉米深加工项目</w:t>
      </w:r>
      <w:r>
        <w:rPr>
          <w:rFonts w:hint="eastAsia" w:ascii="Times New Roman" w:hAnsi="Times New Roman" w:cs="宋体"/>
          <w:b w:val="0"/>
          <w:bCs w:val="0"/>
          <w:sz w:val="32"/>
          <w:szCs w:val="22"/>
          <w:lang w:val="en-US" w:eastAsia="zh-CN"/>
          <w14:ligatures w14:val="standardContextual"/>
        </w:rPr>
        <w:t>落地，</w:t>
      </w:r>
      <w:r>
        <w:rPr>
          <w:rFonts w:hint="eastAsia" w:ascii="Times New Roman" w:hAnsi="Times New Roman" w:eastAsia="方正仿宋_GBK"/>
          <w:b w:val="0"/>
          <w:bCs w:val="0"/>
          <w:sz w:val="32"/>
          <w:szCs w:val="22"/>
          <w:lang w:val="en-US" w:eastAsia="zh-CN"/>
          <w14:ligatures w14:val="standardContextual"/>
        </w:rPr>
        <w:t>实现玉米资源的工业化转变，推动专用淀粉、</w:t>
      </w:r>
      <w:r>
        <w:rPr>
          <w:rFonts w:hint="eastAsia" w:ascii="Times New Roman" w:hAnsi="Times New Roman"/>
          <w:b w:val="0"/>
          <w:bCs w:val="0"/>
          <w:sz w:val="32"/>
          <w:szCs w:val="22"/>
          <w:lang w:val="en-US" w:eastAsia="zh-CN"/>
          <w14:ligatures w14:val="standardContextual"/>
        </w:rPr>
        <w:t>淀粉糖、变性淀粉、</w:t>
      </w:r>
      <w:r>
        <w:rPr>
          <w:rFonts w:hint="eastAsia" w:ascii="Times New Roman" w:hAnsi="Times New Roman" w:eastAsia="方正仿宋_GBK"/>
          <w:b w:val="0"/>
          <w:bCs w:val="0"/>
          <w:sz w:val="32"/>
          <w:szCs w:val="22"/>
          <w:lang w:val="en-US" w:eastAsia="zh-CN"/>
          <w14:ligatures w14:val="standardContextual"/>
        </w:rPr>
        <w:t>氨基酸、</w:t>
      </w:r>
      <w:r>
        <w:rPr>
          <w:rFonts w:hint="eastAsia" w:ascii="Times New Roman" w:hAnsi="Times New Roman"/>
          <w:b w:val="0"/>
          <w:bCs w:val="0"/>
          <w:sz w:val="32"/>
          <w:szCs w:val="22"/>
          <w:lang w:val="en-US" w:eastAsia="zh-CN"/>
          <w14:ligatures w14:val="standardContextual"/>
        </w:rPr>
        <w:t>维生素、</w:t>
      </w:r>
      <w:r>
        <w:rPr>
          <w:rFonts w:hint="eastAsia" w:ascii="Times New Roman" w:hAnsi="Times New Roman" w:eastAsia="方正仿宋_GBK"/>
          <w:b w:val="0"/>
          <w:bCs w:val="0"/>
          <w:sz w:val="32"/>
          <w:szCs w:val="22"/>
          <w:lang w:val="en-US" w:eastAsia="zh-CN"/>
          <w14:ligatures w14:val="standardContextual"/>
        </w:rPr>
        <w:t>酶制剂等产品产业化发展，促进我县玉米深加工产业高端化、系列化发展。</w:t>
      </w:r>
    </w:p>
    <w:p w14:paraId="1E4E9217">
      <w:pPr>
        <w:spacing w:line="560" w:lineRule="exact"/>
        <w:ind w:firstLine="640" w:firstLineChars="200"/>
        <w:rPr>
          <w:rFonts w:hint="eastAsia" w:ascii="Times New Roman" w:hAnsi="Times New Roman" w:eastAsia="方正仿宋_GBK"/>
          <w:b w:val="0"/>
          <w:bCs w:val="0"/>
          <w:sz w:val="32"/>
          <w:szCs w:val="22"/>
          <w:lang w:val="en-US" w:eastAsia="zh-CN"/>
          <w14:ligatures w14:val="standardContextual"/>
        </w:rPr>
      </w:pPr>
      <w:r>
        <w:rPr>
          <w:rFonts w:hint="eastAsia" w:ascii="Times New Roman" w:hAnsi="Times New Roman" w:eastAsia="方正仿宋_GBK"/>
          <w:b/>
          <w:bCs/>
          <w:sz w:val="32"/>
          <w:szCs w:val="22"/>
          <w:lang w:val="en-US" w:eastAsia="zh-CN"/>
          <w14:ligatures w14:val="standardContextual"/>
        </w:rPr>
        <w:t>发展壮大绿色食品加工业。</w:t>
      </w:r>
      <w:r>
        <w:rPr>
          <w:rFonts w:hint="eastAsia" w:ascii="Times New Roman" w:hAnsi="Times New Roman" w:eastAsia="方正仿宋_GBK"/>
          <w:b w:val="0"/>
          <w:bCs w:val="0"/>
          <w:sz w:val="32"/>
          <w:szCs w:val="22"/>
          <w:lang w:val="en-US" w:eastAsia="zh-CN"/>
          <w14:ligatures w14:val="standardContextual"/>
        </w:rPr>
        <w:t>重点发展以县域特色农产品为原料的绿色食品工业，促进绿色食品的精深加工，打造绿色农产品之都</w:t>
      </w:r>
      <w:r>
        <w:rPr>
          <w:rFonts w:hint="eastAsia" w:ascii="Times New Roman" w:hAnsi="Times New Roman" w:eastAsia="方正仿宋_GBK"/>
          <w:b/>
          <w:bCs/>
          <w:sz w:val="32"/>
          <w:szCs w:val="22"/>
          <w:lang w:val="en-US" w:eastAsia="zh-CN"/>
          <w14:ligatures w14:val="standardContextual"/>
        </w:rPr>
        <w:t>。</w:t>
      </w:r>
      <w:r>
        <w:rPr>
          <w:rFonts w:hint="eastAsia" w:ascii="Times New Roman" w:hAnsi="Times New Roman" w:eastAsia="方正仿宋_GBK"/>
          <w:b w:val="0"/>
          <w:bCs w:val="0"/>
          <w:sz w:val="32"/>
          <w:szCs w:val="22"/>
          <w:lang w:val="en-US" w:eastAsia="zh-CN"/>
          <w14:ligatures w14:val="standardContextual"/>
        </w:rPr>
        <w:t>加快新鲜天然食品、休闲食品和保健食品等系列产品开发生产，</w:t>
      </w:r>
      <w:r>
        <w:rPr>
          <w:rFonts w:hint="eastAsia" w:ascii="Times New Roman" w:hAnsi="Times New Roman"/>
          <w:b w:val="0"/>
          <w:bCs w:val="0"/>
          <w:sz w:val="32"/>
          <w:szCs w:val="22"/>
          <w:lang w:val="en-US" w:eastAsia="zh-CN"/>
          <w14:ligatures w14:val="standardContextual"/>
        </w:rPr>
        <w:t>积极招引一批国内知名休闲食品加工企业，</w:t>
      </w:r>
      <w:r>
        <w:rPr>
          <w:rFonts w:hint="eastAsia" w:ascii="Times New Roman" w:hAnsi="Times New Roman" w:eastAsia="方正仿宋_GBK"/>
          <w:b w:val="0"/>
          <w:bCs w:val="0"/>
          <w:sz w:val="32"/>
          <w:szCs w:val="22"/>
          <w:lang w:val="en-US" w:eastAsia="zh-CN"/>
          <w14:ligatures w14:val="standardContextual"/>
        </w:rPr>
        <w:t>打造绿色</w:t>
      </w:r>
      <w:r>
        <w:rPr>
          <w:rFonts w:hint="eastAsia" w:ascii="Times New Roman" w:hAnsi="Times New Roman"/>
          <w:b w:val="0"/>
          <w:bCs w:val="0"/>
          <w:sz w:val="32"/>
          <w:szCs w:val="22"/>
          <w:lang w:val="en-US" w:eastAsia="zh-CN"/>
          <w14:ligatures w14:val="standardContextual"/>
        </w:rPr>
        <w:t>休闲</w:t>
      </w:r>
      <w:r>
        <w:rPr>
          <w:rFonts w:hint="eastAsia" w:ascii="Times New Roman" w:hAnsi="Times New Roman" w:eastAsia="方正仿宋_GBK"/>
          <w:b w:val="0"/>
          <w:bCs w:val="0"/>
          <w:sz w:val="32"/>
          <w:szCs w:val="22"/>
          <w:lang w:val="en-US" w:eastAsia="zh-CN"/>
          <w14:ligatures w14:val="standardContextual"/>
        </w:rPr>
        <w:t>食品生产加工基地。重点推动鼎丰真食品加工、阿兴短鲜食品基地二期、哈拉海“三辣”食品深加工等项目建设。</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189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F1F1F1"/>
          </w:tcPr>
          <w:p w14:paraId="0280CA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default" w:ascii="Times New Roman" w:hAnsi="Times New Roman" w:eastAsia="方正仿宋_GBK" w:cs="宋体"/>
                <w:color w:val="000000"/>
                <w:sz w:val="28"/>
                <w:szCs w:val="28"/>
                <w:lang w:val="en-US" w:eastAsia="zh-CN"/>
              </w:rPr>
            </w:pPr>
            <w:r>
              <w:rPr>
                <w:rFonts w:hint="eastAsia" w:ascii="Times New Roman" w:hAnsi="Times New Roman" w:cs="宋体"/>
                <w:b/>
                <w:bCs/>
                <w:color w:val="000000"/>
                <w:sz w:val="28"/>
                <w:szCs w:val="28"/>
              </w:rPr>
              <w:t>专栏</w:t>
            </w:r>
            <w:r>
              <w:rPr>
                <w:rFonts w:hint="eastAsia" w:cs="宋体"/>
                <w:b/>
                <w:bCs/>
                <w:color w:val="000000"/>
                <w:sz w:val="28"/>
                <w:szCs w:val="28"/>
                <w:lang w:val="en-US" w:eastAsia="zh-CN"/>
              </w:rPr>
              <w:t>5</w:t>
            </w:r>
            <w:r>
              <w:rPr>
                <w:rFonts w:hint="eastAsia" w:ascii="Times New Roman" w:hAnsi="Times New Roman" w:cs="宋体"/>
                <w:b/>
                <w:bCs/>
                <w:color w:val="000000"/>
                <w:sz w:val="28"/>
                <w:szCs w:val="28"/>
                <w:lang w:val="en-US" w:eastAsia="zh-CN"/>
              </w:rPr>
              <w:t xml:space="preserve"> </w:t>
            </w:r>
            <w:r>
              <w:rPr>
                <w:rFonts w:hint="eastAsia" w:ascii="Times New Roman" w:hAnsi="Times New Roman" w:cs="宋体"/>
                <w:b/>
                <w:bCs/>
                <w:color w:val="000000"/>
                <w:sz w:val="28"/>
                <w:szCs w:val="28"/>
              </w:rPr>
              <w:t>农产品加工及食品加工</w:t>
            </w:r>
            <w:r>
              <w:rPr>
                <w:rFonts w:hint="eastAsia" w:ascii="Times New Roman" w:hAnsi="Times New Roman" w:cs="宋体"/>
                <w:b/>
                <w:bCs/>
                <w:color w:val="000000"/>
                <w:sz w:val="28"/>
                <w:szCs w:val="28"/>
                <w:lang w:val="en-US" w:eastAsia="zh-CN"/>
              </w:rPr>
              <w:t>重点工程</w:t>
            </w:r>
          </w:p>
        </w:tc>
      </w:tr>
      <w:tr w14:paraId="6365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5C166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default" w:ascii="Times New Roman" w:hAnsi="Times New Roman"/>
                <w:sz w:val="28"/>
                <w:szCs w:val="28"/>
              </w:rPr>
            </w:pPr>
            <w:r>
              <w:rPr>
                <w:rFonts w:hint="eastAsia" w:ascii="Times New Roman" w:hAnsi="Times New Roman"/>
                <w:b/>
                <w:bCs/>
                <w:sz w:val="28"/>
                <w:szCs w:val="28"/>
                <w:lang w:val="en-US" w:eastAsia="zh-CN"/>
              </w:rPr>
              <w:t>农产品加工及食品加工产业链建设：</w:t>
            </w:r>
            <w:r>
              <w:rPr>
                <w:rFonts w:hint="eastAsia" w:ascii="Times New Roman" w:hAnsi="Times New Roman"/>
                <w:sz w:val="28"/>
                <w:szCs w:val="28"/>
                <w:lang w:val="en-US" w:eastAsia="zh-CN"/>
              </w:rPr>
              <w:t>依托农安</w:t>
            </w:r>
            <w:r>
              <w:rPr>
                <w:rFonts w:hint="eastAsia"/>
                <w:sz w:val="28"/>
                <w:szCs w:val="28"/>
                <w:lang w:eastAsia="zh-CN"/>
              </w:rPr>
              <w:t>“</w:t>
            </w:r>
            <w:r>
              <w:rPr>
                <w:rFonts w:hint="default" w:ascii="Times New Roman" w:hAnsi="Times New Roman"/>
                <w:sz w:val="28"/>
                <w:szCs w:val="28"/>
              </w:rPr>
              <w:t>1+6+5</w:t>
            </w:r>
            <w:r>
              <w:rPr>
                <w:rFonts w:hint="eastAsia"/>
                <w:sz w:val="28"/>
                <w:szCs w:val="28"/>
                <w:lang w:eastAsia="zh-CN"/>
              </w:rPr>
              <w:t>”</w:t>
            </w:r>
            <w:r>
              <w:rPr>
                <w:rFonts w:hint="eastAsia" w:ascii="Times New Roman" w:hAnsi="Times New Roman"/>
                <w:sz w:val="28"/>
                <w:szCs w:val="28"/>
                <w:lang w:eastAsia="zh-CN"/>
              </w:rPr>
              <w:t>【</w:t>
            </w:r>
            <w:r>
              <w:rPr>
                <w:rFonts w:hint="default" w:ascii="Times New Roman" w:hAnsi="Times New Roman"/>
                <w:sz w:val="28"/>
                <w:szCs w:val="28"/>
              </w:rPr>
              <w:t>即玉米</w:t>
            </w:r>
            <w:r>
              <w:rPr>
                <w:rFonts w:hint="eastAsia"/>
                <w:sz w:val="28"/>
                <w:szCs w:val="28"/>
                <w:lang w:val="en-US" w:eastAsia="zh-CN"/>
              </w:rPr>
              <w:t>+</w:t>
            </w:r>
            <w:r>
              <w:rPr>
                <w:rFonts w:hint="eastAsia" w:ascii="Times New Roman" w:hAnsi="Times New Roman"/>
                <w:sz w:val="28"/>
                <w:szCs w:val="28"/>
                <w:lang w:val="en-US" w:eastAsia="zh-CN"/>
              </w:rPr>
              <w:t>6</w:t>
            </w:r>
            <w:r>
              <w:rPr>
                <w:rFonts w:hint="default" w:ascii="Times New Roman" w:hAnsi="Times New Roman"/>
                <w:sz w:val="28"/>
                <w:szCs w:val="28"/>
              </w:rPr>
              <w:t>大特色经济作物（</w:t>
            </w:r>
            <w:r>
              <w:rPr>
                <w:rFonts w:hint="eastAsia"/>
                <w:sz w:val="28"/>
                <w:szCs w:val="28"/>
                <w:lang w:eastAsia="zh-CN"/>
              </w:rPr>
              <w:t>“</w:t>
            </w:r>
            <w:r>
              <w:rPr>
                <w:rFonts w:hint="default" w:ascii="Times New Roman" w:hAnsi="Times New Roman"/>
                <w:sz w:val="28"/>
                <w:szCs w:val="28"/>
              </w:rPr>
              <w:t>三辣</w:t>
            </w:r>
            <w:r>
              <w:rPr>
                <w:rFonts w:hint="eastAsia"/>
                <w:sz w:val="28"/>
                <w:szCs w:val="28"/>
                <w:lang w:eastAsia="zh-CN"/>
              </w:rPr>
              <w:t>”</w:t>
            </w:r>
            <w:r>
              <w:rPr>
                <w:rFonts w:hint="default" w:ascii="Times New Roman" w:hAnsi="Times New Roman"/>
                <w:sz w:val="28"/>
                <w:szCs w:val="28"/>
              </w:rPr>
              <w:t>、大豆、马铃薯、花生、沙棘、万寿菊）+</w:t>
            </w:r>
            <w:r>
              <w:rPr>
                <w:rFonts w:hint="eastAsia" w:ascii="Times New Roman" w:hAnsi="Times New Roman"/>
                <w:sz w:val="28"/>
                <w:szCs w:val="28"/>
                <w:lang w:val="en-US" w:eastAsia="zh-CN"/>
              </w:rPr>
              <w:t>5</w:t>
            </w:r>
            <w:r>
              <w:rPr>
                <w:rFonts w:hint="default" w:ascii="Times New Roman" w:hAnsi="Times New Roman"/>
                <w:sz w:val="28"/>
                <w:szCs w:val="28"/>
              </w:rPr>
              <w:t>大畜禽产品</w:t>
            </w:r>
            <w:r>
              <w:rPr>
                <w:rFonts w:hint="eastAsia"/>
                <w:sz w:val="28"/>
                <w:szCs w:val="28"/>
                <w:lang w:eastAsia="zh-CN"/>
              </w:rPr>
              <w:t>（</w:t>
            </w:r>
            <w:r>
              <w:rPr>
                <w:rFonts w:hint="default" w:ascii="Times New Roman" w:hAnsi="Times New Roman"/>
                <w:sz w:val="28"/>
                <w:szCs w:val="28"/>
              </w:rPr>
              <w:t>肉牛、生猪、肉鸡、肉兔、肉鹅</w:t>
            </w:r>
            <w:r>
              <w:rPr>
                <w:rFonts w:hint="eastAsia"/>
                <w:sz w:val="28"/>
                <w:szCs w:val="28"/>
                <w:lang w:eastAsia="zh-CN"/>
              </w:rPr>
              <w:t>）</w:t>
            </w:r>
            <w:r>
              <w:rPr>
                <w:rFonts w:hint="eastAsia" w:ascii="Times New Roman" w:hAnsi="Times New Roman"/>
                <w:sz w:val="28"/>
                <w:szCs w:val="28"/>
                <w:lang w:eastAsia="zh-CN"/>
              </w:rPr>
              <w:t>】</w:t>
            </w:r>
            <w:r>
              <w:rPr>
                <w:rFonts w:hint="default" w:ascii="Times New Roman" w:hAnsi="Times New Roman"/>
                <w:sz w:val="28"/>
                <w:szCs w:val="28"/>
              </w:rPr>
              <w:t>特色农畜产品资源，做深做精产业链条，支持重点屠宰企业和粮油加工企业精深化、规模化发展。</w:t>
            </w:r>
          </w:p>
        </w:tc>
      </w:tr>
    </w:tbl>
    <w:p w14:paraId="60D5D5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4"/>
        <w:rPr>
          <w:rFonts w:hint="default" w:ascii="Times New Roman" w:hAnsi="Times New Roman" w:eastAsia="方正仿宋_GBK"/>
          <w:b/>
          <w:bCs/>
          <w:sz w:val="32"/>
          <w:szCs w:val="22"/>
          <w:lang w:val="en-US" w:eastAsia="zh-CN"/>
          <w14:ligatures w14:val="standardContextual"/>
        </w:rPr>
      </w:pPr>
      <w:r>
        <w:rPr>
          <w:rFonts w:hint="eastAsia" w:ascii="Times New Roman" w:hAnsi="Times New Roman"/>
          <w:b/>
          <w:bCs/>
          <w:sz w:val="32"/>
          <w:szCs w:val="22"/>
          <w:lang w:val="en-US" w:eastAsia="zh-CN"/>
          <w14:ligatures w14:val="standardContextual"/>
        </w:rPr>
        <w:t>二、</w:t>
      </w:r>
      <w:r>
        <w:rPr>
          <w:rFonts w:hint="eastAsia" w:ascii="Times New Roman" w:hAnsi="Times New Roman"/>
          <w:b/>
          <w:lang w:val="en-US" w:eastAsia="zh-CN"/>
        </w:rPr>
        <w:t>新能源</w:t>
      </w:r>
    </w:p>
    <w:p w14:paraId="40331080">
      <w:pPr>
        <w:spacing w:line="560" w:lineRule="exact"/>
        <w:ind w:firstLine="643" w:firstLineChars="200"/>
        <w:rPr>
          <w:rFonts w:hint="eastAsia" w:ascii="Times New Roman" w:hAnsi="Times New Roman" w:eastAsia="方正仿宋_GBK"/>
          <w:b w:val="0"/>
          <w:bCs w:val="0"/>
          <w:sz w:val="32"/>
          <w:szCs w:val="22"/>
          <w:lang w:val="en-US" w:eastAsia="zh-CN"/>
          <w14:ligatures w14:val="standardContextual"/>
        </w:rPr>
      </w:pPr>
      <w:r>
        <w:rPr>
          <w:rFonts w:hint="eastAsia" w:ascii="Times New Roman" w:hAnsi="Times New Roman" w:eastAsia="仿宋_GB2312" w:cs="仿宋_GB2312"/>
          <w:b/>
          <w:bCs/>
          <w:sz w:val="32"/>
          <w:szCs w:val="32"/>
          <w:lang w:val="en-US" w:eastAsia="zh-CN"/>
        </w:rPr>
        <w:t>延伸产业链，</w:t>
      </w:r>
      <w:r>
        <w:rPr>
          <w:rFonts w:hint="eastAsia" w:ascii="Times New Roman" w:hAnsi="Times New Roman" w:eastAsia="方正仿宋_GBK"/>
          <w:b/>
          <w:bCs/>
          <w:sz w:val="32"/>
          <w:szCs w:val="22"/>
          <w:lang w:val="en-US" w:eastAsia="zh-CN"/>
          <w14:ligatures w14:val="standardContextual"/>
        </w:rPr>
        <w:t>打造新能源产业集群。</w:t>
      </w:r>
      <w:r>
        <w:rPr>
          <w:rFonts w:hint="eastAsia" w:ascii="Times New Roman" w:hAnsi="Times New Roman" w:eastAsia="方正仿宋_GBK"/>
          <w:b w:val="0"/>
          <w:bCs w:val="0"/>
          <w:sz w:val="32"/>
          <w:szCs w:val="22"/>
          <w:lang w:val="en-US" w:eastAsia="zh-CN"/>
          <w14:ligatures w14:val="standardContextual"/>
        </w:rPr>
        <w:t>聚焦风电、光伏、储能、氢能等重点领域，围绕产业上、中、下游环节延链、补链、强链，建设风光开发产业集群。</w:t>
      </w:r>
      <w:r>
        <w:rPr>
          <w:rFonts w:hint="eastAsia" w:ascii="Times New Roman" w:hAnsi="Times New Roman" w:eastAsia="方正仿宋_GBK"/>
          <w:b/>
          <w:bCs/>
          <w:sz w:val="32"/>
          <w:szCs w:val="22"/>
          <w:lang w:val="en-US" w:eastAsia="zh-CN"/>
          <w14:ligatures w14:val="standardContextual"/>
        </w:rPr>
        <w:t>风电领域，</w:t>
      </w:r>
      <w:r>
        <w:rPr>
          <w:rFonts w:hint="eastAsia" w:ascii="Times New Roman" w:hAnsi="Times New Roman" w:eastAsia="方正仿宋_GBK"/>
          <w:b w:val="0"/>
          <w:bCs w:val="0"/>
          <w:sz w:val="32"/>
          <w:szCs w:val="22"/>
          <w:lang w:val="en-US" w:eastAsia="zh-CN"/>
          <w14:ligatures w14:val="standardContextual"/>
        </w:rPr>
        <w:t>上游引进高端整机制造企业，借助其在风电领域的核心优势，深度绑定中游关键零部件供应商，共同</w:t>
      </w:r>
      <w:r>
        <w:rPr>
          <w:rFonts w:hint="eastAsia" w:ascii="Times New Roman" w:hAnsi="Times New Roman"/>
          <w:b w:val="0"/>
          <w:bCs w:val="0"/>
          <w:sz w:val="32"/>
          <w:szCs w:val="22"/>
          <w:lang w:val="en-US" w:eastAsia="zh-CN"/>
          <w14:ligatures w14:val="standardContextual"/>
        </w:rPr>
        <w:t>开展</w:t>
      </w:r>
      <w:r>
        <w:rPr>
          <w:rFonts w:hint="eastAsia" w:ascii="Times New Roman" w:hAnsi="Times New Roman" w:eastAsia="方正仿宋_GBK"/>
          <w:b w:val="0"/>
          <w:bCs w:val="0"/>
          <w:sz w:val="32"/>
          <w:szCs w:val="22"/>
          <w:lang w:val="en-US" w:eastAsia="zh-CN"/>
          <w14:ligatures w14:val="standardContextual"/>
        </w:rPr>
        <w:t>研发、管控，确保关键部件性能适配风机大型化、智能化；下游与华能、大唐等发电集团合作，定制风电场开发方案，参与项目投资、建设、运维，构建全链条产业生态。</w:t>
      </w:r>
      <w:r>
        <w:rPr>
          <w:rFonts w:hint="eastAsia" w:ascii="Times New Roman" w:hAnsi="Times New Roman" w:eastAsia="方正仿宋_GBK"/>
          <w:b/>
          <w:bCs/>
          <w:sz w:val="32"/>
          <w:szCs w:val="22"/>
          <w:lang w:val="en-US" w:eastAsia="zh-CN"/>
          <w14:ligatures w14:val="standardContextual"/>
        </w:rPr>
        <w:t>光伏发电领域，</w:t>
      </w:r>
      <w:r>
        <w:rPr>
          <w:rFonts w:hint="eastAsia" w:ascii="Times New Roman" w:hAnsi="Times New Roman" w:eastAsia="方正仿宋_GBK"/>
          <w:b w:val="0"/>
          <w:bCs w:val="0"/>
          <w:sz w:val="32"/>
          <w:szCs w:val="22"/>
          <w:lang w:val="en-US" w:eastAsia="zh-CN"/>
          <w14:ligatures w14:val="standardContextual"/>
        </w:rPr>
        <w:t>吸引上下游企业在其周边布局，形成产业集群效应，与众多中游电池片、组件企业建立长期合作，保障供应链稳定，同时，推动技术革新向全产业链渗透，带动中小企业协同发展。以增量配电网产业园区为核心，建设储能、氢能开发建设的产业链集群</w:t>
      </w:r>
      <w:r>
        <w:rPr>
          <w:rFonts w:hint="eastAsia" w:ascii="Times New Roman" w:hAnsi="Times New Roman" w:eastAsia="方正仿宋_GBK"/>
          <w:b/>
          <w:bCs/>
          <w:sz w:val="32"/>
          <w:szCs w:val="22"/>
          <w:lang w:val="en-US" w:eastAsia="zh-CN"/>
          <w14:ligatures w14:val="standardContextual"/>
        </w:rPr>
        <w:t>。储能领域，</w:t>
      </w:r>
      <w:r>
        <w:rPr>
          <w:rFonts w:hint="eastAsia" w:ascii="Times New Roman" w:hAnsi="Times New Roman" w:eastAsia="方正仿宋_GBK"/>
          <w:b w:val="0"/>
          <w:bCs w:val="0"/>
          <w:sz w:val="32"/>
          <w:szCs w:val="22"/>
          <w:lang w:val="en-US" w:eastAsia="zh-CN"/>
          <w14:ligatures w14:val="standardContextual"/>
        </w:rPr>
        <w:t>上游环节积极招引关键原材料生产、固态电解质材料企业入驻；中游环节重点招商电池管理系统、能量管理系统、储能变流器、固态电池整装等企业在附近设立生产基地或研发中心，实现储能系统各部件的高效适配与集成；下游吸引储能企业与我县的电力企业合作，共同建设电网侧储能电站，缓解用电峰谷差压力。</w:t>
      </w:r>
      <w:r>
        <w:rPr>
          <w:rFonts w:hint="eastAsia" w:ascii="Times New Roman" w:hAnsi="Times New Roman" w:eastAsia="方正仿宋_GBK"/>
          <w:b/>
          <w:bCs/>
          <w:sz w:val="32"/>
          <w:szCs w:val="22"/>
          <w:lang w:val="en-US" w:eastAsia="zh-CN"/>
          <w14:ligatures w14:val="standardContextual"/>
        </w:rPr>
        <w:t>氢能领域，</w:t>
      </w:r>
      <w:r>
        <w:rPr>
          <w:rFonts w:hint="eastAsia" w:ascii="Times New Roman" w:hAnsi="Times New Roman" w:eastAsia="方正仿宋_GBK"/>
          <w:b w:val="0"/>
          <w:bCs w:val="0"/>
          <w:sz w:val="32"/>
          <w:szCs w:val="22"/>
          <w:lang w:val="en-US" w:eastAsia="zh-CN"/>
          <w14:ligatures w14:val="standardContextual"/>
        </w:rPr>
        <w:t>引进美锦能源、隆基氢能等企业作为“链主”，引领产业从制氢到用氢的全流程发展，与下游汽车制造商、工业企业等合作，带动产业链上下游企业协同创新，提升产业整体竞争力。风电、光伏、储能、氢能四大新能源产业通过技术协同与场景联动全链条深度融合，构建起“风光制储氢用”一体化的新型能源生态体系。</w:t>
      </w:r>
    </w:p>
    <w:p w14:paraId="24A4BC91">
      <w:pPr>
        <w:spacing w:line="560" w:lineRule="exact"/>
        <w:ind w:firstLine="640" w:firstLineChars="200"/>
        <w:rPr>
          <w:rFonts w:hint="eastAsia" w:ascii="Times New Roman" w:hAnsi="Times New Roman" w:eastAsia="方正仿宋_GBK"/>
          <w:b w:val="0"/>
          <w:bCs w:val="0"/>
          <w:sz w:val="32"/>
          <w:szCs w:val="22"/>
          <w:lang w:val="en-US" w:eastAsia="zh-CN"/>
          <w14:ligatures w14:val="standardContextual"/>
        </w:rPr>
      </w:pPr>
      <w:r>
        <w:rPr>
          <w:rFonts w:hint="eastAsia" w:ascii="Times New Roman" w:hAnsi="Times New Roman" w:eastAsia="方正仿宋_GBK"/>
          <w:b/>
          <w:bCs/>
          <w:sz w:val="32"/>
          <w:szCs w:val="22"/>
          <w:lang w:val="en-US" w:eastAsia="zh-CN"/>
          <w14:ligatures w14:val="standardContextual"/>
        </w:rPr>
        <w:t>加快用电侧消纳</w:t>
      </w:r>
      <w:r>
        <w:rPr>
          <w:rFonts w:hint="eastAsia" w:ascii="Times New Roman" w:hAnsi="Times New Roman"/>
          <w:b/>
          <w:bCs/>
          <w:sz w:val="32"/>
          <w:szCs w:val="22"/>
          <w:lang w:val="en-US" w:eastAsia="zh-CN"/>
          <w14:ligatures w14:val="standardContextual"/>
        </w:rPr>
        <w:t>，增强</w:t>
      </w:r>
      <w:r>
        <w:rPr>
          <w:rFonts w:hint="eastAsia" w:ascii="Times New Roman" w:hAnsi="Times New Roman" w:eastAsia="方正仿宋_GBK"/>
          <w:b/>
          <w:bCs/>
          <w:sz w:val="32"/>
          <w:szCs w:val="22"/>
          <w:lang w:val="en-US" w:eastAsia="zh-CN"/>
          <w14:ligatures w14:val="standardContextual"/>
        </w:rPr>
        <w:t>新能源消纳能力。大力推进绿能产业园区建设。</w:t>
      </w:r>
      <w:r>
        <w:rPr>
          <w:rFonts w:hint="eastAsia" w:ascii="Times New Roman" w:hAnsi="Times New Roman" w:eastAsia="方正仿宋_GBK"/>
          <w:b w:val="0"/>
          <w:bCs w:val="0"/>
          <w:sz w:val="32"/>
          <w:szCs w:val="22"/>
          <w:lang w:val="en-US" w:eastAsia="zh-CN"/>
          <w14:ligatures w14:val="standardContextual"/>
        </w:rPr>
        <w:t>抢抓吉林省绿电产业示范园区建设契机，加快增量配电网绿电园区建设，通过降低企业用电价格优势，吸引用电大户企业落户园区</w:t>
      </w:r>
      <w:r>
        <w:rPr>
          <w:rFonts w:hint="eastAsia" w:ascii="Times New Roman" w:hAnsi="Times New Roman"/>
          <w:b w:val="0"/>
          <w:bCs w:val="0"/>
          <w:sz w:val="32"/>
          <w:szCs w:val="22"/>
          <w:lang w:val="en-US" w:eastAsia="zh-CN"/>
          <w14:ligatures w14:val="standardContextual"/>
        </w:rPr>
        <w:t>，</w:t>
      </w:r>
      <w:r>
        <w:rPr>
          <w:rFonts w:hint="eastAsia" w:ascii="Times New Roman" w:hAnsi="Times New Roman" w:eastAsia="方正仿宋_GBK"/>
          <w:b w:val="0"/>
          <w:bCs w:val="0"/>
          <w:sz w:val="32"/>
          <w:szCs w:val="22"/>
          <w:lang w:val="en-US" w:eastAsia="zh-CN"/>
          <w14:ligatures w14:val="standardContextual"/>
        </w:rPr>
        <w:t>结合产业链延伸、产业融合双重优势，将上下游用电企业引进低价绿电园区</w:t>
      </w:r>
      <w:r>
        <w:rPr>
          <w:rFonts w:hint="eastAsia" w:ascii="Times New Roman" w:hAnsi="Times New Roman"/>
          <w:b w:val="0"/>
          <w:bCs w:val="0"/>
          <w:sz w:val="32"/>
          <w:szCs w:val="22"/>
          <w:lang w:val="en-US" w:eastAsia="zh-CN"/>
          <w14:ligatures w14:val="standardContextual"/>
        </w:rPr>
        <w:t>，</w:t>
      </w:r>
      <w:r>
        <w:rPr>
          <w:rFonts w:hint="eastAsia" w:ascii="Times New Roman" w:hAnsi="Times New Roman" w:eastAsia="方正仿宋_GBK"/>
          <w:b w:val="0"/>
          <w:bCs w:val="0"/>
          <w:sz w:val="32"/>
          <w:szCs w:val="22"/>
          <w:lang w:val="en-US" w:eastAsia="zh-CN"/>
          <w14:ligatures w14:val="standardContextual"/>
        </w:rPr>
        <w:t>实现绿电消纳的目的。</w:t>
      </w:r>
      <w:r>
        <w:rPr>
          <w:rFonts w:hint="eastAsia" w:ascii="Times New Roman" w:hAnsi="Times New Roman"/>
          <w:b/>
          <w:bCs/>
          <w:sz w:val="32"/>
          <w:szCs w:val="22"/>
          <w:lang w:val="en-US" w:eastAsia="zh-CN"/>
          <w14:ligatures w14:val="standardContextual"/>
        </w:rPr>
        <w:t>增强电力系统调节能力。</w:t>
      </w:r>
      <w:r>
        <w:rPr>
          <w:rFonts w:hint="eastAsia" w:ascii="Times New Roman" w:hAnsi="Times New Roman"/>
          <w:b w:val="0"/>
          <w:bCs w:val="0"/>
          <w:sz w:val="32"/>
          <w:szCs w:val="22"/>
          <w:lang w:val="en-US" w:eastAsia="zh-CN"/>
          <w14:ligatures w14:val="standardContextual"/>
        </w:rPr>
        <w:t>开展电力系统调节能力需求分析，</w:t>
      </w:r>
      <w:r>
        <w:rPr>
          <w:rFonts w:hint="eastAsia" w:ascii="Times New Roman" w:hAnsi="Times New Roman" w:eastAsia="方正仿宋_GBK"/>
          <w:b w:val="0"/>
          <w:bCs w:val="0"/>
          <w:sz w:val="32"/>
          <w:szCs w:val="22"/>
          <w:lang w:val="en-US" w:eastAsia="zh-CN"/>
          <w14:ligatures w14:val="standardContextual"/>
        </w:rPr>
        <w:t>采取“新能源直供+储能调控”或“风火打捆”等方式，将用能企业与新能源发电企业捆绑，实现电力调峰、调频等功能，提升</w:t>
      </w:r>
      <w:r>
        <w:rPr>
          <w:rFonts w:hint="eastAsia" w:ascii="Times New Roman" w:hAnsi="Times New Roman"/>
          <w:b w:val="0"/>
          <w:bCs w:val="0"/>
          <w:sz w:val="32"/>
          <w:szCs w:val="22"/>
          <w:lang w:val="en-US" w:eastAsia="zh-CN"/>
          <w14:ligatures w14:val="standardContextual"/>
        </w:rPr>
        <w:t>电力供应的</w:t>
      </w:r>
      <w:r>
        <w:rPr>
          <w:rFonts w:hint="eastAsia" w:ascii="Times New Roman" w:hAnsi="Times New Roman" w:eastAsia="方正仿宋_GBK"/>
          <w:b w:val="0"/>
          <w:bCs w:val="0"/>
          <w:sz w:val="32"/>
          <w:szCs w:val="22"/>
          <w:lang w:val="en-US" w:eastAsia="zh-CN"/>
          <w14:ligatures w14:val="standardContextual"/>
        </w:rPr>
        <w:t>稳定性。</w:t>
      </w:r>
      <w:r>
        <w:rPr>
          <w:rFonts w:hint="eastAsia" w:ascii="Times New Roman" w:hAnsi="Times New Roman" w:eastAsia="方正仿宋_GBK"/>
          <w:b/>
          <w:bCs/>
          <w:sz w:val="32"/>
          <w:szCs w:val="22"/>
          <w:lang w:val="en-US" w:eastAsia="zh-CN"/>
          <w14:ligatures w14:val="standardContextual"/>
        </w:rPr>
        <w:t>完善“绿电+消纳”运行模式。</w:t>
      </w:r>
      <w:r>
        <w:rPr>
          <w:rFonts w:hint="eastAsia" w:ascii="Times New Roman" w:hAnsi="Times New Roman" w:eastAsia="方正仿宋_GBK"/>
          <w:b w:val="0"/>
          <w:bCs w:val="0"/>
          <w:sz w:val="32"/>
          <w:szCs w:val="22"/>
          <w:lang w:val="en-US" w:eastAsia="zh-CN"/>
          <w14:ligatures w14:val="standardContextual"/>
        </w:rPr>
        <w:t>大力发展绿色高载能产业，积极构建新能源生产、输送、消纳全产业链融合发展体系，支持头部企业在农发展；突破单一消纳模式局限，在工业、交通、建筑、氢能等多领域打造绿电应用闭环，实现可再生能源与终端用能的深度耦合。</w:t>
      </w:r>
    </w:p>
    <w:p w14:paraId="3792444F">
      <w:pPr>
        <w:spacing w:line="560" w:lineRule="exact"/>
        <w:ind w:firstLine="640" w:firstLineChars="200"/>
        <w:rPr>
          <w:rFonts w:hint="eastAsia" w:ascii="Times New Roman" w:hAnsi="Times New Roman" w:eastAsia="方正仿宋_GBK"/>
          <w:b w:val="0"/>
          <w:bCs w:val="0"/>
          <w:sz w:val="32"/>
          <w:szCs w:val="22"/>
          <w:lang w:val="en-US" w:eastAsia="zh-CN"/>
          <w14:ligatures w14:val="standardContextual"/>
        </w:rPr>
      </w:pPr>
      <w:r>
        <w:rPr>
          <w:rFonts w:hint="eastAsia" w:ascii="Times New Roman" w:hAnsi="Times New Roman"/>
          <w:b/>
          <w:bCs/>
          <w:sz w:val="32"/>
          <w:szCs w:val="22"/>
          <w:lang w:val="en-US" w:eastAsia="zh-CN"/>
          <w14:ligatures w14:val="standardContextual"/>
        </w:rPr>
        <w:t>完善基建保障，提升新能源利用效率</w:t>
      </w:r>
      <w:r>
        <w:rPr>
          <w:rFonts w:hint="eastAsia" w:ascii="Times New Roman" w:hAnsi="Times New Roman" w:eastAsia="方正仿宋_GBK"/>
          <w:b/>
          <w:bCs/>
          <w:sz w:val="32"/>
          <w:szCs w:val="22"/>
          <w:lang w:val="en-US" w:eastAsia="zh-CN"/>
          <w14:ligatures w14:val="standardContextual"/>
        </w:rPr>
        <w:t>。推进配电网硬件升级</w:t>
      </w:r>
      <w:r>
        <w:rPr>
          <w:rFonts w:hint="eastAsia" w:ascii="Times New Roman" w:hAnsi="Times New Roman"/>
          <w:b/>
          <w:bCs/>
          <w:sz w:val="32"/>
          <w:szCs w:val="22"/>
          <w:lang w:val="en-US" w:eastAsia="zh-CN"/>
          <w14:ligatures w14:val="standardContextual"/>
        </w:rPr>
        <w:t>。</w:t>
      </w:r>
      <w:r>
        <w:rPr>
          <w:rFonts w:hint="eastAsia" w:ascii="Times New Roman" w:hAnsi="Times New Roman" w:eastAsia="方正仿宋_GBK"/>
          <w:b w:val="0"/>
          <w:bCs w:val="0"/>
          <w:sz w:val="32"/>
          <w:szCs w:val="22"/>
          <w:lang w:val="en-US" w:eastAsia="zh-CN"/>
          <w14:ligatures w14:val="standardContextual"/>
        </w:rPr>
        <w:t>制定实施配电网建设改造行动计划，通过替换高能耗老旧变压器</w:t>
      </w:r>
      <w:r>
        <w:rPr>
          <w:rFonts w:hint="eastAsia"/>
          <w:b w:val="0"/>
          <w:bCs w:val="0"/>
          <w:sz w:val="32"/>
          <w:szCs w:val="22"/>
          <w:lang w:val="en-US" w:eastAsia="zh-CN"/>
          <w14:ligatures w14:val="standardContextual"/>
        </w:rPr>
        <w:t>，</w:t>
      </w:r>
      <w:r>
        <w:rPr>
          <w:rFonts w:hint="eastAsia" w:ascii="Times New Roman" w:hAnsi="Times New Roman" w:eastAsia="方正仿宋_GBK"/>
          <w:b w:val="0"/>
          <w:bCs w:val="0"/>
          <w:sz w:val="32"/>
          <w:szCs w:val="22"/>
          <w:lang w:val="en-US" w:eastAsia="zh-CN"/>
          <w14:ligatures w14:val="standardContextual"/>
        </w:rPr>
        <w:t>提升电网输电容量与效率，降低线损，为绿电传输奠定硬件基础</w:t>
      </w:r>
      <w:r>
        <w:rPr>
          <w:rFonts w:hint="eastAsia" w:ascii="Times New Roman" w:hAnsi="Times New Roman"/>
          <w:b w:val="0"/>
          <w:bCs w:val="0"/>
          <w:sz w:val="32"/>
          <w:szCs w:val="22"/>
          <w:lang w:val="en-US" w:eastAsia="zh-CN"/>
          <w14:ligatures w14:val="standardContextual"/>
        </w:rPr>
        <w:t>。</w:t>
      </w:r>
      <w:r>
        <w:rPr>
          <w:rFonts w:hint="eastAsia" w:ascii="Times New Roman" w:hAnsi="Times New Roman" w:eastAsia="方正仿宋_GBK"/>
          <w:b/>
          <w:bCs/>
          <w:sz w:val="32"/>
          <w:szCs w:val="22"/>
          <w:lang w:val="en-US" w:eastAsia="zh-CN"/>
          <w14:ligatures w14:val="standardContextual"/>
        </w:rPr>
        <w:t>深化电网软件系统革新</w:t>
      </w:r>
      <w:r>
        <w:rPr>
          <w:rFonts w:hint="eastAsia" w:ascii="Times New Roman" w:hAnsi="Times New Roman"/>
          <w:b/>
          <w:bCs/>
          <w:sz w:val="32"/>
          <w:szCs w:val="22"/>
          <w:lang w:val="en-US" w:eastAsia="zh-CN"/>
          <w14:ligatures w14:val="standardContextual"/>
        </w:rPr>
        <w:t>。</w:t>
      </w:r>
      <w:r>
        <w:rPr>
          <w:rFonts w:hint="eastAsia" w:ascii="Times New Roman" w:hAnsi="Times New Roman" w:eastAsia="方正仿宋_GBK"/>
          <w:b w:val="0"/>
          <w:bCs w:val="0"/>
          <w:sz w:val="32"/>
          <w:szCs w:val="22"/>
          <w:lang w:val="en-US" w:eastAsia="zh-CN"/>
          <w14:ligatures w14:val="standardContextual"/>
        </w:rPr>
        <w:t>构建以数字孪生、大数据分析为基础的智能调度系统，实时监控电力流向、精准预测负荷变化，提升电网运行智能化水平</w:t>
      </w:r>
      <w:r>
        <w:rPr>
          <w:rFonts w:hint="eastAsia" w:ascii="Times New Roman" w:hAnsi="Times New Roman"/>
          <w:b w:val="0"/>
          <w:bCs w:val="0"/>
          <w:sz w:val="32"/>
          <w:szCs w:val="22"/>
          <w:lang w:val="en-US" w:eastAsia="zh-CN"/>
          <w14:ligatures w14:val="standardContextual"/>
        </w:rPr>
        <w:t>。</w:t>
      </w:r>
      <w:r>
        <w:rPr>
          <w:rFonts w:hint="eastAsia" w:ascii="Times New Roman" w:hAnsi="Times New Roman" w:eastAsia="方正仿宋_GBK"/>
          <w:b/>
          <w:bCs/>
          <w:sz w:val="32"/>
          <w:szCs w:val="22"/>
          <w:lang w:val="en-US" w:eastAsia="zh-CN"/>
          <w14:ligatures w14:val="standardContextual"/>
        </w:rPr>
        <w:t>加强配电网柔性化改造</w:t>
      </w:r>
      <w:r>
        <w:rPr>
          <w:rFonts w:hint="eastAsia" w:ascii="Times New Roman" w:hAnsi="Times New Roman"/>
          <w:b/>
          <w:bCs/>
          <w:sz w:val="32"/>
          <w:szCs w:val="22"/>
          <w:lang w:val="en-US" w:eastAsia="zh-CN"/>
          <w14:ligatures w14:val="standardContextual"/>
        </w:rPr>
        <w:t>。</w:t>
      </w:r>
      <w:r>
        <w:rPr>
          <w:rFonts w:hint="eastAsia" w:ascii="Times New Roman" w:hAnsi="Times New Roman" w:eastAsia="方正仿宋_GBK"/>
          <w:b w:val="0"/>
          <w:bCs w:val="0"/>
          <w:sz w:val="32"/>
          <w:szCs w:val="22"/>
          <w:lang w:val="en-US" w:eastAsia="zh-CN"/>
          <w14:ligatures w14:val="standardContextual"/>
        </w:rPr>
        <w:t>为适配新能源大规模接入，部署储能系统与电力电子装置，平抑风光发电波动，确保新能源大规模接入后电网稳定运行</w:t>
      </w:r>
      <w:r>
        <w:rPr>
          <w:rFonts w:hint="eastAsia" w:ascii="Times New Roman" w:hAnsi="Times New Roman"/>
          <w:b w:val="0"/>
          <w:bCs w:val="0"/>
          <w:sz w:val="32"/>
          <w:szCs w:val="22"/>
          <w:lang w:val="en-US" w:eastAsia="zh-CN"/>
          <w14:ligatures w14:val="standardContextual"/>
        </w:rPr>
        <w:t>；</w:t>
      </w:r>
      <w:r>
        <w:rPr>
          <w:rFonts w:hint="eastAsia" w:ascii="Times New Roman" w:hAnsi="Times New Roman" w:eastAsia="方正仿宋_GBK"/>
          <w:b w:val="0"/>
          <w:bCs w:val="0"/>
          <w:sz w:val="32"/>
          <w:szCs w:val="22"/>
          <w:lang w:val="en-US" w:eastAsia="zh-CN"/>
          <w14:ligatures w14:val="standardContextual"/>
        </w:rPr>
        <w:t>推动微电网建设，提升局部电网自治能力，促进分布式电源消纳，助力构建新型电力系统。</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8BD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F1F1F1"/>
          </w:tcPr>
          <w:p w14:paraId="25C9F2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default" w:ascii="Times New Roman" w:hAnsi="Times New Roman" w:eastAsia="方正仿宋_GBK" w:cs="宋体"/>
                <w:color w:val="000000"/>
                <w:sz w:val="28"/>
                <w:szCs w:val="28"/>
                <w:lang w:val="en-US" w:eastAsia="zh-CN"/>
              </w:rPr>
            </w:pPr>
            <w:r>
              <w:rPr>
                <w:rFonts w:hint="eastAsia" w:ascii="Times New Roman" w:hAnsi="Times New Roman" w:cs="宋体"/>
                <w:b/>
                <w:bCs/>
                <w:color w:val="000000"/>
                <w:sz w:val="28"/>
                <w:szCs w:val="28"/>
              </w:rPr>
              <w:t>专栏</w:t>
            </w:r>
            <w:r>
              <w:rPr>
                <w:rFonts w:hint="eastAsia" w:cs="宋体"/>
                <w:b/>
                <w:bCs/>
                <w:color w:val="000000"/>
                <w:sz w:val="28"/>
                <w:szCs w:val="28"/>
                <w:lang w:val="en-US" w:eastAsia="zh-CN"/>
              </w:rPr>
              <w:t>6</w:t>
            </w:r>
            <w:r>
              <w:rPr>
                <w:rFonts w:hint="eastAsia" w:ascii="Times New Roman" w:hAnsi="Times New Roman" w:cs="宋体"/>
                <w:b/>
                <w:bCs/>
                <w:color w:val="000000"/>
                <w:sz w:val="28"/>
                <w:szCs w:val="28"/>
                <w:lang w:val="en-US" w:eastAsia="zh-CN"/>
              </w:rPr>
              <w:t xml:space="preserve"> </w:t>
            </w:r>
            <w:r>
              <w:rPr>
                <w:rFonts w:hint="eastAsia" w:ascii="Times New Roman" w:hAnsi="Times New Roman" w:cs="宋体"/>
                <w:b/>
                <w:bCs/>
                <w:color w:val="000000"/>
                <w:sz w:val="28"/>
                <w:szCs w:val="28"/>
              </w:rPr>
              <w:t>新能源产业</w:t>
            </w:r>
            <w:r>
              <w:rPr>
                <w:rFonts w:hint="eastAsia" w:ascii="Times New Roman" w:hAnsi="Times New Roman" w:cs="宋体"/>
                <w:b/>
                <w:bCs/>
                <w:color w:val="000000"/>
                <w:sz w:val="28"/>
                <w:szCs w:val="28"/>
                <w:lang w:val="en-US" w:eastAsia="zh-CN"/>
              </w:rPr>
              <w:t>重点工程</w:t>
            </w:r>
          </w:p>
        </w:tc>
      </w:tr>
      <w:tr w14:paraId="159E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4546D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textAlignment w:val="auto"/>
              <w:rPr>
                <w:rFonts w:hint="eastAsia" w:ascii="Times New Roman" w:hAnsi="Times New Roman" w:cs="宋体"/>
                <w:color w:val="000000"/>
                <w:sz w:val="28"/>
                <w:szCs w:val="28"/>
              </w:rPr>
            </w:pPr>
            <w:r>
              <w:rPr>
                <w:rFonts w:hint="eastAsia" w:ascii="Times New Roman" w:hAnsi="Times New Roman" w:cs="宋体"/>
                <w:b/>
                <w:bCs/>
                <w:color w:val="000000"/>
                <w:sz w:val="28"/>
                <w:szCs w:val="28"/>
                <w:lang w:val="en-US" w:eastAsia="zh-CN"/>
              </w:rPr>
              <w:t>构建</w:t>
            </w:r>
            <w:r>
              <w:rPr>
                <w:rFonts w:hint="eastAsia" w:ascii="Times New Roman" w:hAnsi="Times New Roman" w:cs="宋体"/>
                <w:b/>
                <w:bCs/>
                <w:color w:val="000000"/>
                <w:sz w:val="28"/>
                <w:szCs w:val="28"/>
                <w:lang w:eastAsia="zh-CN"/>
              </w:rPr>
              <w:t>“</w:t>
            </w:r>
            <w:r>
              <w:rPr>
                <w:rFonts w:hint="eastAsia" w:ascii="Times New Roman" w:hAnsi="Times New Roman" w:cs="宋体"/>
                <w:b/>
                <w:bCs/>
                <w:color w:val="000000"/>
                <w:sz w:val="28"/>
                <w:szCs w:val="28"/>
              </w:rPr>
              <w:t>一城、一基、四园</w:t>
            </w:r>
            <w:r>
              <w:rPr>
                <w:rFonts w:hint="eastAsia" w:ascii="Times New Roman" w:hAnsi="Times New Roman" w:cs="宋体"/>
                <w:b/>
                <w:bCs/>
                <w:color w:val="000000"/>
                <w:sz w:val="28"/>
                <w:szCs w:val="28"/>
                <w:lang w:eastAsia="zh-CN"/>
              </w:rPr>
              <w:t>”</w:t>
            </w:r>
            <w:r>
              <w:rPr>
                <w:rFonts w:hint="eastAsia" w:ascii="Times New Roman" w:hAnsi="Times New Roman" w:cs="宋体"/>
                <w:b/>
                <w:bCs/>
                <w:color w:val="000000"/>
                <w:sz w:val="28"/>
                <w:szCs w:val="28"/>
                <w:lang w:val="en-US" w:eastAsia="zh-CN"/>
              </w:rPr>
              <w:t>发展格局。</w:t>
            </w:r>
          </w:p>
          <w:p w14:paraId="12806A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textAlignment w:val="auto"/>
              <w:rPr>
                <w:rFonts w:hint="eastAsia" w:ascii="Times New Roman" w:hAnsi="Times New Roman" w:cs="宋体"/>
                <w:color w:val="000000"/>
                <w:sz w:val="28"/>
                <w:szCs w:val="28"/>
              </w:rPr>
            </w:pPr>
            <w:r>
              <w:rPr>
                <w:rFonts w:hint="eastAsia" w:ascii="Times New Roman" w:hAnsi="Times New Roman" w:cs="宋体"/>
                <w:b/>
                <w:bCs/>
                <w:color w:val="000000"/>
                <w:sz w:val="28"/>
                <w:szCs w:val="28"/>
              </w:rPr>
              <w:t>“一城”：</w:t>
            </w:r>
            <w:r>
              <w:rPr>
                <w:rFonts w:hint="eastAsia" w:ascii="Times New Roman" w:hAnsi="Times New Roman" w:cs="宋体"/>
                <w:color w:val="000000"/>
                <w:sz w:val="28"/>
                <w:szCs w:val="28"/>
              </w:rPr>
              <w:t>重点打造</w:t>
            </w:r>
            <w:r>
              <w:rPr>
                <w:rFonts w:hint="eastAsia" w:ascii="Times New Roman" w:hAnsi="Times New Roman" w:cs="宋体"/>
                <w:color w:val="auto"/>
                <w:sz w:val="28"/>
                <w:szCs w:val="28"/>
              </w:rPr>
              <w:t>国家级绿色能源示范县</w:t>
            </w:r>
            <w:r>
              <w:rPr>
                <w:rFonts w:hint="eastAsia" w:ascii="Times New Roman" w:hAnsi="Times New Roman" w:cs="宋体"/>
                <w:color w:val="000000"/>
                <w:sz w:val="28"/>
                <w:szCs w:val="28"/>
              </w:rPr>
              <w:t>。依托全县丰富的资源条件，通过生物质供热、生物</w:t>
            </w:r>
            <w:r>
              <w:rPr>
                <w:rFonts w:hint="eastAsia" w:ascii="Times New Roman" w:hAnsi="Times New Roman" w:cs="宋体"/>
                <w:color w:val="000000"/>
                <w:sz w:val="28"/>
                <w:szCs w:val="28"/>
                <w:lang w:eastAsia="zh-CN"/>
              </w:rPr>
              <w:t>质</w:t>
            </w:r>
            <w:r>
              <w:rPr>
                <w:rFonts w:hint="eastAsia" w:ascii="Times New Roman" w:hAnsi="Times New Roman" w:cs="宋体"/>
                <w:color w:val="000000"/>
                <w:sz w:val="28"/>
                <w:szCs w:val="28"/>
              </w:rPr>
              <w:t>气化发电等一系列能源技术，对老城区进行升级改造，建设以清洁、低碳、环保新城为建设蓝图的新农安城市模式。</w:t>
            </w:r>
          </w:p>
          <w:p w14:paraId="75E10F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textAlignment w:val="auto"/>
              <w:rPr>
                <w:rFonts w:hint="eastAsia" w:ascii="Times New Roman" w:hAnsi="Times New Roman" w:cs="宋体"/>
                <w:color w:val="000000"/>
                <w:sz w:val="28"/>
                <w:szCs w:val="28"/>
              </w:rPr>
            </w:pPr>
            <w:r>
              <w:rPr>
                <w:rFonts w:hint="eastAsia" w:ascii="Times New Roman" w:hAnsi="Times New Roman" w:cs="宋体"/>
                <w:b/>
                <w:bCs/>
                <w:color w:val="000000"/>
                <w:sz w:val="28"/>
                <w:szCs w:val="28"/>
              </w:rPr>
              <w:t>“一基”</w:t>
            </w:r>
            <w:r>
              <w:rPr>
                <w:rFonts w:hint="eastAsia" w:ascii="Times New Roman" w:hAnsi="Times New Roman" w:cs="宋体"/>
                <w:b/>
                <w:bCs/>
                <w:color w:val="000000"/>
                <w:sz w:val="28"/>
                <w:szCs w:val="28"/>
                <w:lang w:eastAsia="zh-CN"/>
              </w:rPr>
              <w:t>：</w:t>
            </w:r>
            <w:r>
              <w:rPr>
                <w:rFonts w:hint="eastAsia" w:ascii="Times New Roman" w:hAnsi="Times New Roman" w:cs="宋体"/>
                <w:color w:val="000000"/>
                <w:sz w:val="28"/>
                <w:szCs w:val="28"/>
              </w:rPr>
              <w:t>充分利用国家和省市调整能源结构政策这一有利时机，建设省会周边最具潜力的新能源资源产品生产基地，把农安县打造成为长春省会城市群经济圈的能源产品供应基地。</w:t>
            </w:r>
          </w:p>
          <w:p w14:paraId="052ABA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default" w:ascii="Times New Roman" w:hAnsi="Times New Roman"/>
                <w:sz w:val="28"/>
                <w:szCs w:val="28"/>
              </w:rPr>
            </w:pPr>
            <w:r>
              <w:rPr>
                <w:rFonts w:hint="eastAsia" w:ascii="Times New Roman" w:hAnsi="Times New Roman" w:cs="宋体"/>
                <w:b/>
                <w:bCs/>
                <w:color w:val="000000"/>
                <w:sz w:val="28"/>
                <w:szCs w:val="28"/>
              </w:rPr>
              <w:t>“四园”</w:t>
            </w:r>
            <w:r>
              <w:rPr>
                <w:rFonts w:hint="eastAsia" w:ascii="Times New Roman" w:hAnsi="Times New Roman" w:cs="宋体"/>
                <w:color w:val="000000"/>
                <w:sz w:val="28"/>
                <w:szCs w:val="28"/>
              </w:rPr>
              <w:t>：结合农安县的资源经济特点，按照不同功能规划的新型储能建设、生物质能高端化利用、氢能研发利用、风光新能源开发利用等四大特色园区。</w:t>
            </w:r>
          </w:p>
        </w:tc>
      </w:tr>
    </w:tbl>
    <w:p w14:paraId="5C7ED3A3">
      <w:pPr>
        <w:pStyle w:val="7"/>
        <w:bidi w:val="0"/>
        <w:rPr>
          <w:rFonts w:hint="default" w:ascii="Times New Roman" w:hAnsi="Times New Roman"/>
          <w:b/>
          <w:lang w:val="en-US" w:eastAsia="zh-CN"/>
        </w:rPr>
      </w:pPr>
      <w:bookmarkStart w:id="70" w:name="_Toc20790"/>
      <w:bookmarkStart w:id="71" w:name="_Toc21258"/>
      <w:bookmarkStart w:id="72" w:name="_Toc10345"/>
      <w:bookmarkStart w:id="73" w:name="_Toc16704"/>
      <w:r>
        <w:rPr>
          <w:rFonts w:hint="eastAsia" w:ascii="Times New Roman" w:hAnsi="Times New Roman"/>
          <w:b/>
          <w:lang w:val="en-US" w:eastAsia="zh-CN"/>
        </w:rPr>
        <w:t>第二节  持续壮大</w:t>
      </w:r>
      <w:r>
        <w:rPr>
          <w:rFonts w:hint="eastAsia"/>
          <w:b/>
          <w:lang w:val="en-US" w:eastAsia="zh-CN"/>
        </w:rPr>
        <w:t>支柱</w:t>
      </w:r>
      <w:r>
        <w:rPr>
          <w:rFonts w:hint="eastAsia" w:ascii="Times New Roman" w:hAnsi="Times New Roman"/>
          <w:b/>
          <w:lang w:val="en-US" w:eastAsia="zh-CN"/>
        </w:rPr>
        <w:t>产业</w:t>
      </w:r>
      <w:bookmarkEnd w:id="70"/>
      <w:bookmarkEnd w:id="71"/>
      <w:bookmarkEnd w:id="72"/>
    </w:p>
    <w:bookmarkEnd w:id="73"/>
    <w:p w14:paraId="54146D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4"/>
        <w:rPr>
          <w:rFonts w:hint="default" w:ascii="Times New Roman" w:hAnsi="Times New Roman" w:eastAsia="方正仿宋_GBK"/>
          <w:b/>
          <w:bCs/>
          <w:sz w:val="32"/>
          <w:szCs w:val="22"/>
          <w:lang w:val="en-US" w:eastAsia="zh-CN"/>
          <w14:ligatures w14:val="standardContextual"/>
        </w:rPr>
      </w:pPr>
      <w:r>
        <w:rPr>
          <w:rFonts w:hint="eastAsia" w:ascii="Times New Roman" w:hAnsi="Times New Roman"/>
          <w:b/>
          <w:bCs/>
          <w:sz w:val="32"/>
          <w:szCs w:val="22"/>
          <w:lang w:val="en-US" w:eastAsia="zh-CN"/>
          <w14:ligatures w14:val="standardContextual"/>
        </w:rPr>
        <w:t>一、智能</w:t>
      </w:r>
      <w:r>
        <w:rPr>
          <w:rFonts w:hint="eastAsia" w:ascii="Times New Roman" w:hAnsi="Times New Roman"/>
          <w:b/>
          <w:lang w:val="en-US" w:eastAsia="zh-CN"/>
        </w:rPr>
        <w:t>装备制造</w:t>
      </w:r>
    </w:p>
    <w:p w14:paraId="0989DE22">
      <w:pPr>
        <w:spacing w:line="560" w:lineRule="exact"/>
        <w:ind w:firstLine="640" w:firstLineChars="200"/>
        <w:rPr>
          <w:rFonts w:hint="eastAsia" w:ascii="Times New Roman" w:hAnsi="Times New Roman" w:eastAsia="方正仿宋_GBK"/>
          <w:b w:val="0"/>
          <w:bCs w:val="0"/>
          <w:sz w:val="32"/>
          <w:szCs w:val="22"/>
          <w:lang w:val="en-US" w:eastAsia="zh-CN"/>
          <w14:ligatures w14:val="standardContextual"/>
        </w:rPr>
      </w:pPr>
      <w:r>
        <w:rPr>
          <w:rFonts w:hint="eastAsia" w:ascii="Times New Roman" w:hAnsi="Times New Roman" w:eastAsia="方正仿宋_GBK"/>
          <w:b/>
          <w:bCs/>
          <w:sz w:val="32"/>
          <w:szCs w:val="22"/>
          <w:lang w:val="en-US" w:eastAsia="zh-CN"/>
          <w14:ligatures w14:val="standardContextual"/>
        </w:rPr>
        <w:t>积极推进“智改数转”。引导企业加快“智改数转”步伐。</w:t>
      </w:r>
      <w:r>
        <w:rPr>
          <w:rFonts w:hint="eastAsia" w:ascii="Times New Roman" w:hAnsi="Times New Roman" w:eastAsia="方正仿宋_GBK"/>
          <w:b w:val="0"/>
          <w:bCs w:val="0"/>
          <w:sz w:val="32"/>
          <w:szCs w:val="22"/>
          <w:lang w:val="en-US" w:eastAsia="zh-CN"/>
          <w14:ligatures w14:val="standardContextual"/>
        </w:rPr>
        <w:t>推动装备制造企业加快工业设备联网上云、业务系统云化迁移，鼓励和支持工业互联网平台、云服务商和第三方机构针对不同行业企业的应用需求，开发使用便捷、成本低廉的数字化平台、系统解决方案、工业APP等产品和服务，降低上云门槛和成本，带动企业数字化能力提升。</w:t>
      </w:r>
      <w:r>
        <w:rPr>
          <w:rFonts w:hint="eastAsia" w:ascii="Times New Roman" w:hAnsi="Times New Roman" w:eastAsia="方正仿宋_GBK"/>
          <w:b/>
          <w:bCs/>
          <w:sz w:val="32"/>
          <w:szCs w:val="22"/>
          <w:lang w:val="en-US" w:eastAsia="zh-CN"/>
          <w14:ligatures w14:val="standardContextual"/>
        </w:rPr>
        <w:t>持续打造智能制造标杆。</w:t>
      </w:r>
      <w:r>
        <w:rPr>
          <w:rFonts w:hint="eastAsia" w:ascii="Times New Roman" w:hAnsi="Times New Roman" w:eastAsia="方正仿宋_GBK"/>
          <w:b w:val="0"/>
          <w:bCs w:val="0"/>
          <w:sz w:val="32"/>
          <w:szCs w:val="22"/>
          <w:lang w:val="en-US" w:eastAsia="zh-CN"/>
          <w14:ligatures w14:val="standardContextual"/>
        </w:rPr>
        <w:t>鼓励装备制造企业开展内外部全业务流程数字化智能化转型，建设智能场景、智能车间、智能工厂等；支持培育一批“智改数转”项目，培育认定一批</w:t>
      </w:r>
      <w:r>
        <w:rPr>
          <w:rFonts w:hint="eastAsia"/>
          <w:b w:val="0"/>
          <w:bCs w:val="0"/>
          <w:sz w:val="32"/>
          <w:szCs w:val="22"/>
          <w:lang w:val="en-US" w:eastAsia="zh-CN"/>
          <w14:ligatures w14:val="standardContextual"/>
        </w:rPr>
        <w:t>智能化</w:t>
      </w:r>
      <w:r>
        <w:rPr>
          <w:rFonts w:hint="eastAsia" w:ascii="Times New Roman" w:hAnsi="Times New Roman" w:eastAsia="方正仿宋_GBK"/>
          <w:b w:val="0"/>
          <w:bCs w:val="0"/>
          <w:sz w:val="32"/>
          <w:szCs w:val="22"/>
          <w:lang w:val="en-US" w:eastAsia="zh-CN"/>
          <w14:ligatures w14:val="standardContextual"/>
        </w:rPr>
        <w:t>工厂（车间）；鼓励企业申报国家智能制造试点示范行动项目以及新一代信息技术与先进制造业融合发展有关项目，推动项目与有关产业基金、金融机构、社会资本有效衔接。</w:t>
      </w:r>
    </w:p>
    <w:p w14:paraId="35074B58">
      <w:pPr>
        <w:spacing w:line="560" w:lineRule="exact"/>
        <w:ind w:firstLine="640" w:firstLineChars="200"/>
        <w:rPr>
          <w:rFonts w:hint="eastAsia" w:ascii="Times New Roman" w:hAnsi="Times New Roman" w:eastAsia="方正仿宋_GBK"/>
          <w:b w:val="0"/>
          <w:bCs w:val="0"/>
          <w:sz w:val="32"/>
          <w:szCs w:val="22"/>
          <w:lang w:val="en-US" w:eastAsia="zh-CN"/>
          <w14:ligatures w14:val="standardContextual"/>
        </w:rPr>
      </w:pPr>
      <w:r>
        <w:rPr>
          <w:rFonts w:hint="eastAsia" w:ascii="Times New Roman" w:hAnsi="Times New Roman" w:eastAsia="方正仿宋_GBK"/>
          <w:b/>
          <w:bCs/>
          <w:sz w:val="32"/>
          <w:szCs w:val="22"/>
          <w:lang w:val="en-US" w:eastAsia="zh-CN"/>
          <w14:ligatures w14:val="standardContextual"/>
        </w:rPr>
        <w:t>打造智能制造产业园。推进重点企业集聚成势。</w:t>
      </w:r>
      <w:r>
        <w:rPr>
          <w:rFonts w:hint="eastAsia" w:ascii="Times New Roman" w:hAnsi="Times New Roman" w:eastAsia="方正仿宋_GBK"/>
          <w:b w:val="0"/>
          <w:bCs w:val="0"/>
          <w:sz w:val="32"/>
          <w:szCs w:val="22"/>
          <w:lang w:val="en-US" w:eastAsia="zh-CN"/>
          <w14:ligatures w14:val="standardContextual"/>
        </w:rPr>
        <w:t>积极推进以汽</w:t>
      </w:r>
      <w:r>
        <w:rPr>
          <w:rFonts w:hint="eastAsia" w:ascii="Times New Roman" w:hAnsi="Times New Roman"/>
          <w:b w:val="0"/>
          <w:bCs w:val="0"/>
          <w:sz w:val="32"/>
          <w:szCs w:val="22"/>
          <w:lang w:val="en-US" w:eastAsia="zh-CN"/>
          <w14:ligatures w14:val="standardContextual"/>
        </w:rPr>
        <w:t>、</w:t>
      </w:r>
      <w:r>
        <w:rPr>
          <w:rFonts w:hint="eastAsia" w:ascii="Times New Roman" w:hAnsi="Times New Roman" w:eastAsia="方正仿宋_GBK"/>
          <w:b w:val="0"/>
          <w:bCs w:val="0"/>
          <w:sz w:val="32"/>
          <w:szCs w:val="22"/>
          <w:lang w:val="en-US" w:eastAsia="zh-CN"/>
          <w14:ligatures w14:val="standardContextual"/>
        </w:rPr>
        <w:t>客车零配件加工为主的现代智能装备制造产业园，吸引全国知名智能制造企业入驻产业园，重点发展汽车零部件、轨道交通零部件为主体的装备制造业产业集群，形成新型智能制造产业体系。</w:t>
      </w:r>
      <w:r>
        <w:rPr>
          <w:rFonts w:hint="eastAsia" w:ascii="Times New Roman" w:hAnsi="Times New Roman" w:eastAsia="方正仿宋_GBK"/>
          <w:b/>
          <w:bCs/>
          <w:sz w:val="32"/>
          <w:szCs w:val="22"/>
          <w:lang w:val="en-US" w:eastAsia="zh-CN"/>
          <w14:ligatures w14:val="standardContextual"/>
        </w:rPr>
        <w:t>加强培育提升产业能级。</w:t>
      </w:r>
      <w:r>
        <w:rPr>
          <w:rFonts w:hint="eastAsia" w:ascii="Times New Roman" w:hAnsi="Times New Roman" w:eastAsia="方正仿宋_GBK"/>
          <w:b w:val="0"/>
          <w:bCs w:val="0"/>
          <w:sz w:val="32"/>
          <w:szCs w:val="22"/>
          <w:lang w:val="en-US" w:eastAsia="zh-CN"/>
          <w14:ligatures w14:val="standardContextual"/>
        </w:rPr>
        <w:t>重点发展汽车电子控制系统、车载信息系统、网络信息系统。着重研发发展关键零部件配套水平和高新技术产品配套能力，增加省内高端产品配套份额。</w:t>
      </w:r>
    </w:p>
    <w:p w14:paraId="5DA0ACAB">
      <w:pPr>
        <w:spacing w:line="560" w:lineRule="exact"/>
        <w:ind w:firstLine="640" w:firstLineChars="200"/>
        <w:rPr>
          <w:rFonts w:hint="eastAsia" w:ascii="Times New Roman" w:hAnsi="Times New Roman" w:eastAsia="方正仿宋_GBK"/>
          <w:b w:val="0"/>
          <w:bCs w:val="0"/>
          <w:sz w:val="32"/>
          <w:szCs w:val="22"/>
          <w:lang w:val="en-US" w:eastAsia="zh-CN"/>
          <w14:ligatures w14:val="standardContextual"/>
        </w:rPr>
      </w:pPr>
      <w:r>
        <w:rPr>
          <w:rFonts w:hint="eastAsia" w:ascii="Times New Roman" w:hAnsi="Times New Roman" w:eastAsia="方正仿宋_GBK"/>
          <w:b/>
          <w:bCs/>
          <w:sz w:val="32"/>
          <w:szCs w:val="22"/>
          <w:lang w:val="en-US" w:eastAsia="zh-CN"/>
          <w14:ligatures w14:val="standardContextual"/>
        </w:rPr>
        <w:t>做大做强农业机械装备业。持续推进农业机械技术创新。</w:t>
      </w:r>
      <w:r>
        <w:rPr>
          <w:rFonts w:hint="eastAsia" w:ascii="Times New Roman" w:hAnsi="Times New Roman" w:eastAsia="方正仿宋_GBK"/>
          <w:b w:val="0"/>
          <w:bCs w:val="0"/>
          <w:sz w:val="32"/>
          <w:szCs w:val="22"/>
          <w:lang w:val="en-US" w:eastAsia="zh-CN"/>
          <w14:ligatures w14:val="standardContextual"/>
        </w:rPr>
        <w:t>开展黑土地智能化农机关键技术、装备的研发，推动福德机械等农业机械装备企业加强与吉林省农业机械研究院等科研机构合作，推进联合收获机械制造等农机装备制造项目建设。</w:t>
      </w:r>
      <w:r>
        <w:rPr>
          <w:rFonts w:hint="eastAsia" w:ascii="Times New Roman" w:hAnsi="Times New Roman" w:eastAsia="方正仿宋_GBK"/>
          <w:b/>
          <w:bCs/>
          <w:sz w:val="32"/>
          <w:szCs w:val="22"/>
          <w:lang w:val="en-US" w:eastAsia="zh-CN"/>
          <w14:ligatures w14:val="standardContextual"/>
        </w:rPr>
        <w:t>加速构建现代化农业机械装备体系。</w:t>
      </w:r>
      <w:r>
        <w:rPr>
          <w:rFonts w:hint="eastAsia" w:ascii="Times New Roman" w:hAnsi="Times New Roman" w:eastAsia="方正仿宋_GBK"/>
          <w:b w:val="0"/>
          <w:bCs w:val="0"/>
          <w:sz w:val="32"/>
          <w:szCs w:val="22"/>
          <w:lang w:val="en-US" w:eastAsia="zh-CN"/>
          <w14:ligatures w14:val="standardContextual"/>
        </w:rPr>
        <w:t>重点推动农业机械相关企业加大技术改造力度和设备更新投入，鼓励大型企业积极开发生产高效节能环保、多功能、智能化、资源节约型农业机械。</w:t>
      </w:r>
      <w:r>
        <w:rPr>
          <w:rFonts w:hint="eastAsia" w:ascii="Times New Roman" w:hAnsi="Times New Roman" w:eastAsia="方正仿宋_GBK"/>
          <w:b/>
          <w:bCs/>
          <w:sz w:val="32"/>
          <w:szCs w:val="22"/>
          <w:lang w:val="en-US" w:eastAsia="zh-CN"/>
          <w14:ligatures w14:val="standardContextual"/>
        </w:rPr>
        <w:t>提升农业机械装备有效供给能力。</w:t>
      </w:r>
      <w:r>
        <w:rPr>
          <w:rFonts w:hint="eastAsia" w:ascii="Times New Roman" w:hAnsi="Times New Roman" w:eastAsia="方正仿宋_GBK"/>
          <w:b w:val="0"/>
          <w:bCs w:val="0"/>
          <w:sz w:val="32"/>
          <w:szCs w:val="22"/>
          <w:lang w:val="en-US" w:eastAsia="zh-CN"/>
          <w14:ligatures w14:val="standardContextual"/>
        </w:rPr>
        <w:t>加快推进先进适用、生产急需的农机具产品的研发和产能建设；依托远航农业机械，大力发展动力机械、新型农机具、收获机械、畜牧机械和农副产品加工机械。</w:t>
      </w:r>
    </w:p>
    <w:p w14:paraId="273FD7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4"/>
        <w:rPr>
          <w:rFonts w:hint="default" w:ascii="Times New Roman" w:hAnsi="Times New Roman" w:eastAsia="方正仿宋_GBK"/>
          <w:b/>
          <w:bCs/>
          <w:sz w:val="32"/>
          <w:szCs w:val="22"/>
          <w:lang w:val="en-US" w:eastAsia="zh-CN"/>
          <w14:ligatures w14:val="standardContextual"/>
        </w:rPr>
      </w:pPr>
      <w:r>
        <w:rPr>
          <w:rFonts w:hint="eastAsia" w:ascii="Times New Roman" w:hAnsi="Times New Roman"/>
          <w:b/>
          <w:bCs/>
          <w:sz w:val="32"/>
          <w:szCs w:val="22"/>
          <w:lang w:val="en-US" w:eastAsia="zh-CN"/>
          <w14:ligatures w14:val="standardContextual"/>
        </w:rPr>
        <w:t>二、医药健康</w:t>
      </w:r>
    </w:p>
    <w:p w14:paraId="035FA228">
      <w:pPr>
        <w:spacing w:line="560" w:lineRule="exact"/>
        <w:ind w:firstLine="640" w:firstLineChars="200"/>
        <w:rPr>
          <w:rFonts w:hint="eastAsia" w:ascii="Times New Roman" w:hAnsi="Times New Roman" w:eastAsia="方正仿宋_GBK"/>
          <w:b w:val="0"/>
          <w:bCs w:val="0"/>
          <w:sz w:val="32"/>
          <w:szCs w:val="22"/>
          <w:lang w:val="en-US" w:eastAsia="zh-CN"/>
          <w14:ligatures w14:val="standardContextual"/>
        </w:rPr>
      </w:pPr>
      <w:r>
        <w:rPr>
          <w:rFonts w:hint="eastAsia" w:ascii="Times New Roman" w:hAnsi="Times New Roman" w:eastAsia="方正仿宋_GBK"/>
          <w:b w:val="0"/>
          <w:bCs w:val="0"/>
          <w:sz w:val="32"/>
          <w:szCs w:val="22"/>
          <w:lang w:val="en-US" w:eastAsia="zh-CN"/>
          <w14:ligatures w14:val="standardContextual"/>
        </w:rPr>
        <w:t>聚焦生物医药等重点领域关键核心技术，加快完善产业创新生态，全面提升产业自主创新能力，加快壮大医药健康产业规模，打造医药健康产业集聚区。支持显锋药业、恒星医药等规上企业做大做强，围绕巩固核心竞争力加大研发力度。加快发展中药产业，支持钟药师、绳氏堂等中成药企业做大做强。积极发展医疗器械产业，支持众驰医疗、中亿医药等医疗器械企业发展壮大，重点推动科新原医疗器械产业园等项目建设。探索以智慧医疗为特色的医疗服务业，集聚和整合区域产业创新要素，持续构建生命健康产业生态圈、创新生态链。</w:t>
      </w:r>
    </w:p>
    <w:p w14:paraId="57BB0739">
      <w:pPr>
        <w:pStyle w:val="7"/>
        <w:bidi w:val="0"/>
        <w:rPr>
          <w:rFonts w:hint="default" w:ascii="Times New Roman" w:hAnsi="Times New Roman"/>
          <w:b/>
          <w:lang w:val="en-US" w:eastAsia="zh-CN"/>
        </w:rPr>
      </w:pPr>
      <w:bookmarkStart w:id="74" w:name="_Toc31385"/>
      <w:bookmarkStart w:id="75" w:name="_Toc27234"/>
      <w:bookmarkStart w:id="76" w:name="_Toc30207"/>
      <w:r>
        <w:rPr>
          <w:rFonts w:hint="eastAsia" w:ascii="Times New Roman" w:hAnsi="Times New Roman"/>
          <w:b/>
          <w:lang w:val="en-US" w:eastAsia="zh-CN"/>
        </w:rPr>
        <w:t>第三节  培育发展新兴产业</w:t>
      </w:r>
      <w:bookmarkEnd w:id="74"/>
      <w:bookmarkEnd w:id="75"/>
      <w:bookmarkEnd w:id="76"/>
    </w:p>
    <w:p w14:paraId="25203C77">
      <w:pPr>
        <w:spacing w:line="560" w:lineRule="exact"/>
        <w:ind w:firstLine="640" w:firstLineChars="200"/>
        <w:rPr>
          <w:rFonts w:hint="eastAsia" w:ascii="Times New Roman" w:hAnsi="Times New Roman" w:eastAsia="方正仿宋_GBK"/>
          <w:b w:val="0"/>
          <w:bCs w:val="0"/>
          <w:sz w:val="32"/>
          <w:szCs w:val="22"/>
          <w:lang w:val="en-US" w:eastAsia="zh-CN"/>
          <w14:ligatures w14:val="standardContextual"/>
        </w:rPr>
      </w:pPr>
      <w:r>
        <w:rPr>
          <w:rFonts w:hint="eastAsia" w:ascii="Times New Roman" w:hAnsi="Times New Roman" w:eastAsia="方正仿宋_GBK"/>
          <w:b/>
          <w:bCs/>
          <w:sz w:val="32"/>
          <w:szCs w:val="22"/>
          <w:lang w:val="en-US" w:eastAsia="zh-CN"/>
          <w14:ligatures w14:val="standardContextual"/>
        </w:rPr>
        <w:t>新材料。</w:t>
      </w:r>
      <w:r>
        <w:rPr>
          <w:rFonts w:hint="eastAsia" w:ascii="Times New Roman" w:hAnsi="Times New Roman" w:eastAsia="方正仿宋_GBK"/>
          <w:b w:val="0"/>
          <w:bCs w:val="0"/>
          <w:sz w:val="32"/>
          <w:szCs w:val="22"/>
          <w:lang w:val="en-US" w:eastAsia="zh-CN"/>
          <w14:ligatures w14:val="standardContextual"/>
        </w:rPr>
        <w:t>坚持技术引领、创新驱动的发展路径，围绕重大装备制造、生物医药等战略性新兴产业发展需求，加强新材料领域关键核心技术突破和应用，加快</w:t>
      </w:r>
      <w:r>
        <w:rPr>
          <w:rFonts w:hint="eastAsia"/>
          <w:b w:val="0"/>
          <w:bCs w:val="0"/>
          <w:sz w:val="32"/>
          <w:szCs w:val="22"/>
          <w:lang w:val="en-US" w:eastAsia="zh-CN"/>
          <w14:ligatures w14:val="standardContextual"/>
        </w:rPr>
        <w:t>先进无机非金属材料、高性能复合材料、前沿新材料</w:t>
      </w:r>
      <w:r>
        <w:rPr>
          <w:rFonts w:hint="eastAsia" w:ascii="Times New Roman" w:hAnsi="Times New Roman" w:eastAsia="方正仿宋_GBK"/>
          <w:b w:val="0"/>
          <w:bCs w:val="0"/>
          <w:sz w:val="32"/>
          <w:szCs w:val="22"/>
          <w:lang w:val="en-US" w:eastAsia="zh-CN"/>
          <w14:ligatures w14:val="standardContextual"/>
        </w:rPr>
        <w:t>、生物医用材料、高性能纤维及制品和复合材料、</w:t>
      </w:r>
      <w:r>
        <w:rPr>
          <w:rFonts w:hint="eastAsia"/>
          <w:b w:val="0"/>
          <w:bCs w:val="0"/>
          <w:sz w:val="32"/>
          <w:szCs w:val="22"/>
          <w:lang w:val="en-US" w:eastAsia="zh-CN"/>
          <w14:ligatures w14:val="standardContextual"/>
        </w:rPr>
        <w:t>生物基材料制造</w:t>
      </w:r>
      <w:r>
        <w:rPr>
          <w:rFonts w:hint="eastAsia" w:ascii="Times New Roman" w:hAnsi="Times New Roman" w:eastAsia="方正仿宋_GBK"/>
          <w:b w:val="0"/>
          <w:bCs w:val="0"/>
          <w:sz w:val="32"/>
          <w:szCs w:val="22"/>
          <w:lang w:val="en-US" w:eastAsia="zh-CN"/>
          <w14:ligatures w14:val="standardContextual"/>
        </w:rPr>
        <w:t>等关键战略材料的研发与布局，建设长春市重要的新材料产业基地。</w:t>
      </w:r>
    </w:p>
    <w:p w14:paraId="0FB8F129">
      <w:pPr>
        <w:spacing w:line="560" w:lineRule="exact"/>
        <w:ind w:firstLine="640" w:firstLineChars="200"/>
        <w:rPr>
          <w:rFonts w:hint="eastAsia" w:ascii="Times New Roman" w:hAnsi="Times New Roman" w:eastAsia="方正仿宋_GBK"/>
          <w:b w:val="0"/>
          <w:bCs w:val="0"/>
          <w:sz w:val="32"/>
          <w:szCs w:val="22"/>
          <w:lang w:val="en-US" w:eastAsia="zh-CN"/>
          <w14:ligatures w14:val="standardContextual"/>
        </w:rPr>
      </w:pPr>
      <w:r>
        <w:rPr>
          <w:rFonts w:hint="eastAsia" w:ascii="Times New Roman" w:hAnsi="Times New Roman" w:eastAsia="方正仿宋_GBK"/>
          <w:b/>
          <w:bCs/>
          <w:sz w:val="32"/>
          <w:szCs w:val="22"/>
          <w:lang w:val="en-US" w:eastAsia="zh-CN"/>
          <w14:ligatures w14:val="standardContextual"/>
        </w:rPr>
        <w:t>节能环保。</w:t>
      </w:r>
      <w:r>
        <w:rPr>
          <w:rFonts w:hint="eastAsia" w:ascii="Times New Roman" w:hAnsi="Times New Roman" w:eastAsia="方正仿宋_GBK"/>
          <w:b w:val="0"/>
          <w:bCs w:val="0"/>
          <w:sz w:val="32"/>
          <w:szCs w:val="22"/>
          <w:lang w:val="en-US" w:eastAsia="zh-CN"/>
          <w14:ligatures w14:val="standardContextual"/>
        </w:rPr>
        <w:t>立足实现“双碳”目标，大力推进节能环保产业集群化、规模化发展，建设循环经济产业</w:t>
      </w:r>
      <w:r>
        <w:rPr>
          <w:rFonts w:hint="eastAsia"/>
          <w:b w:val="0"/>
          <w:bCs w:val="0"/>
          <w:sz w:val="32"/>
          <w:szCs w:val="22"/>
          <w:lang w:val="en-US" w:eastAsia="zh-CN"/>
          <w14:ligatures w14:val="standardContextual"/>
        </w:rPr>
        <w:t>园区</w:t>
      </w:r>
      <w:r>
        <w:rPr>
          <w:rFonts w:hint="eastAsia" w:ascii="Times New Roman" w:hAnsi="Times New Roman" w:eastAsia="方正仿宋_GBK"/>
          <w:b w:val="0"/>
          <w:bCs w:val="0"/>
          <w:sz w:val="32"/>
          <w:szCs w:val="22"/>
          <w:lang w:val="en-US" w:eastAsia="zh-CN"/>
          <w14:ligatures w14:val="standardContextual"/>
        </w:rPr>
        <w:t>。以装配式构件加工、水泥预制构件、陶瓷装饰一体板、建筑节能板材等为重点，推动建材产业绿色转型发展。围绕大气污染治理、水污染治理、土壤修复治理、资源综合利用、绿色再制造等重点领域，积极引进一批高端节能环保装备企业。大力发展循环经济，引进培育废旧汽车及家电拆解再利用、废弃电器电子产品拆解再利用、轮胎再利用、大宗固废综合利用等产业。</w:t>
      </w:r>
    </w:p>
    <w:p w14:paraId="7CC2155F">
      <w:pPr>
        <w:spacing w:line="560" w:lineRule="exact"/>
        <w:ind w:firstLine="640" w:firstLineChars="200"/>
        <w:rPr>
          <w:rFonts w:hint="eastAsia" w:ascii="Times New Roman" w:hAnsi="Times New Roman" w:eastAsia="方正仿宋_GBK"/>
          <w:b w:val="0"/>
          <w:bCs w:val="0"/>
          <w:sz w:val="32"/>
          <w:szCs w:val="22"/>
          <w:lang w:val="en-US" w:eastAsia="zh-CN"/>
          <w14:ligatures w14:val="standardContextual"/>
        </w:rPr>
      </w:pPr>
      <w:r>
        <w:rPr>
          <w:rFonts w:hint="eastAsia" w:ascii="Times New Roman" w:hAnsi="Times New Roman" w:eastAsia="方正仿宋_GBK"/>
          <w:b/>
          <w:bCs/>
          <w:sz w:val="32"/>
          <w:szCs w:val="22"/>
          <w:lang w:val="en-US" w:eastAsia="zh-CN"/>
          <w14:ligatures w14:val="standardContextual"/>
        </w:rPr>
        <w:t>数字经济。</w:t>
      </w:r>
      <w:r>
        <w:rPr>
          <w:rFonts w:hint="eastAsia" w:ascii="Times New Roman" w:hAnsi="Times New Roman" w:eastAsia="方正仿宋_GBK"/>
          <w:b w:val="0"/>
          <w:bCs w:val="0"/>
          <w:sz w:val="32"/>
          <w:szCs w:val="22"/>
          <w:lang w:val="en-US" w:eastAsia="zh-CN"/>
          <w14:ligatures w14:val="standardContextual"/>
        </w:rPr>
        <w:t>聚焦人工智能、低空经济、具身智能等新兴产业，进一步开发利用数据资源，创新数据资源授权、共享、交易、应用等体制机制，强化政策工具配套，着力引进培育一批重点骨干企业，充分发挥数据生产要素作用，拓展数字产业和产业数字化新空间。以算力中心和具身智能产业等数字产业为重点，加强科技服务支撑，支持一批前沿科技成果在开发区转化落地，打造农安人工智能产业发展高地，助力数字长春、数字吉林建设。</w:t>
      </w:r>
    </w:p>
    <w:p w14:paraId="5F446431">
      <w:pPr>
        <w:spacing w:line="560" w:lineRule="exact"/>
        <w:ind w:firstLine="640" w:firstLineChars="200"/>
        <w:rPr>
          <w:rFonts w:hint="eastAsia" w:ascii="Times New Roman" w:hAnsi="Times New Roman" w:eastAsia="方正仿宋_GBK"/>
          <w:b w:val="0"/>
          <w:bCs w:val="0"/>
          <w:sz w:val="32"/>
          <w:szCs w:val="22"/>
          <w:lang w:val="en-US" w:eastAsia="zh-CN"/>
          <w14:ligatures w14:val="standardContextual"/>
        </w:rPr>
      </w:pPr>
      <w:r>
        <w:rPr>
          <w:rFonts w:hint="eastAsia" w:ascii="Times New Roman" w:hAnsi="Times New Roman" w:eastAsia="方正仿宋_GBK"/>
          <w:b/>
          <w:bCs/>
          <w:sz w:val="32"/>
          <w:szCs w:val="22"/>
          <w:lang w:val="en-US" w:eastAsia="zh-CN"/>
          <w14:ligatures w14:val="standardContextual"/>
        </w:rPr>
        <w:t>低空经济。</w:t>
      </w:r>
      <w:r>
        <w:rPr>
          <w:rFonts w:hint="eastAsia" w:ascii="Times New Roman" w:hAnsi="Times New Roman"/>
          <w:b w:val="0"/>
          <w:bCs w:val="0"/>
          <w:sz w:val="32"/>
          <w:szCs w:val="22"/>
          <w:lang w:val="en-US" w:eastAsia="zh-CN"/>
          <w14:ligatures w14:val="standardContextual"/>
        </w:rPr>
        <w:t>依托长春装备制造业基础，聚焦低空制造和低空运营服务，积极</w:t>
      </w:r>
      <w:r>
        <w:rPr>
          <w:rFonts w:hint="eastAsia" w:ascii="Times New Roman" w:hAnsi="Times New Roman" w:eastAsia="方正仿宋_GBK"/>
          <w:b w:val="0"/>
          <w:bCs w:val="0"/>
          <w:sz w:val="32"/>
          <w:szCs w:val="22"/>
          <w:lang w:val="en-US" w:eastAsia="zh-CN"/>
          <w14:ligatures w14:val="standardContextual"/>
        </w:rPr>
        <w:t>引</w:t>
      </w:r>
      <w:r>
        <w:rPr>
          <w:rFonts w:hint="eastAsia" w:ascii="Times New Roman" w:hAnsi="Times New Roman"/>
          <w:b w:val="0"/>
          <w:bCs w:val="0"/>
          <w:sz w:val="32"/>
          <w:szCs w:val="22"/>
          <w:lang w:val="en-US" w:eastAsia="zh-CN"/>
          <w14:ligatures w14:val="standardContextual"/>
        </w:rPr>
        <w:t>进</w:t>
      </w:r>
      <w:r>
        <w:rPr>
          <w:rFonts w:hint="eastAsia" w:ascii="Times New Roman" w:hAnsi="Times New Roman" w:eastAsia="方正仿宋_GBK"/>
          <w:b w:val="0"/>
          <w:bCs w:val="0"/>
          <w:sz w:val="32"/>
          <w:szCs w:val="22"/>
          <w:lang w:val="en-US" w:eastAsia="zh-CN"/>
          <w14:ligatures w14:val="standardContextual"/>
        </w:rPr>
        <w:t>低空经济领域的龙头企业，</w:t>
      </w:r>
      <w:r>
        <w:rPr>
          <w:rFonts w:hint="eastAsia" w:ascii="Times New Roman" w:hAnsi="Times New Roman"/>
          <w:b w:val="0"/>
          <w:bCs w:val="0"/>
          <w:sz w:val="32"/>
          <w:szCs w:val="22"/>
          <w:lang w:val="en-US" w:eastAsia="zh-CN"/>
          <w14:ligatures w14:val="standardContextual"/>
        </w:rPr>
        <w:t>重点</w:t>
      </w:r>
      <w:r>
        <w:rPr>
          <w:rFonts w:hint="eastAsia" w:ascii="Times New Roman" w:hAnsi="Times New Roman" w:eastAsia="方正仿宋_GBK"/>
          <w:b w:val="0"/>
          <w:bCs w:val="0"/>
          <w:sz w:val="32"/>
          <w:szCs w:val="22"/>
          <w:lang w:val="en-US" w:eastAsia="zh-CN"/>
          <w14:ligatures w14:val="standardContextual"/>
        </w:rPr>
        <w:t>发展无人机研发制造</w:t>
      </w:r>
      <w:r>
        <w:rPr>
          <w:rFonts w:hint="eastAsia" w:ascii="Times New Roman" w:hAnsi="Times New Roman"/>
          <w:b w:val="0"/>
          <w:bCs w:val="0"/>
          <w:sz w:val="32"/>
          <w:szCs w:val="22"/>
          <w:lang w:val="en-US" w:eastAsia="zh-CN"/>
          <w14:ligatures w14:val="standardContextual"/>
        </w:rPr>
        <w:t>及配套零部件制造，积极拓展“</w:t>
      </w:r>
      <w:r>
        <w:rPr>
          <w:rFonts w:hint="eastAsia" w:ascii="Times New Roman" w:hAnsi="Times New Roman" w:eastAsia="方正仿宋_GBK"/>
          <w:b w:val="0"/>
          <w:bCs w:val="0"/>
          <w:sz w:val="32"/>
          <w:szCs w:val="22"/>
          <w:lang w:val="en-US" w:eastAsia="zh-CN"/>
          <w14:ligatures w14:val="standardContextual"/>
        </w:rPr>
        <w:t>低空</w:t>
      </w:r>
      <w:r>
        <w:rPr>
          <w:rFonts w:hint="eastAsia" w:ascii="Times New Roman" w:hAnsi="Times New Roman"/>
          <w:b w:val="0"/>
          <w:bCs w:val="0"/>
          <w:sz w:val="32"/>
          <w:szCs w:val="22"/>
          <w:lang w:val="en-US" w:eastAsia="zh-CN"/>
          <w14:ligatures w14:val="standardContextual"/>
        </w:rPr>
        <w:t>+农业”“</w:t>
      </w:r>
      <w:r>
        <w:rPr>
          <w:rFonts w:hint="eastAsia" w:ascii="Times New Roman" w:hAnsi="Times New Roman" w:eastAsia="方正仿宋_GBK"/>
          <w:b w:val="0"/>
          <w:bCs w:val="0"/>
          <w:sz w:val="32"/>
          <w:szCs w:val="22"/>
          <w:lang w:val="en-US" w:eastAsia="zh-CN"/>
          <w14:ligatures w14:val="standardContextual"/>
        </w:rPr>
        <w:t>低空</w:t>
      </w:r>
      <w:r>
        <w:rPr>
          <w:rFonts w:hint="eastAsia" w:ascii="Times New Roman" w:hAnsi="Times New Roman"/>
          <w:b w:val="0"/>
          <w:bCs w:val="0"/>
          <w:sz w:val="32"/>
          <w:szCs w:val="22"/>
          <w:lang w:val="en-US" w:eastAsia="zh-CN"/>
          <w14:ligatures w14:val="standardContextual"/>
        </w:rPr>
        <w:t>+</w:t>
      </w:r>
      <w:r>
        <w:rPr>
          <w:rFonts w:hint="eastAsia" w:ascii="Times New Roman" w:hAnsi="Times New Roman" w:eastAsia="方正仿宋_GBK"/>
          <w:b w:val="0"/>
          <w:bCs w:val="0"/>
          <w:sz w:val="32"/>
          <w:szCs w:val="22"/>
          <w:lang w:val="en-US" w:eastAsia="zh-CN"/>
          <w14:ligatures w14:val="standardContextual"/>
        </w:rPr>
        <w:t>物流</w:t>
      </w:r>
      <w:r>
        <w:rPr>
          <w:rFonts w:hint="eastAsia" w:ascii="Times New Roman" w:hAnsi="Times New Roman"/>
          <w:b w:val="0"/>
          <w:bCs w:val="0"/>
          <w:sz w:val="32"/>
          <w:szCs w:val="22"/>
          <w:lang w:val="en-US" w:eastAsia="zh-CN"/>
          <w14:ligatures w14:val="standardContextual"/>
        </w:rPr>
        <w:t>”“</w:t>
      </w:r>
      <w:r>
        <w:rPr>
          <w:rFonts w:hint="eastAsia" w:ascii="Times New Roman" w:hAnsi="Times New Roman" w:eastAsia="方正仿宋_GBK"/>
          <w:b w:val="0"/>
          <w:bCs w:val="0"/>
          <w:sz w:val="32"/>
          <w:szCs w:val="22"/>
          <w:lang w:val="en-US" w:eastAsia="zh-CN"/>
          <w14:ligatures w14:val="standardContextual"/>
        </w:rPr>
        <w:t>低空</w:t>
      </w:r>
      <w:r>
        <w:rPr>
          <w:rFonts w:hint="eastAsia" w:ascii="Times New Roman" w:hAnsi="Times New Roman"/>
          <w:b w:val="0"/>
          <w:bCs w:val="0"/>
          <w:sz w:val="32"/>
          <w:szCs w:val="22"/>
          <w:lang w:val="en-US" w:eastAsia="zh-CN"/>
          <w14:ligatures w14:val="standardContextual"/>
        </w:rPr>
        <w:t>+旅游”</w:t>
      </w:r>
      <w:r>
        <w:rPr>
          <w:rFonts w:hint="eastAsia" w:ascii="Times New Roman" w:hAnsi="Times New Roman" w:eastAsia="方正仿宋_GBK"/>
          <w:b w:val="0"/>
          <w:bCs w:val="0"/>
          <w:sz w:val="32"/>
          <w:szCs w:val="22"/>
          <w:lang w:val="en-US" w:eastAsia="zh-CN"/>
          <w14:ligatures w14:val="standardContextual"/>
        </w:rPr>
        <w:t>等多元</w:t>
      </w:r>
      <w:r>
        <w:rPr>
          <w:rFonts w:hint="eastAsia" w:ascii="Times New Roman" w:hAnsi="Times New Roman"/>
          <w:b w:val="0"/>
          <w:bCs w:val="0"/>
          <w:sz w:val="32"/>
          <w:szCs w:val="22"/>
          <w:lang w:val="en-US" w:eastAsia="zh-CN"/>
          <w14:ligatures w14:val="standardContextual"/>
        </w:rPr>
        <w:t>融合</w:t>
      </w:r>
      <w:r>
        <w:rPr>
          <w:rFonts w:hint="eastAsia" w:ascii="Times New Roman" w:hAnsi="Times New Roman" w:eastAsia="方正仿宋_GBK"/>
          <w:b w:val="0"/>
          <w:bCs w:val="0"/>
          <w:sz w:val="32"/>
          <w:szCs w:val="22"/>
          <w:lang w:val="en-US" w:eastAsia="zh-CN"/>
          <w14:ligatures w14:val="standardContextual"/>
        </w:rPr>
        <w:t>业态，打造集研发、制造、运营、服务为一体的低空经济产业</w:t>
      </w:r>
      <w:r>
        <w:rPr>
          <w:rFonts w:hint="eastAsia"/>
          <w:b w:val="0"/>
          <w:bCs w:val="0"/>
          <w:sz w:val="32"/>
          <w:szCs w:val="22"/>
          <w:lang w:val="en-US" w:eastAsia="zh-CN"/>
          <w14:ligatures w14:val="standardContextual"/>
        </w:rPr>
        <w:t>集聚</w:t>
      </w:r>
      <w:r>
        <w:rPr>
          <w:rFonts w:hint="eastAsia" w:ascii="Times New Roman" w:hAnsi="Times New Roman" w:eastAsia="方正仿宋_GBK"/>
          <w:b w:val="0"/>
          <w:bCs w:val="0"/>
          <w:sz w:val="32"/>
          <w:szCs w:val="22"/>
          <w:lang w:val="en-US" w:eastAsia="zh-CN"/>
          <w14:ligatures w14:val="standardContextual"/>
        </w:rPr>
        <w:t>区。</w:t>
      </w:r>
    </w:p>
    <w:p w14:paraId="2244DA01">
      <w:pPr>
        <w:pStyle w:val="5"/>
        <w:bidi w:val="0"/>
        <w:rPr>
          <w:rFonts w:hint="eastAsia" w:ascii="Times New Roman" w:hAnsi="Times New Roman"/>
          <w:lang w:val="en-US" w:eastAsia="zh-CN"/>
        </w:rPr>
      </w:pPr>
      <w:bookmarkStart w:id="77" w:name="_Toc23192"/>
      <w:bookmarkStart w:id="78" w:name="_Toc29106"/>
      <w:bookmarkStart w:id="79" w:name="_Toc12460"/>
      <w:bookmarkStart w:id="80" w:name="_Toc22392"/>
      <w:bookmarkStart w:id="81" w:name="_Toc17048"/>
      <w:r>
        <w:rPr>
          <w:rFonts w:hint="eastAsia" w:ascii="Times New Roman" w:hAnsi="Times New Roman"/>
          <w:lang w:val="en-US" w:eastAsia="zh-CN"/>
        </w:rPr>
        <w:t>第六章  聚力发展现代服务业，激活区域经济内生动力</w:t>
      </w:r>
      <w:bookmarkEnd w:id="77"/>
      <w:bookmarkEnd w:id="78"/>
      <w:bookmarkEnd w:id="79"/>
      <w:bookmarkEnd w:id="80"/>
      <w:bookmarkEnd w:id="81"/>
    </w:p>
    <w:p w14:paraId="4D9254F6">
      <w:pPr>
        <w:spacing w:line="560" w:lineRule="exact"/>
        <w:ind w:firstLine="640" w:firstLineChars="200"/>
        <w:rPr>
          <w:rFonts w:hint="eastAsia" w:ascii="Times New Roman" w:hAnsi="Times New Roman" w:eastAsia="方正仿宋_GBK"/>
          <w:b w:val="0"/>
          <w:bCs w:val="0"/>
          <w:sz w:val="32"/>
          <w:szCs w:val="22"/>
          <w:lang w:val="en-US" w:eastAsia="zh-CN"/>
          <w14:ligatures w14:val="standardContextual"/>
        </w:rPr>
      </w:pPr>
      <w:bookmarkStart w:id="82" w:name="_Toc27093"/>
      <w:r>
        <w:rPr>
          <w:rFonts w:hint="eastAsia" w:ascii="Times New Roman" w:hAnsi="Times New Roman" w:eastAsia="方正仿宋_GBK"/>
          <w:b w:val="0"/>
          <w:bCs w:val="0"/>
          <w:sz w:val="32"/>
          <w:szCs w:val="22"/>
          <w:lang w:val="en-US" w:eastAsia="zh-CN"/>
          <w14:ligatures w14:val="standardContextual"/>
        </w:rPr>
        <w:t>以</w:t>
      </w:r>
      <w:r>
        <w:rPr>
          <w:rFonts w:hint="eastAsia" w:ascii="Times New Roman" w:hAnsi="Times New Roman"/>
          <w:b w:val="0"/>
          <w:bCs w:val="0"/>
          <w:sz w:val="32"/>
          <w:szCs w:val="22"/>
          <w:lang w:val="en-US" w:eastAsia="zh-CN"/>
          <w14:ligatures w14:val="standardContextual"/>
        </w:rPr>
        <w:t>构建</w:t>
      </w:r>
      <w:r>
        <w:rPr>
          <w:rFonts w:hint="eastAsia" w:ascii="Times New Roman" w:hAnsi="Times New Roman" w:eastAsia="方正仿宋_GBK"/>
          <w:b w:val="0"/>
          <w:bCs w:val="0"/>
          <w:sz w:val="32"/>
          <w:szCs w:val="22"/>
          <w:lang w:val="en-US" w:eastAsia="zh-CN"/>
          <w14:ligatures w14:val="standardContextual"/>
        </w:rPr>
        <w:t>现代化服务业新格局为基本任务，</w:t>
      </w:r>
      <w:r>
        <w:rPr>
          <w:rFonts w:hint="eastAsia" w:ascii="Times New Roman" w:hAnsi="Times New Roman"/>
          <w:b w:val="0"/>
          <w:bCs w:val="0"/>
          <w:sz w:val="32"/>
          <w:szCs w:val="22"/>
          <w:lang w:val="en-US" w:eastAsia="zh-CN"/>
          <w14:ligatures w14:val="standardContextual"/>
        </w:rPr>
        <w:t>大力发展商贸流通业、文化旅游业，打造商贸消费新场景，培育外贸发展新动能，</w:t>
      </w:r>
      <w:r>
        <w:rPr>
          <w:rFonts w:hint="eastAsia" w:ascii="Times New Roman" w:hAnsi="Times New Roman" w:eastAsia="方正仿宋_GBK"/>
          <w:b w:val="0"/>
          <w:bCs w:val="0"/>
          <w:sz w:val="32"/>
          <w:szCs w:val="22"/>
          <w:lang w:val="en-US" w:eastAsia="zh-CN"/>
          <w14:ligatures w14:val="standardContextual"/>
        </w:rPr>
        <w:t>深化“旅游+”多业融合</w:t>
      </w:r>
      <w:r>
        <w:rPr>
          <w:rFonts w:hint="eastAsia" w:ascii="Times New Roman" w:hAnsi="Times New Roman"/>
          <w:b w:val="0"/>
          <w:bCs w:val="0"/>
          <w:sz w:val="32"/>
          <w:szCs w:val="22"/>
          <w:lang w:val="en-US" w:eastAsia="zh-CN"/>
          <w14:ligatures w14:val="standardContextual"/>
        </w:rPr>
        <w:t>发展，</w:t>
      </w:r>
      <w:r>
        <w:rPr>
          <w:rFonts w:hint="eastAsia" w:ascii="Times New Roman" w:hAnsi="Times New Roman" w:eastAsia="方正仿宋_GBK"/>
          <w:b w:val="0"/>
          <w:bCs w:val="0"/>
          <w:sz w:val="32"/>
          <w:szCs w:val="22"/>
          <w:lang w:val="en-US" w:eastAsia="zh-CN"/>
          <w14:ligatures w14:val="standardContextual"/>
        </w:rPr>
        <w:t>扩大服务业有效供给，提高服务效率和服务品质，构建特色鲜明、优质高效、结构优化、竞争力强的现代服务产业新体系。</w:t>
      </w:r>
    </w:p>
    <w:p w14:paraId="444CC868">
      <w:pPr>
        <w:pStyle w:val="7"/>
        <w:bidi w:val="0"/>
        <w:rPr>
          <w:rFonts w:hint="default" w:ascii="Times New Roman" w:hAnsi="Times New Roman"/>
          <w:b/>
          <w:lang w:val="en-US" w:eastAsia="zh-CN"/>
        </w:rPr>
      </w:pPr>
      <w:bookmarkStart w:id="83" w:name="_Toc13075"/>
      <w:bookmarkStart w:id="84" w:name="_Toc28147"/>
      <w:bookmarkStart w:id="85" w:name="_Toc7646"/>
      <w:r>
        <w:rPr>
          <w:rFonts w:hint="eastAsia" w:ascii="Times New Roman" w:hAnsi="Times New Roman"/>
          <w:b/>
          <w:lang w:val="en-US" w:eastAsia="zh-CN"/>
        </w:rPr>
        <w:t xml:space="preserve">第一节  </w:t>
      </w:r>
      <w:bookmarkEnd w:id="82"/>
      <w:r>
        <w:rPr>
          <w:rFonts w:hint="eastAsia" w:ascii="Times New Roman" w:hAnsi="Times New Roman"/>
          <w:b/>
          <w:lang w:val="en-US" w:eastAsia="zh-CN"/>
        </w:rPr>
        <w:t>推动商贸流通业高质量发展</w:t>
      </w:r>
      <w:bookmarkEnd w:id="83"/>
      <w:bookmarkEnd w:id="84"/>
      <w:bookmarkEnd w:id="85"/>
    </w:p>
    <w:p w14:paraId="41446EED">
      <w:pPr>
        <w:spacing w:line="560" w:lineRule="exact"/>
        <w:ind w:firstLine="640" w:firstLineChars="200"/>
        <w:rPr>
          <w:rFonts w:hint="eastAsia" w:ascii="Times New Roman" w:hAnsi="Times New Roman" w:eastAsia="方正仿宋_GBK"/>
          <w:b w:val="0"/>
          <w:bCs w:val="0"/>
          <w:sz w:val="32"/>
          <w:szCs w:val="22"/>
          <w:lang w:val="en-US" w:eastAsia="zh-CN"/>
          <w14:ligatures w14:val="standardContextual"/>
        </w:rPr>
      </w:pPr>
      <w:r>
        <w:rPr>
          <w:rFonts w:hint="eastAsia" w:ascii="Times New Roman" w:hAnsi="Times New Roman" w:eastAsia="方正仿宋_GBK"/>
          <w:b/>
          <w:bCs/>
          <w:sz w:val="32"/>
          <w:szCs w:val="22"/>
          <w:lang w:val="en-US" w:eastAsia="zh-CN"/>
          <w14:ligatures w14:val="standardContextual"/>
        </w:rPr>
        <w:t>优化商贸消费新场景</w:t>
      </w:r>
      <w:r>
        <w:rPr>
          <w:rFonts w:hint="eastAsia" w:ascii="Times New Roman" w:hAnsi="Times New Roman"/>
          <w:b/>
          <w:bCs/>
          <w:sz w:val="32"/>
          <w:szCs w:val="22"/>
          <w:lang w:val="en-US" w:eastAsia="zh-CN"/>
          <w14:ligatures w14:val="standardContextual"/>
        </w:rPr>
        <w:t>，持续扩大内需提振消费</w:t>
      </w:r>
      <w:r>
        <w:rPr>
          <w:rFonts w:hint="eastAsia" w:ascii="Times New Roman" w:hAnsi="Times New Roman" w:eastAsia="方正仿宋_GBK"/>
          <w:b/>
          <w:bCs/>
          <w:sz w:val="32"/>
          <w:szCs w:val="22"/>
          <w:lang w:val="en-US" w:eastAsia="zh-CN"/>
          <w14:ligatures w14:val="standardContextual"/>
        </w:rPr>
        <w:t>。</w:t>
      </w:r>
      <w:r>
        <w:rPr>
          <w:rFonts w:hint="eastAsia"/>
          <w:b/>
          <w:bCs/>
          <w:sz w:val="32"/>
          <w:szCs w:val="22"/>
          <w:highlight w:val="none"/>
          <w:lang w:val="en-US" w:eastAsia="zh-CN"/>
          <w14:ligatures w14:val="standardContextual"/>
        </w:rPr>
        <w:t>深度融入全国统一大市场建设。</w:t>
      </w:r>
      <w:r>
        <w:rPr>
          <w:rFonts w:hint="eastAsia"/>
          <w:b w:val="0"/>
          <w:bCs w:val="0"/>
          <w:sz w:val="32"/>
          <w:szCs w:val="22"/>
          <w:highlight w:val="none"/>
          <w:lang w:val="en-US" w:eastAsia="zh-CN"/>
          <w14:ligatures w14:val="standardContextual"/>
        </w:rPr>
        <w:t>优化商贸市场准入环境，</w:t>
      </w:r>
      <w:r>
        <w:rPr>
          <w:rFonts w:hint="eastAsia" w:ascii="Times New Roman" w:hAnsi="Times New Roman" w:eastAsia="方正仿宋_GBK"/>
          <w:b w:val="0"/>
          <w:bCs w:val="0"/>
          <w:sz w:val="32"/>
          <w:szCs w:val="22"/>
          <w:highlight w:val="none"/>
          <w:lang w:val="en-US" w:eastAsia="zh-CN"/>
          <w14:ligatures w14:val="standardContextual"/>
        </w:rPr>
        <w:t>全面实施市场准入负面清单</w:t>
      </w:r>
      <w:r>
        <w:rPr>
          <w:rFonts w:hint="eastAsia"/>
          <w:b w:val="0"/>
          <w:bCs w:val="0"/>
          <w:sz w:val="32"/>
          <w:szCs w:val="22"/>
          <w:highlight w:val="none"/>
          <w:lang w:val="en-US" w:eastAsia="zh-CN"/>
          <w14:ligatures w14:val="standardContextual"/>
        </w:rPr>
        <w:t>，</w:t>
      </w:r>
      <w:r>
        <w:rPr>
          <w:rFonts w:hint="eastAsia" w:ascii="Times New Roman" w:hAnsi="Times New Roman" w:eastAsia="方正仿宋_GBK"/>
          <w:b w:val="0"/>
          <w:bCs w:val="0"/>
          <w:sz w:val="32"/>
          <w:szCs w:val="22"/>
          <w:highlight w:val="none"/>
          <w:lang w:val="en-US" w:eastAsia="zh-CN"/>
          <w14:ligatures w14:val="standardContextual"/>
        </w:rPr>
        <w:t>严格落实“全国一张清单”管理模式，全面清理妨碍统一市场和公平竞争的政策措施</w:t>
      </w:r>
      <w:r>
        <w:rPr>
          <w:rFonts w:hint="eastAsia"/>
          <w:b w:val="0"/>
          <w:bCs w:val="0"/>
          <w:sz w:val="32"/>
          <w:szCs w:val="22"/>
          <w:highlight w:val="none"/>
          <w:lang w:val="en-US" w:eastAsia="zh-CN"/>
          <w14:ligatures w14:val="standardContextual"/>
        </w:rPr>
        <w:t>；</w:t>
      </w:r>
      <w:r>
        <w:rPr>
          <w:rFonts w:hint="eastAsia" w:ascii="Times New Roman" w:hAnsi="Times New Roman" w:eastAsia="方正仿宋_GBK"/>
          <w:b w:val="0"/>
          <w:bCs w:val="0"/>
          <w:sz w:val="32"/>
          <w:szCs w:val="22"/>
          <w:highlight w:val="none"/>
          <w:lang w:val="en-US" w:eastAsia="zh-CN"/>
          <w14:ligatures w14:val="standardContextual"/>
        </w:rPr>
        <w:t>健全反不正当竞争工作协调机制，加强对新型不正当竞争行为的研判和规制，重点整治商业混淆、虚假宣传、商业诋毁等违法</w:t>
      </w:r>
      <w:r>
        <w:rPr>
          <w:rFonts w:hint="eastAsia"/>
          <w:b w:val="0"/>
          <w:bCs w:val="0"/>
          <w:sz w:val="32"/>
          <w:szCs w:val="22"/>
          <w:highlight w:val="none"/>
          <w:lang w:val="en-US" w:eastAsia="zh-CN"/>
          <w14:ligatures w14:val="standardContextual"/>
        </w:rPr>
        <w:t>行为；构建有序高效的现代流通市场，提升商品和要素市场化配置能力，健全统一的市场规则和制度，构建类型丰富、统一开放、公平有序、配套完善的高水平现代流通市场，为商品和要素自由高效流动提供良好的市场环境。</w:t>
      </w:r>
      <w:r>
        <w:rPr>
          <w:rFonts w:hint="eastAsia" w:ascii="Times New Roman" w:hAnsi="Times New Roman" w:eastAsia="方正仿宋_GBK"/>
          <w:b/>
          <w:bCs/>
          <w:sz w:val="32"/>
          <w:szCs w:val="22"/>
          <w:lang w:val="en-US" w:eastAsia="zh-CN"/>
          <w14:ligatures w14:val="standardContextual"/>
        </w:rPr>
        <w:t>打造标志性特色商圈、商街。</w:t>
      </w:r>
      <w:r>
        <w:rPr>
          <w:rFonts w:hint="eastAsia" w:ascii="Times New Roman" w:hAnsi="Times New Roman" w:eastAsia="方正仿宋_GBK"/>
          <w:b w:val="0"/>
          <w:bCs w:val="0"/>
          <w:sz w:val="32"/>
          <w:szCs w:val="22"/>
          <w:lang w:val="en-US" w:eastAsia="zh-CN"/>
          <w14:ligatures w14:val="standardContextual"/>
        </w:rPr>
        <w:t>依托欧亚商圈，辐射农安大路、文化街周边购物场所，打造具有东北区域特色的高品质消费商圈</w:t>
      </w:r>
      <w:r>
        <w:rPr>
          <w:rFonts w:hint="eastAsia" w:ascii="Times New Roman" w:hAnsi="Times New Roman"/>
          <w:b w:val="0"/>
          <w:bCs w:val="0"/>
          <w:sz w:val="32"/>
          <w:szCs w:val="22"/>
          <w:lang w:val="en-US" w:eastAsia="zh-CN"/>
          <w14:ligatures w14:val="standardContextual"/>
        </w:rPr>
        <w:t>。</w:t>
      </w:r>
      <w:r>
        <w:rPr>
          <w:rFonts w:hint="eastAsia" w:ascii="Times New Roman" w:hAnsi="Times New Roman" w:eastAsia="方正仿宋_GBK"/>
          <w:b w:val="0"/>
          <w:bCs w:val="0"/>
          <w:sz w:val="32"/>
          <w:szCs w:val="22"/>
          <w:lang w:val="en-US" w:eastAsia="zh-CN"/>
          <w14:ligatures w14:val="standardContextual"/>
        </w:rPr>
        <w:t>依托佳加乐、华宇购物商圈，整合辽塔历史文化+商业消费+潮流休闲资源，打造年轻潮流、业态丰富、烟火气十足的特色商圈</w:t>
      </w:r>
      <w:r>
        <w:rPr>
          <w:rFonts w:hint="eastAsia" w:ascii="Times New Roman" w:hAnsi="Times New Roman"/>
          <w:b w:val="0"/>
          <w:bCs w:val="0"/>
          <w:sz w:val="32"/>
          <w:szCs w:val="22"/>
          <w:lang w:val="en-US" w:eastAsia="zh-CN"/>
          <w14:ligatures w14:val="standardContextual"/>
        </w:rPr>
        <w:t>。</w:t>
      </w:r>
      <w:r>
        <w:rPr>
          <w:rFonts w:hint="eastAsia" w:ascii="Times New Roman" w:hAnsi="Times New Roman" w:eastAsia="方正仿宋_GBK"/>
          <w:b w:val="0"/>
          <w:bCs w:val="0"/>
          <w:sz w:val="32"/>
          <w:szCs w:val="22"/>
          <w:lang w:val="en-US" w:eastAsia="zh-CN"/>
          <w14:ligatures w14:val="standardContextual"/>
        </w:rPr>
        <w:t>差异化打造商业街，对县城步行街、合隆龙府商业街等现有特色商业街，丰富商业业态，优化设施环境，招引品牌商户，营造“优闲、美憩、嗨购”的生活消费空间。推动中宏广场商业综合体项目实施，打造“吃、喝、玩、乐、购”于一体的新兴消费场景。</w:t>
      </w:r>
      <w:r>
        <w:rPr>
          <w:rFonts w:hint="eastAsia" w:ascii="Times New Roman" w:hAnsi="Times New Roman" w:eastAsia="方正仿宋_GBK"/>
          <w:b/>
          <w:bCs/>
          <w:sz w:val="32"/>
          <w:szCs w:val="22"/>
          <w:lang w:val="en-US" w:eastAsia="zh-CN"/>
          <w14:ligatures w14:val="standardContextual"/>
        </w:rPr>
        <w:t>持续释放“夜经济”消费潜力。</w:t>
      </w:r>
      <w:r>
        <w:rPr>
          <w:rFonts w:hint="eastAsia" w:ascii="Times New Roman" w:hAnsi="Times New Roman" w:eastAsia="方正仿宋_GBK"/>
          <w:b w:val="0"/>
          <w:bCs w:val="0"/>
          <w:sz w:val="32"/>
          <w:szCs w:val="22"/>
          <w:lang w:val="en-US" w:eastAsia="zh-CN"/>
          <w14:ligatures w14:val="standardContextual"/>
        </w:rPr>
        <w:t>支持夜间特定时间外摆摊位，完善夜间消费配套，鼓励图书馆、博物馆、体育馆等公共服务场所延长夜间营业时间，完善公共交通夜间配套，塑造县城夜间景观、亮化照明等市政配套，点亮夜间消费场景。强化夜间消费带动</w:t>
      </w:r>
      <w:r>
        <w:rPr>
          <w:rFonts w:hint="eastAsia"/>
          <w:b w:val="0"/>
          <w:bCs w:val="0"/>
          <w:sz w:val="32"/>
          <w:szCs w:val="22"/>
          <w:lang w:val="en-US" w:eastAsia="zh-CN"/>
          <w14:ligatures w14:val="standardContextual"/>
        </w:rPr>
        <w:t>作用</w:t>
      </w:r>
      <w:r>
        <w:rPr>
          <w:rFonts w:hint="eastAsia" w:ascii="Times New Roman" w:hAnsi="Times New Roman" w:eastAsia="方正仿宋_GBK"/>
          <w:b w:val="0"/>
          <w:bCs w:val="0"/>
          <w:sz w:val="32"/>
          <w:szCs w:val="22"/>
          <w:lang w:val="en-US" w:eastAsia="zh-CN"/>
          <w14:ligatures w14:val="standardContextual"/>
        </w:rPr>
        <w:t>，打造一批夜间消费集聚区，发展文化、旅游、消费相融合的夜间经济，支持“体育场夜市</w:t>
      </w:r>
      <w:r>
        <w:rPr>
          <w:rFonts w:hint="eastAsia" w:ascii="Times New Roman" w:hAnsi="Times New Roman"/>
          <w:b w:val="0"/>
          <w:bCs w:val="0"/>
          <w:sz w:val="32"/>
          <w:szCs w:val="22"/>
          <w:lang w:val="en-US" w:eastAsia="zh-CN"/>
          <w14:ligatures w14:val="standardContextual"/>
        </w:rPr>
        <w:t>”“</w:t>
      </w:r>
      <w:r>
        <w:rPr>
          <w:rFonts w:hint="eastAsia" w:ascii="Times New Roman" w:hAnsi="Times New Roman" w:eastAsia="方正仿宋_GBK"/>
          <w:b w:val="0"/>
          <w:bCs w:val="0"/>
          <w:sz w:val="32"/>
          <w:szCs w:val="22"/>
          <w:lang w:val="en-US" w:eastAsia="zh-CN"/>
          <w14:ligatures w14:val="standardContextual"/>
        </w:rPr>
        <w:t>合隆龙府商业街夜市”等小吃夜市发展，吸引外埠资本，打造滨水公园夜游、夜秀、夜食、夜娱等主题元素，形成更具特色、更具新意的市民休闲娱乐消费场景，激发夜间经济更大的活力。</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772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F1F1F1"/>
          </w:tcPr>
          <w:p w14:paraId="3B7913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eastAsia" w:ascii="Times New Roman" w:hAnsi="Times New Roman" w:cs="宋体"/>
                <w:color w:val="000000"/>
                <w:sz w:val="28"/>
                <w:szCs w:val="28"/>
              </w:rPr>
            </w:pPr>
            <w:r>
              <w:rPr>
                <w:rFonts w:hint="eastAsia" w:ascii="Times New Roman" w:hAnsi="Times New Roman" w:cs="宋体"/>
                <w:b/>
                <w:bCs/>
                <w:color w:val="000000"/>
                <w:sz w:val="28"/>
                <w:szCs w:val="28"/>
              </w:rPr>
              <w:t>专栏</w:t>
            </w:r>
            <w:r>
              <w:rPr>
                <w:rFonts w:hint="eastAsia" w:ascii="Times New Roman" w:hAnsi="Times New Roman" w:cs="宋体"/>
                <w:b/>
                <w:bCs/>
                <w:color w:val="000000"/>
                <w:sz w:val="28"/>
                <w:szCs w:val="28"/>
                <w:lang w:val="en-US" w:eastAsia="zh-CN"/>
              </w:rPr>
              <w:t>7 商贸流通业重点工程</w:t>
            </w:r>
          </w:p>
        </w:tc>
      </w:tr>
      <w:tr w14:paraId="2BDF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822E1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eastAsia" w:ascii="Times New Roman" w:hAnsi="Times New Roman" w:cs="宋体"/>
                <w:b w:val="0"/>
                <w:bCs w:val="0"/>
                <w:color w:val="000000"/>
                <w:sz w:val="28"/>
                <w:szCs w:val="28"/>
                <w:lang w:val="en-US" w:eastAsia="zh-CN"/>
              </w:rPr>
            </w:pPr>
            <w:r>
              <w:rPr>
                <w:rFonts w:hint="eastAsia" w:ascii="Times New Roman" w:hAnsi="Times New Roman" w:cs="宋体"/>
                <w:b/>
                <w:bCs/>
                <w:color w:val="000000"/>
                <w:sz w:val="28"/>
                <w:szCs w:val="28"/>
                <w:lang w:val="en-US" w:eastAsia="zh-CN"/>
              </w:rPr>
              <w:t>构建“一核引领、一带联动、四区支撑”的空间格局。</w:t>
            </w:r>
            <w:r>
              <w:rPr>
                <w:rFonts w:hint="eastAsia" w:ascii="Times New Roman" w:hAnsi="Times New Roman" w:cs="宋体"/>
                <w:b w:val="0"/>
                <w:bCs w:val="0"/>
                <w:color w:val="000000"/>
                <w:sz w:val="28"/>
                <w:szCs w:val="28"/>
                <w:lang w:val="en-US" w:eastAsia="zh-CN"/>
              </w:rPr>
              <w:t>“</w:t>
            </w:r>
          </w:p>
          <w:p w14:paraId="57461D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eastAsia" w:ascii="Times New Roman" w:hAnsi="Times New Roman" w:cs="宋体"/>
                <w:b w:val="0"/>
                <w:bCs w:val="0"/>
                <w:color w:val="000000"/>
                <w:sz w:val="28"/>
                <w:szCs w:val="28"/>
                <w:lang w:val="en-US" w:eastAsia="zh-CN"/>
              </w:rPr>
            </w:pPr>
            <w:r>
              <w:rPr>
                <w:rFonts w:hint="eastAsia" w:ascii="Times New Roman" w:hAnsi="Times New Roman" w:cs="宋体"/>
                <w:b w:val="0"/>
                <w:bCs w:val="0"/>
                <w:color w:val="000000"/>
                <w:sz w:val="28"/>
                <w:szCs w:val="28"/>
                <w:lang w:val="en-US" w:eastAsia="zh-CN"/>
              </w:rPr>
              <w:t>一核”：以县城为核心，打造功能完备、辐射力强的商贸服务集聚区；</w:t>
            </w:r>
          </w:p>
          <w:p w14:paraId="5A60AC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eastAsia" w:ascii="Times New Roman" w:hAnsi="Times New Roman" w:cs="宋体"/>
                <w:b w:val="0"/>
                <w:bCs w:val="0"/>
                <w:color w:val="000000"/>
                <w:sz w:val="28"/>
                <w:szCs w:val="28"/>
                <w:lang w:val="en-US" w:eastAsia="zh-CN"/>
              </w:rPr>
            </w:pPr>
            <w:r>
              <w:rPr>
                <w:rFonts w:hint="eastAsia" w:ascii="Times New Roman" w:hAnsi="Times New Roman" w:cs="宋体"/>
                <w:b w:val="0"/>
                <w:bCs w:val="0"/>
                <w:color w:val="000000"/>
                <w:sz w:val="28"/>
                <w:szCs w:val="28"/>
                <w:lang w:val="en-US" w:eastAsia="zh-CN"/>
              </w:rPr>
              <w:t>“一带”：依托长白铁路和珲乌高速交通枢纽，发展集运输、仓储、配送等功能于一体的商贸物流产业带；</w:t>
            </w:r>
          </w:p>
          <w:p w14:paraId="66A000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default" w:ascii="Times New Roman" w:hAnsi="Times New Roman" w:eastAsia="方正仿宋_GBK" w:cs="宋体"/>
                <w:b w:val="0"/>
                <w:bCs w:val="0"/>
                <w:color w:val="000000"/>
                <w:sz w:val="28"/>
                <w:szCs w:val="28"/>
                <w:lang w:val="en-US" w:eastAsia="zh-CN"/>
              </w:rPr>
            </w:pPr>
            <w:r>
              <w:rPr>
                <w:rFonts w:hint="eastAsia" w:ascii="Times New Roman" w:hAnsi="Times New Roman" w:cs="宋体"/>
                <w:b w:val="0"/>
                <w:bCs w:val="0"/>
                <w:color w:val="000000"/>
                <w:sz w:val="28"/>
                <w:szCs w:val="28"/>
                <w:lang w:val="en-US" w:eastAsia="zh-CN"/>
              </w:rPr>
              <w:t>“四区”：即东部特色农副产品流通区（万金塔镇、靠山镇）、西部商贸经济区（巴吉垒镇、伏龙泉镇）、南部文商旅融合发展区（合隆镇、华家镇、前岗乡）、北部“三辣”产业集聚区（哈拉海镇、杨树林乡）。</w:t>
            </w:r>
          </w:p>
        </w:tc>
      </w:tr>
    </w:tbl>
    <w:p w14:paraId="7799531C">
      <w:pPr>
        <w:rPr>
          <w:rFonts w:hint="eastAsia" w:ascii="Times New Roman" w:hAnsi="Times New Roman" w:eastAsia="方正仿宋_GBK"/>
          <w:b w:val="0"/>
          <w:bCs w:val="0"/>
          <w:sz w:val="32"/>
          <w:szCs w:val="22"/>
          <w:lang w:val="en-US" w:eastAsia="zh-CN"/>
          <w14:ligatures w14:val="standardContextual"/>
        </w:rPr>
      </w:pPr>
      <w:r>
        <w:rPr>
          <w:rFonts w:hint="eastAsia" w:ascii="Times New Roman" w:hAnsi="Times New Roman" w:eastAsia="方正仿宋_GBK"/>
          <w:b/>
          <w:bCs/>
          <w:sz w:val="32"/>
          <w:szCs w:val="22"/>
          <w:lang w:val="en-US" w:eastAsia="zh-CN"/>
          <w14:ligatures w14:val="standardContextual"/>
        </w:rPr>
        <w:t>培育</w:t>
      </w:r>
      <w:r>
        <w:rPr>
          <w:rFonts w:hint="eastAsia" w:ascii="Times New Roman" w:hAnsi="Times New Roman"/>
          <w:b/>
          <w:bCs/>
          <w:sz w:val="32"/>
          <w:szCs w:val="22"/>
          <w:lang w:val="en-US" w:eastAsia="zh-CN"/>
          <w14:ligatures w14:val="standardContextual"/>
        </w:rPr>
        <w:t>发展</w:t>
      </w:r>
      <w:r>
        <w:rPr>
          <w:rFonts w:hint="eastAsia" w:ascii="Times New Roman" w:hAnsi="Times New Roman" w:eastAsia="方正仿宋_GBK"/>
          <w:b/>
          <w:bCs/>
          <w:sz w:val="32"/>
          <w:szCs w:val="22"/>
          <w:lang w:val="en-US" w:eastAsia="zh-CN"/>
          <w14:ligatures w14:val="standardContextual"/>
        </w:rPr>
        <w:t>对外贸易</w:t>
      </w:r>
      <w:r>
        <w:rPr>
          <w:rFonts w:hint="eastAsia" w:ascii="Times New Roman" w:hAnsi="Times New Roman"/>
          <w:b/>
          <w:bCs/>
          <w:sz w:val="32"/>
          <w:szCs w:val="22"/>
          <w:lang w:val="en-US" w:eastAsia="zh-CN"/>
          <w14:ligatures w14:val="standardContextual"/>
        </w:rPr>
        <w:t>，拓展国际消费新动能</w:t>
      </w:r>
      <w:r>
        <w:rPr>
          <w:rFonts w:hint="eastAsia" w:ascii="Times New Roman" w:hAnsi="Times New Roman" w:eastAsia="方正仿宋_GBK"/>
          <w:b/>
          <w:bCs/>
          <w:sz w:val="32"/>
          <w:szCs w:val="22"/>
          <w:lang w:val="en-US" w:eastAsia="zh-CN"/>
          <w14:ligatures w14:val="standardContextual"/>
        </w:rPr>
        <w:t>。</w:t>
      </w:r>
      <w:r>
        <w:rPr>
          <w:rFonts w:hint="eastAsia" w:ascii="Times New Roman" w:hAnsi="Times New Roman"/>
          <w:b w:val="0"/>
          <w:bCs w:val="0"/>
          <w:lang w:val="en-US" w:eastAsia="zh-CN"/>
        </w:rPr>
        <w:t>积极培育和发展各类外贸经营主体，重点支持东北杂粮、旺旺食品、中汽动力等外贸企业发展壮大，推动一批有基础的中小企业进入国际市场，支持引导外贸企业参加境、内外贸易促进活动，围绕开拓国际市场，提升产品竞争力。</w:t>
      </w:r>
      <w:r>
        <w:rPr>
          <w:rFonts w:hint="eastAsia" w:ascii="Times New Roman" w:hAnsi="Times New Roman"/>
          <w:lang w:val="en-US" w:eastAsia="zh-CN"/>
        </w:rPr>
        <w:t>鼓励企业运用数字化营销工具，通过海外社交媒体、B2B平台开展线上展销，全方位提升产品国际竞争力。</w:t>
      </w:r>
      <w:r>
        <w:rPr>
          <w:rFonts w:hint="eastAsia" w:ascii="Times New Roman" w:hAnsi="Times New Roman"/>
          <w:b w:val="0"/>
          <w:bCs w:val="0"/>
          <w:lang w:val="en-US" w:eastAsia="zh-CN"/>
        </w:rPr>
        <w:t>加大资金支持力度，</w:t>
      </w:r>
      <w:r>
        <w:rPr>
          <w:rFonts w:hint="eastAsia" w:ascii="Times New Roman" w:hAnsi="Times New Roman"/>
          <w:lang w:val="en-US" w:eastAsia="zh-CN"/>
        </w:rPr>
        <w:t>持续贯彻落实国税总局税收优惠政策，</w:t>
      </w:r>
      <w:r>
        <w:rPr>
          <w:rFonts w:hint="eastAsia" w:ascii="Times New Roman" w:hAnsi="Times New Roman"/>
          <w:b w:val="0"/>
          <w:bCs w:val="0"/>
          <w:lang w:val="en-US" w:eastAsia="zh-CN"/>
        </w:rPr>
        <w:t>积极向上争取外经贸发展专项资金，</w:t>
      </w:r>
      <w:r>
        <w:rPr>
          <w:rFonts w:hint="eastAsia" w:ascii="Times New Roman" w:hAnsi="Times New Roman"/>
          <w:lang w:val="en-US" w:eastAsia="zh-CN"/>
        </w:rPr>
        <w:t>对参加广交会、进博会等重点展会的企业给予</w:t>
      </w:r>
      <w:r>
        <w:rPr>
          <w:rFonts w:hint="eastAsia"/>
          <w:lang w:val="en-US" w:eastAsia="zh-CN"/>
        </w:rPr>
        <w:t>外经贸资金</w:t>
      </w:r>
      <w:r>
        <w:rPr>
          <w:rFonts w:hint="eastAsia" w:ascii="Times New Roman" w:hAnsi="Times New Roman"/>
          <w:lang w:val="en-US" w:eastAsia="zh-CN"/>
        </w:rPr>
        <w:t>补贴。加强全方位外贸企业服务，建立“一对一”外贸服务专员制度，为企业提供报关、报检、物流、退税、结汇、融资、信保等全流程指导。</w:t>
      </w:r>
    </w:p>
    <w:p w14:paraId="0E2D5EC5">
      <w:pPr>
        <w:pStyle w:val="7"/>
        <w:bidi w:val="0"/>
        <w:rPr>
          <w:rFonts w:hint="eastAsia" w:ascii="Times New Roman" w:hAnsi="Times New Roman"/>
          <w:b/>
          <w:color w:val="auto"/>
          <w:lang w:val="en-US" w:eastAsia="zh-CN"/>
        </w:rPr>
      </w:pPr>
      <w:bookmarkStart w:id="86" w:name="_Toc14835"/>
      <w:bookmarkStart w:id="87" w:name="_Toc607"/>
      <w:bookmarkStart w:id="88" w:name="_Toc25970"/>
      <w:bookmarkStart w:id="89" w:name="_Toc27384"/>
      <w:r>
        <w:rPr>
          <w:rFonts w:hint="eastAsia" w:ascii="Times New Roman" w:hAnsi="Times New Roman"/>
          <w:b/>
          <w:color w:val="auto"/>
          <w:lang w:val="en-US" w:eastAsia="zh-CN"/>
        </w:rPr>
        <w:t xml:space="preserve">第二节  </w:t>
      </w:r>
      <w:bookmarkEnd w:id="86"/>
      <w:r>
        <w:rPr>
          <w:rFonts w:hint="eastAsia" w:ascii="Times New Roman" w:hAnsi="Times New Roman"/>
          <w:b/>
          <w:color w:val="auto"/>
          <w:lang w:val="en-US" w:eastAsia="zh-CN"/>
        </w:rPr>
        <w:t>推动旅游业高质量发展</w:t>
      </w:r>
      <w:bookmarkEnd w:id="87"/>
      <w:bookmarkEnd w:id="88"/>
      <w:bookmarkEnd w:id="89"/>
    </w:p>
    <w:p w14:paraId="7C61DC62">
      <w:pPr>
        <w:spacing w:line="560" w:lineRule="exact"/>
        <w:ind w:firstLine="640" w:firstLineChars="200"/>
        <w:rPr>
          <w:rFonts w:hint="eastAsia" w:ascii="Times New Roman" w:hAnsi="Times New Roman" w:eastAsia="方正仿宋_GBK"/>
          <w:b w:val="0"/>
          <w:bCs w:val="0"/>
          <w:color w:val="auto"/>
          <w:sz w:val="32"/>
          <w:szCs w:val="22"/>
          <w:highlight w:val="none"/>
          <w:lang w:val="en-US" w:eastAsia="zh-CN"/>
          <w14:ligatures w14:val="standardContextual"/>
        </w:rPr>
      </w:pPr>
      <w:r>
        <w:rPr>
          <w:rFonts w:hint="eastAsia" w:ascii="Times New Roman" w:hAnsi="Times New Roman"/>
          <w:b/>
          <w:bCs/>
          <w:color w:val="auto"/>
          <w:sz w:val="32"/>
          <w:szCs w:val="22"/>
          <w:highlight w:val="none"/>
          <w:lang w:val="en-US" w:eastAsia="zh-CN"/>
          <w14:ligatures w14:val="standardContextual"/>
        </w:rPr>
        <w:t>打造</w:t>
      </w:r>
      <w:r>
        <w:rPr>
          <w:rFonts w:hint="eastAsia"/>
          <w:b/>
          <w:bCs/>
          <w:color w:val="auto"/>
          <w:sz w:val="32"/>
          <w:szCs w:val="22"/>
          <w:highlight w:val="none"/>
          <w:lang w:val="en-US" w:eastAsia="zh-CN"/>
          <w14:ligatures w14:val="standardContextual"/>
        </w:rPr>
        <w:t>历史文博</w:t>
      </w:r>
      <w:r>
        <w:rPr>
          <w:rFonts w:hint="eastAsia" w:ascii="Times New Roman" w:hAnsi="Times New Roman"/>
          <w:b/>
          <w:bCs/>
          <w:color w:val="auto"/>
          <w:sz w:val="32"/>
          <w:szCs w:val="22"/>
          <w:highlight w:val="none"/>
          <w:lang w:val="en-US" w:eastAsia="zh-CN"/>
          <w14:ligatures w14:val="standardContextual"/>
        </w:rPr>
        <w:t>旅游新高地。</w:t>
      </w:r>
      <w:r>
        <w:rPr>
          <w:rFonts w:hint="eastAsia" w:ascii="Times New Roman" w:hAnsi="Times New Roman"/>
          <w:b w:val="0"/>
          <w:bCs w:val="0"/>
          <w:color w:val="auto"/>
          <w:sz w:val="32"/>
          <w:szCs w:val="22"/>
          <w:highlight w:val="none"/>
          <w:lang w:val="en-US" w:eastAsia="zh-CN"/>
          <w14:ligatures w14:val="standardContextual"/>
        </w:rPr>
        <w:t>以黄龙府“建城史、军事史、文化史”为脉络，建设</w:t>
      </w:r>
      <w:r>
        <w:rPr>
          <w:rFonts w:hint="eastAsia" w:ascii="Times New Roman" w:hAnsi="Times New Roman" w:eastAsia="方正仿宋_GBK"/>
          <w:b w:val="0"/>
          <w:bCs w:val="0"/>
          <w:color w:val="auto"/>
          <w:sz w:val="32"/>
          <w:szCs w:val="22"/>
          <w:highlight w:val="none"/>
          <w:lang w:val="en-US" w:eastAsia="zh-CN"/>
          <w14:ligatures w14:val="standardContextual"/>
        </w:rPr>
        <w:t>文旅资源数据库，确立“中华第一龙+千年辽塔”双核IP，</w:t>
      </w:r>
      <w:r>
        <w:rPr>
          <w:rFonts w:hint="eastAsia" w:ascii="Times New Roman" w:hAnsi="Times New Roman"/>
          <w:b w:val="0"/>
          <w:bCs w:val="0"/>
          <w:color w:val="auto"/>
          <w:sz w:val="32"/>
          <w:szCs w:val="22"/>
          <w:highlight w:val="none"/>
          <w:lang w:val="en-US" w:eastAsia="zh-CN"/>
          <w14:ligatures w14:val="standardContextual"/>
        </w:rPr>
        <w:t>构建“遗址可触、文物可感、文化可体验”的复合型历史游线。</w:t>
      </w:r>
      <w:r>
        <w:rPr>
          <w:rFonts w:hint="eastAsia"/>
          <w:b/>
          <w:bCs/>
          <w:color w:val="auto"/>
          <w:sz w:val="32"/>
          <w:szCs w:val="22"/>
          <w:highlight w:val="none"/>
          <w:lang w:val="en-US" w:eastAsia="zh-CN"/>
          <w14:ligatures w14:val="standardContextual"/>
        </w:rPr>
        <w:t>谋划</w:t>
      </w:r>
      <w:r>
        <w:rPr>
          <w:rFonts w:hint="eastAsia" w:ascii="Times New Roman" w:hAnsi="Times New Roman"/>
          <w:b/>
          <w:bCs/>
          <w:color w:val="auto"/>
          <w:sz w:val="32"/>
          <w:szCs w:val="22"/>
          <w:highlight w:val="none"/>
          <w:lang w:val="en-US" w:eastAsia="zh-CN"/>
          <w14:ligatures w14:val="standardContextual"/>
        </w:rPr>
        <w:t>辽塔</w:t>
      </w:r>
      <w:r>
        <w:rPr>
          <w:rFonts w:hint="eastAsia"/>
          <w:b/>
          <w:bCs/>
          <w:color w:val="auto"/>
          <w:sz w:val="32"/>
          <w:szCs w:val="22"/>
          <w:highlight w:val="none"/>
          <w:lang w:val="en-US" w:eastAsia="zh-CN"/>
          <w14:ligatures w14:val="standardContextual"/>
        </w:rPr>
        <w:t>景区文商旅项目</w:t>
      </w:r>
      <w:r>
        <w:rPr>
          <w:rFonts w:hint="eastAsia" w:ascii="Times New Roman" w:hAnsi="Times New Roman"/>
          <w:b/>
          <w:bCs/>
          <w:color w:val="auto"/>
          <w:sz w:val="32"/>
          <w:szCs w:val="22"/>
          <w:highlight w:val="none"/>
          <w:lang w:val="en-US" w:eastAsia="zh-CN"/>
          <w14:ligatures w14:val="standardContextual"/>
        </w:rPr>
        <w:t>。</w:t>
      </w:r>
      <w:r>
        <w:rPr>
          <w:rFonts w:hint="eastAsia" w:ascii="Times New Roman" w:hAnsi="Times New Roman" w:eastAsia="方正仿宋_GBK"/>
          <w:b w:val="0"/>
          <w:bCs w:val="0"/>
          <w:color w:val="auto"/>
          <w:sz w:val="32"/>
          <w:szCs w:val="22"/>
          <w:highlight w:val="none"/>
          <w:lang w:val="en-US" w:eastAsia="zh-CN"/>
          <w14:ligatures w14:val="standardContextual"/>
        </w:rPr>
        <w:t>加快推进辽塔景区文商旅项目，围绕打造“黄龙府不夜城”核心地标，对辽塔</w:t>
      </w:r>
      <w:r>
        <w:rPr>
          <w:rFonts w:hint="eastAsia"/>
          <w:b w:val="0"/>
          <w:bCs w:val="0"/>
          <w:color w:val="auto"/>
          <w:sz w:val="32"/>
          <w:szCs w:val="22"/>
          <w:highlight w:val="none"/>
          <w:lang w:val="en-US" w:eastAsia="zh-CN"/>
          <w14:ligatures w14:val="standardContextual"/>
        </w:rPr>
        <w:t>游园</w:t>
      </w:r>
      <w:r>
        <w:rPr>
          <w:rFonts w:hint="eastAsia" w:ascii="Times New Roman" w:hAnsi="Times New Roman" w:eastAsia="方正仿宋_GBK"/>
          <w:b w:val="0"/>
          <w:bCs w:val="0"/>
          <w:color w:val="auto"/>
          <w:sz w:val="32"/>
          <w:szCs w:val="22"/>
          <w:highlight w:val="none"/>
          <w:lang w:val="en-US" w:eastAsia="zh-CN"/>
          <w14:ligatures w14:val="standardContextual"/>
        </w:rPr>
        <w:t>实施高品质、沉浸式夜游与文旅体验提升工程。</w:t>
      </w:r>
      <w:r>
        <w:rPr>
          <w:rFonts w:hint="eastAsia" w:ascii="Times New Roman" w:hAnsi="Times New Roman"/>
          <w:b/>
          <w:bCs/>
          <w:color w:val="auto"/>
          <w:sz w:val="32"/>
          <w:szCs w:val="22"/>
          <w:highlight w:val="none"/>
          <w:lang w:val="en-US" w:eastAsia="zh-CN"/>
          <w14:ligatures w14:val="standardContextual"/>
        </w:rPr>
        <w:t>加快</w:t>
      </w:r>
      <w:r>
        <w:rPr>
          <w:rFonts w:hint="eastAsia" w:ascii="Times New Roman" w:hAnsi="Times New Roman" w:eastAsia="方正仿宋_GBK"/>
          <w:b/>
          <w:bCs/>
          <w:color w:val="auto"/>
          <w:sz w:val="32"/>
          <w:szCs w:val="22"/>
          <w:highlight w:val="none"/>
          <w:lang w:val="en-US" w:eastAsia="zh-CN"/>
          <w14:ligatures w14:val="standardContextual"/>
        </w:rPr>
        <w:t>文创产品开发</w:t>
      </w:r>
      <w:r>
        <w:rPr>
          <w:rFonts w:hint="eastAsia" w:ascii="Times New Roman" w:hAnsi="Times New Roman"/>
          <w:b/>
          <w:bCs/>
          <w:color w:val="auto"/>
          <w:sz w:val="32"/>
          <w:szCs w:val="22"/>
          <w:highlight w:val="none"/>
          <w:lang w:val="en-US" w:eastAsia="zh-CN"/>
          <w14:ligatures w14:val="standardContextual"/>
        </w:rPr>
        <w:t>。</w:t>
      </w:r>
      <w:r>
        <w:rPr>
          <w:rFonts w:hint="eastAsia" w:ascii="Times New Roman" w:hAnsi="Times New Roman"/>
          <w:b w:val="0"/>
          <w:bCs w:val="0"/>
          <w:color w:val="auto"/>
          <w:sz w:val="32"/>
          <w:szCs w:val="22"/>
          <w:highlight w:val="none"/>
          <w:lang w:val="en-US" w:eastAsia="zh-CN"/>
          <w14:ligatures w14:val="standardContextual"/>
        </w:rPr>
        <w:t>以</w:t>
      </w:r>
      <w:r>
        <w:rPr>
          <w:rFonts w:hint="eastAsia" w:ascii="Times New Roman" w:hAnsi="Times New Roman" w:eastAsia="方正仿宋_GBK"/>
          <w:b w:val="0"/>
          <w:bCs w:val="0"/>
          <w:color w:val="auto"/>
          <w:sz w:val="32"/>
          <w:szCs w:val="22"/>
          <w:highlight w:val="none"/>
          <w:lang w:val="en-US" w:eastAsia="zh-CN"/>
          <w14:ligatures w14:val="standardContextual"/>
        </w:rPr>
        <w:t>黄龙文化</w:t>
      </w:r>
      <w:r>
        <w:rPr>
          <w:rFonts w:hint="eastAsia" w:ascii="Times New Roman" w:hAnsi="Times New Roman"/>
          <w:b w:val="0"/>
          <w:bCs w:val="0"/>
          <w:color w:val="auto"/>
          <w:sz w:val="32"/>
          <w:szCs w:val="22"/>
          <w:highlight w:val="none"/>
          <w:lang w:val="en-US" w:eastAsia="zh-CN"/>
          <w14:ligatures w14:val="standardContextual"/>
        </w:rPr>
        <w:t>为</w:t>
      </w:r>
      <w:r>
        <w:rPr>
          <w:rFonts w:hint="eastAsia" w:ascii="Times New Roman" w:hAnsi="Times New Roman" w:eastAsia="方正仿宋_GBK"/>
          <w:b w:val="0"/>
          <w:bCs w:val="0"/>
          <w:color w:val="auto"/>
          <w:sz w:val="32"/>
          <w:szCs w:val="22"/>
          <w:highlight w:val="none"/>
          <w:lang w:val="en-US" w:eastAsia="zh-CN"/>
          <w14:ligatures w14:val="standardContextual"/>
        </w:rPr>
        <w:t>主题</w:t>
      </w:r>
      <w:r>
        <w:rPr>
          <w:rFonts w:hint="eastAsia" w:ascii="Times New Roman" w:hAnsi="Times New Roman"/>
          <w:b w:val="0"/>
          <w:bCs w:val="0"/>
          <w:color w:val="auto"/>
          <w:sz w:val="32"/>
          <w:szCs w:val="22"/>
          <w:highlight w:val="none"/>
          <w:lang w:val="en-US" w:eastAsia="zh-CN"/>
          <w14:ligatures w14:val="standardContextual"/>
        </w:rPr>
        <w:t>，聚焦本、书签、钢笔、便笺纸等文具类，创意摆件、挂画、灯饰、冰箱贴等家居装饰类，T恤、丝巾、手链、耳环等服饰配饰类，盲盒、手办、拼图等玩具类，特色工艺品、纪念币、钥匙扣等旅游纪念品类，开发文化创意产品，推出具有农安历史文化特色的旅游伴手礼。</w:t>
      </w:r>
      <w:r>
        <w:rPr>
          <w:rFonts w:hint="eastAsia" w:ascii="Times New Roman" w:hAnsi="Times New Roman"/>
          <w:b/>
          <w:bCs/>
          <w:color w:val="auto"/>
          <w:sz w:val="32"/>
          <w:szCs w:val="22"/>
          <w:highlight w:val="none"/>
          <w:lang w:val="en-US" w:eastAsia="zh-CN"/>
          <w14:ligatures w14:val="standardContextual"/>
        </w:rPr>
        <w:t>策划文旅主题活动。</w:t>
      </w:r>
      <w:r>
        <w:rPr>
          <w:rFonts w:hint="eastAsia" w:ascii="Times New Roman" w:hAnsi="Times New Roman" w:eastAsia="方正仿宋_GBK"/>
          <w:b w:val="0"/>
          <w:bCs w:val="0"/>
          <w:color w:val="auto"/>
          <w:sz w:val="32"/>
          <w:szCs w:val="22"/>
          <w:highlight w:val="none"/>
          <w:lang w:val="en-US" w:eastAsia="zh-CN"/>
          <w14:ligatures w14:val="standardContextual"/>
        </w:rPr>
        <w:t>依托</w:t>
      </w:r>
      <w:r>
        <w:rPr>
          <w:rFonts w:hint="eastAsia"/>
          <w:b w:val="0"/>
          <w:bCs w:val="0"/>
          <w:color w:val="auto"/>
          <w:sz w:val="32"/>
          <w:szCs w:val="22"/>
          <w:highlight w:val="none"/>
          <w:lang w:val="en-US" w:eastAsia="zh-CN"/>
          <w14:ligatures w14:val="standardContextual"/>
        </w:rPr>
        <w:t>春节、五·一、5·19</w:t>
      </w:r>
      <w:r>
        <w:rPr>
          <w:rFonts w:hint="eastAsia" w:ascii="Times New Roman" w:hAnsi="Times New Roman" w:eastAsia="方正仿宋_GBK"/>
          <w:b w:val="0"/>
          <w:bCs w:val="0"/>
          <w:color w:val="auto"/>
          <w:sz w:val="32"/>
          <w:szCs w:val="22"/>
          <w:highlight w:val="none"/>
          <w:lang w:val="en-US" w:eastAsia="zh-CN"/>
          <w14:ligatures w14:val="standardContextual"/>
        </w:rPr>
        <w:t>中国旅游日</w:t>
      </w:r>
      <w:r>
        <w:rPr>
          <w:rFonts w:hint="eastAsia"/>
          <w:b w:val="0"/>
          <w:bCs w:val="0"/>
          <w:color w:val="auto"/>
          <w:sz w:val="32"/>
          <w:szCs w:val="22"/>
          <w:highlight w:val="none"/>
          <w:lang w:val="en-US" w:eastAsia="zh-CN"/>
          <w14:ligatures w14:val="standardContextual"/>
        </w:rPr>
        <w:t>等</w:t>
      </w:r>
      <w:r>
        <w:rPr>
          <w:rFonts w:hint="eastAsia" w:ascii="Times New Roman" w:hAnsi="Times New Roman" w:eastAsia="方正仿宋_GBK"/>
          <w:b w:val="0"/>
          <w:bCs w:val="0"/>
          <w:color w:val="auto"/>
          <w:sz w:val="32"/>
          <w:szCs w:val="22"/>
          <w:highlight w:val="none"/>
          <w:lang w:val="en-US" w:eastAsia="zh-CN"/>
          <w14:ligatures w14:val="standardContextual"/>
        </w:rPr>
        <w:t>节庆假日，举办“黄龙民俗嘉年华”</w:t>
      </w:r>
      <w:r>
        <w:rPr>
          <w:rFonts w:hint="eastAsia"/>
          <w:b w:val="0"/>
          <w:bCs w:val="0"/>
          <w:color w:val="auto"/>
          <w:sz w:val="32"/>
          <w:szCs w:val="22"/>
          <w:highlight w:val="none"/>
          <w:lang w:val="en-US" w:eastAsia="zh-CN"/>
          <w14:ligatures w14:val="standardContextual"/>
        </w:rPr>
        <w:t>、</w:t>
      </w:r>
      <w:r>
        <w:rPr>
          <w:rFonts w:hint="eastAsia" w:ascii="Times New Roman" w:hAnsi="Times New Roman" w:eastAsia="方正仿宋_GBK"/>
          <w:b w:val="0"/>
          <w:bCs w:val="0"/>
          <w:color w:val="auto"/>
          <w:sz w:val="32"/>
          <w:szCs w:val="22"/>
          <w:highlight w:val="none"/>
          <w:lang w:val="en-US" w:eastAsia="zh-CN"/>
          <w14:ligatures w14:val="standardContextual"/>
        </w:rPr>
        <w:t>非遗文化展演、剪纸工艺坊、秧歌互动课</w:t>
      </w:r>
      <w:r>
        <w:rPr>
          <w:rFonts w:hint="eastAsia"/>
          <w:b w:val="0"/>
          <w:bCs w:val="0"/>
          <w:color w:val="auto"/>
          <w:sz w:val="32"/>
          <w:szCs w:val="22"/>
          <w:highlight w:val="none"/>
          <w:lang w:val="en-US" w:eastAsia="zh-CN"/>
          <w14:ligatures w14:val="standardContextual"/>
        </w:rPr>
        <w:t>、</w:t>
      </w:r>
      <w:r>
        <w:rPr>
          <w:rFonts w:hint="eastAsia" w:ascii="Times New Roman" w:hAnsi="Times New Roman" w:eastAsia="方正仿宋_GBK"/>
          <w:b w:val="0"/>
          <w:bCs w:val="0"/>
          <w:color w:val="auto"/>
          <w:sz w:val="32"/>
          <w:szCs w:val="22"/>
          <w:highlight w:val="none"/>
          <w:lang w:val="en-US" w:eastAsia="zh-CN"/>
          <w14:ligatures w14:val="standardContextual"/>
        </w:rPr>
        <w:t>主题打卡联动</w:t>
      </w:r>
      <w:r>
        <w:rPr>
          <w:rFonts w:hint="eastAsia"/>
          <w:b w:val="0"/>
          <w:bCs w:val="0"/>
          <w:color w:val="auto"/>
          <w:sz w:val="32"/>
          <w:szCs w:val="22"/>
          <w:highlight w:val="none"/>
          <w:lang w:val="en-US" w:eastAsia="zh-CN"/>
          <w14:ligatures w14:val="standardContextual"/>
        </w:rPr>
        <w:t>等活动；</w:t>
      </w:r>
      <w:r>
        <w:rPr>
          <w:rFonts w:hint="eastAsia" w:ascii="Times New Roman" w:hAnsi="Times New Roman" w:eastAsia="方正仿宋_GBK"/>
          <w:b w:val="0"/>
          <w:bCs w:val="0"/>
          <w:color w:val="auto"/>
          <w:sz w:val="32"/>
          <w:szCs w:val="22"/>
          <w:highlight w:val="none"/>
          <w:lang w:val="en-US" w:eastAsia="zh-CN"/>
          <w14:ligatures w14:val="standardContextual"/>
        </w:rPr>
        <w:t>以博物馆为载体打造非遗与辽金文物联动展、开设文物主题非遗体验课和文化科普宣讲</w:t>
      </w:r>
      <w:r>
        <w:rPr>
          <w:rFonts w:hint="eastAsia"/>
          <w:b w:val="0"/>
          <w:bCs w:val="0"/>
          <w:color w:val="auto"/>
          <w:sz w:val="32"/>
          <w:szCs w:val="22"/>
          <w:highlight w:val="none"/>
          <w:lang w:val="en-US" w:eastAsia="zh-CN"/>
          <w14:ligatures w14:val="standardContextual"/>
        </w:rPr>
        <w:t>；</w:t>
      </w:r>
      <w:r>
        <w:rPr>
          <w:rFonts w:hint="eastAsia" w:ascii="Times New Roman" w:hAnsi="Times New Roman" w:eastAsia="方正仿宋_GBK"/>
          <w:b w:val="0"/>
          <w:bCs w:val="0"/>
          <w:color w:val="auto"/>
          <w:sz w:val="32"/>
          <w:szCs w:val="22"/>
          <w:highlight w:val="none"/>
          <w:lang w:val="en-US" w:eastAsia="zh-CN"/>
          <w14:ligatures w14:val="standardContextual"/>
        </w:rPr>
        <w:t>立足冰雪资源举办雪地演唱会、雪地趣味运动会、冰雪创作营。</w:t>
      </w:r>
    </w:p>
    <w:p w14:paraId="671AA17F">
      <w:pPr>
        <w:spacing w:line="560" w:lineRule="exact"/>
        <w:ind w:firstLine="640" w:firstLineChars="200"/>
        <w:rPr>
          <w:rFonts w:hint="default" w:ascii="Times New Roman" w:hAnsi="Times New Roman" w:eastAsia="方正仿宋_GBK"/>
          <w:b w:val="0"/>
          <w:bCs w:val="0"/>
          <w:color w:val="auto"/>
          <w:sz w:val="32"/>
          <w:szCs w:val="22"/>
          <w:highlight w:val="none"/>
          <w:lang w:val="en-US" w:eastAsia="zh-CN"/>
          <w14:ligatures w14:val="standardContextual"/>
        </w:rPr>
      </w:pPr>
      <w:r>
        <w:rPr>
          <w:rFonts w:hint="eastAsia" w:ascii="Times New Roman" w:hAnsi="Times New Roman" w:eastAsia="方正仿宋_GBK"/>
          <w:b/>
          <w:bCs/>
          <w:color w:val="auto"/>
          <w:sz w:val="32"/>
          <w:szCs w:val="22"/>
          <w:highlight w:val="none"/>
          <w:lang w:val="en-US" w:eastAsia="zh-CN"/>
          <w14:ligatures w14:val="standardContextual"/>
        </w:rPr>
        <w:t>构建生态</w:t>
      </w:r>
      <w:r>
        <w:rPr>
          <w:rFonts w:hint="eastAsia"/>
          <w:b/>
          <w:bCs/>
          <w:color w:val="auto"/>
          <w:sz w:val="32"/>
          <w:szCs w:val="22"/>
          <w:highlight w:val="none"/>
          <w:lang w:val="en-US" w:eastAsia="zh-CN"/>
          <w14:ligatures w14:val="standardContextual"/>
        </w:rPr>
        <w:t>度假</w:t>
      </w:r>
      <w:r>
        <w:rPr>
          <w:rFonts w:hint="eastAsia" w:ascii="Times New Roman" w:hAnsi="Times New Roman" w:eastAsia="方正仿宋_GBK"/>
          <w:b/>
          <w:bCs/>
          <w:color w:val="auto"/>
          <w:sz w:val="32"/>
          <w:szCs w:val="22"/>
          <w:highlight w:val="none"/>
          <w:lang w:val="en-US" w:eastAsia="zh-CN"/>
          <w14:ligatures w14:val="standardContextual"/>
        </w:rPr>
        <w:t>旅游新格局</w:t>
      </w:r>
      <w:r>
        <w:rPr>
          <w:rFonts w:hint="eastAsia"/>
          <w:b/>
          <w:bCs/>
          <w:color w:val="auto"/>
          <w:sz w:val="32"/>
          <w:szCs w:val="22"/>
          <w:highlight w:val="none"/>
          <w:lang w:val="en-US" w:eastAsia="zh-CN"/>
          <w14:ligatures w14:val="standardContextual"/>
        </w:rPr>
        <w:t>。</w:t>
      </w:r>
      <w:r>
        <w:rPr>
          <w:rFonts w:hint="eastAsia" w:ascii="Times New Roman" w:hAnsi="Times New Roman" w:eastAsia="方正仿宋_GBK"/>
          <w:b w:val="0"/>
          <w:bCs w:val="0"/>
          <w:color w:val="auto"/>
          <w:sz w:val="32"/>
          <w:szCs w:val="22"/>
          <w:highlight w:val="none"/>
          <w:lang w:val="en-US" w:eastAsia="zh-CN"/>
          <w14:ligatures w14:val="standardContextual"/>
        </w:rPr>
        <w:t>立足农安县生态资源禀赋，以波罗湖、太平池为两大生态核心，统筹打造四季旅游产品体系：春季聚焦湿地生态观光，串联“观鸟+赏花”主题产品；夏季重点布局生态休闲业态，配套避暑、研学及户外体验项目；秋季围绕自然生态体验，联动郊野休闲节点拓展产品类型；冬季挖掘冰雪生态价值，融合生态科普培育特色产品。通过优化四季产品供给结构，聚力塑造“春赏花、夏避暑、秋观叶、冬</w:t>
      </w:r>
      <w:r>
        <w:rPr>
          <w:rFonts w:hint="eastAsia"/>
          <w:b w:val="0"/>
          <w:bCs w:val="0"/>
          <w:color w:val="auto"/>
          <w:sz w:val="32"/>
          <w:szCs w:val="22"/>
          <w:highlight w:val="none"/>
          <w:lang w:val="en-US" w:eastAsia="zh-CN"/>
          <w14:ligatures w14:val="standardContextual"/>
        </w:rPr>
        <w:t>玩</w:t>
      </w:r>
      <w:r>
        <w:rPr>
          <w:rFonts w:hint="eastAsia" w:ascii="Times New Roman" w:hAnsi="Times New Roman" w:eastAsia="方正仿宋_GBK"/>
          <w:b w:val="0"/>
          <w:bCs w:val="0"/>
          <w:color w:val="auto"/>
          <w:sz w:val="32"/>
          <w:szCs w:val="22"/>
          <w:highlight w:val="none"/>
          <w:lang w:val="en-US" w:eastAsia="zh-CN"/>
          <w14:ligatures w14:val="standardContextual"/>
        </w:rPr>
        <w:t>雪” 的农安生态旅游特色品牌，推动生态资源向旅游产品转化，为生态旅游高质量发展提供新支撑</w:t>
      </w:r>
      <w:r>
        <w:rPr>
          <w:rFonts w:hint="eastAsia"/>
          <w:b w:val="0"/>
          <w:bCs w:val="0"/>
          <w:color w:val="auto"/>
          <w:sz w:val="32"/>
          <w:szCs w:val="22"/>
          <w:highlight w:val="none"/>
          <w:lang w:val="en-US" w:eastAsia="zh-CN"/>
          <w14:ligatures w14:val="standardContextual"/>
        </w:rPr>
        <w:t>。</w:t>
      </w:r>
    </w:p>
    <w:p w14:paraId="29FC9ACD">
      <w:pPr>
        <w:spacing w:line="560" w:lineRule="exact"/>
        <w:ind w:firstLine="640" w:firstLineChars="200"/>
        <w:rPr>
          <w:rFonts w:hint="eastAsia" w:ascii="Times New Roman" w:hAnsi="Times New Roman" w:eastAsia="方正仿宋_GBK"/>
          <w:b w:val="0"/>
          <w:bCs w:val="0"/>
          <w:color w:val="auto"/>
          <w:sz w:val="32"/>
          <w:szCs w:val="22"/>
          <w:highlight w:val="none"/>
          <w:lang w:val="en-US" w:eastAsia="zh-CN"/>
          <w14:ligatures w14:val="standardContextual"/>
        </w:rPr>
      </w:pPr>
      <w:r>
        <w:rPr>
          <w:rFonts w:hint="eastAsia" w:ascii="Times New Roman" w:hAnsi="Times New Roman" w:eastAsia="方正仿宋_GBK"/>
          <w:b/>
          <w:bCs/>
          <w:color w:val="auto"/>
          <w:sz w:val="32"/>
          <w:szCs w:val="22"/>
          <w:highlight w:val="none"/>
          <w:lang w:val="en-US" w:eastAsia="zh-CN"/>
          <w14:ligatures w14:val="standardContextual"/>
        </w:rPr>
        <w:t>开创</w:t>
      </w:r>
      <w:r>
        <w:rPr>
          <w:rFonts w:hint="eastAsia"/>
          <w:b/>
          <w:bCs/>
          <w:color w:val="auto"/>
          <w:sz w:val="32"/>
          <w:szCs w:val="22"/>
          <w:highlight w:val="none"/>
          <w:lang w:val="en-US" w:eastAsia="zh-CN"/>
          <w14:ligatures w14:val="standardContextual"/>
        </w:rPr>
        <w:t>农业休闲</w:t>
      </w:r>
      <w:r>
        <w:rPr>
          <w:rFonts w:hint="eastAsia" w:ascii="Times New Roman" w:hAnsi="Times New Roman" w:eastAsia="方正仿宋_GBK"/>
          <w:b/>
          <w:bCs/>
          <w:color w:val="auto"/>
          <w:sz w:val="32"/>
          <w:szCs w:val="22"/>
          <w:highlight w:val="none"/>
          <w:lang w:val="en-US" w:eastAsia="zh-CN"/>
          <w14:ligatures w14:val="standardContextual"/>
        </w:rPr>
        <w:t>旅游新局面。</w:t>
      </w:r>
      <w:r>
        <w:rPr>
          <w:rFonts w:hint="eastAsia" w:ascii="Times New Roman" w:hAnsi="Times New Roman" w:eastAsia="方正仿宋_GBK"/>
          <w:b w:val="0"/>
          <w:bCs w:val="0"/>
          <w:color w:val="auto"/>
          <w:sz w:val="32"/>
          <w:szCs w:val="22"/>
          <w:highlight w:val="none"/>
          <w:lang w:val="en-US" w:eastAsia="zh-CN"/>
          <w14:ligatures w14:val="standardContextual"/>
        </w:rPr>
        <w:t>重点打造“三带五区”乡村旅游</w:t>
      </w:r>
      <w:r>
        <w:rPr>
          <w:rFonts w:hint="eastAsia" w:ascii="Times New Roman" w:hAnsi="Times New Roman"/>
          <w:b w:val="0"/>
          <w:bCs w:val="0"/>
          <w:color w:val="auto"/>
          <w:sz w:val="32"/>
          <w:szCs w:val="22"/>
          <w:highlight w:val="none"/>
          <w:lang w:val="en-US" w:eastAsia="zh-CN"/>
          <w14:ligatures w14:val="standardContextual"/>
        </w:rPr>
        <w:t>格局</w:t>
      </w:r>
      <w:r>
        <w:rPr>
          <w:rFonts w:hint="eastAsia" w:ascii="Times New Roman" w:hAnsi="Times New Roman" w:eastAsia="方正仿宋_GBK"/>
          <w:b w:val="0"/>
          <w:bCs w:val="0"/>
          <w:color w:val="auto"/>
          <w:sz w:val="32"/>
          <w:szCs w:val="22"/>
          <w:highlight w:val="none"/>
          <w:lang w:val="en-US" w:eastAsia="zh-CN"/>
          <w14:ligatures w14:val="standardContextual"/>
        </w:rPr>
        <w:t>，沿302国道建设都市农业体验带，依托湿地资源打造康养休闲带，串联特色乡镇形成产业融合带；建设合隆镇都市近郊休闲区、前岗乡辽金文化体验区、小城子乡山水农旅融合区、黄鱼圈乡稻田观光区、巴吉垒肉牛主题体验区等五大功能区。突出体验经济赋能，培育“观光+采摘+农事体验+研学教育+文化创意”复合型产品体系，开发农耕文明体验园、肉牛牧场互动教学、珠葱种植亲子工坊等沉浸式体验项目，推出四季主题旅游线路，培育乡村旅游精品村。</w:t>
      </w:r>
    </w:p>
    <w:p w14:paraId="317C7810">
      <w:pPr>
        <w:spacing w:line="560" w:lineRule="exact"/>
        <w:ind w:firstLine="640" w:firstLineChars="200"/>
        <w:rPr>
          <w:rFonts w:hint="eastAsia" w:ascii="Times New Roman" w:hAnsi="Times New Roman" w:eastAsia="方正仿宋_GBK"/>
          <w:b w:val="0"/>
          <w:bCs w:val="0"/>
          <w:color w:val="auto"/>
          <w:sz w:val="32"/>
          <w:szCs w:val="22"/>
          <w:highlight w:val="none"/>
          <w:lang w:val="en-US" w:eastAsia="zh-CN"/>
          <w14:ligatures w14:val="standardContextual"/>
        </w:rPr>
      </w:pPr>
      <w:r>
        <w:rPr>
          <w:rFonts w:hint="eastAsia" w:ascii="Times New Roman" w:hAnsi="Times New Roman" w:eastAsia="方正仿宋_GBK"/>
          <w:b/>
          <w:bCs/>
          <w:color w:val="auto"/>
          <w:sz w:val="32"/>
          <w:szCs w:val="22"/>
          <w:highlight w:val="none"/>
          <w:lang w:val="en-US" w:eastAsia="zh-CN"/>
          <w14:ligatures w14:val="standardContextual"/>
        </w:rPr>
        <w:t>打造</w:t>
      </w:r>
      <w:r>
        <w:rPr>
          <w:rFonts w:hint="eastAsia"/>
          <w:b/>
          <w:bCs/>
          <w:color w:val="auto"/>
          <w:sz w:val="32"/>
          <w:szCs w:val="22"/>
          <w:highlight w:val="none"/>
          <w:lang w:val="en-US" w:eastAsia="zh-CN"/>
          <w14:ligatures w14:val="standardContextual"/>
        </w:rPr>
        <w:t>红色研学</w:t>
      </w:r>
      <w:r>
        <w:rPr>
          <w:rFonts w:hint="eastAsia" w:ascii="Times New Roman" w:hAnsi="Times New Roman" w:eastAsia="方正仿宋_GBK"/>
          <w:b/>
          <w:bCs/>
          <w:color w:val="auto"/>
          <w:sz w:val="32"/>
          <w:szCs w:val="22"/>
          <w:highlight w:val="none"/>
          <w:lang w:val="en-US" w:eastAsia="zh-CN"/>
          <w14:ligatures w14:val="standardContextual"/>
        </w:rPr>
        <w:t>旅游新标杆。</w:t>
      </w:r>
      <w:r>
        <w:rPr>
          <w:rFonts w:hint="eastAsia" w:ascii="Times New Roman" w:hAnsi="Times New Roman" w:eastAsia="方正仿宋_GBK"/>
          <w:b w:val="0"/>
          <w:bCs w:val="0"/>
          <w:color w:val="auto"/>
          <w:sz w:val="32"/>
          <w:szCs w:val="22"/>
          <w:highlight w:val="none"/>
          <w:lang w:val="en-US" w:eastAsia="zh-CN"/>
          <w14:ligatures w14:val="standardContextual"/>
        </w:rPr>
        <w:t>以“何当痛饮黄龙府”精神内核为引领，升级核心红色遗址研学配套，打造红色文化展示、革命精神传承、沉浸式研学体验三大核心载体，同步在重点乡镇布局2-3处红色教育微阵地，形成“核心引领、多点辐射”空间格局；深耕红色文化IP，建设2家红色主题展馆、研发5套特色研学课程，推出3条精品红色研学路线，联动省市级研学交流活动，开展红色宣讲活动；整合红色资源与地域文化，培育6类红色文创产品，年吸引6000名青少年参与，争取打造省级红色教育研学基地，年接待研学游客超5万人次。</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9D8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F1F1F1"/>
          </w:tcPr>
          <w:p w14:paraId="1EC301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firstLine="0" w:firstLineChars="0"/>
              <w:jc w:val="center"/>
              <w:textAlignment w:val="auto"/>
              <w:rPr>
                <w:rFonts w:hint="eastAsia" w:ascii="Times New Roman" w:hAnsi="Times New Roman" w:cs="宋体"/>
                <w:color w:val="auto"/>
                <w:sz w:val="28"/>
                <w:szCs w:val="28"/>
              </w:rPr>
            </w:pPr>
            <w:r>
              <w:rPr>
                <w:rFonts w:hint="eastAsia" w:ascii="Times New Roman" w:hAnsi="Times New Roman" w:cs="宋体"/>
                <w:b/>
                <w:bCs/>
                <w:color w:val="auto"/>
                <w:sz w:val="28"/>
                <w:szCs w:val="28"/>
              </w:rPr>
              <w:t>专栏</w:t>
            </w:r>
            <w:r>
              <w:rPr>
                <w:rFonts w:hint="eastAsia" w:ascii="Times New Roman" w:hAnsi="Times New Roman" w:cs="宋体"/>
                <w:b/>
                <w:bCs/>
                <w:color w:val="auto"/>
                <w:sz w:val="28"/>
                <w:szCs w:val="28"/>
                <w:lang w:val="en-US" w:eastAsia="zh-CN"/>
              </w:rPr>
              <w:t>8 旅游业重点工程</w:t>
            </w:r>
          </w:p>
        </w:tc>
      </w:tr>
      <w:tr w14:paraId="0E68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E00B57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Times New Roman" w:hAnsi="Times New Roman" w:cs="宋体"/>
                <w:b w:val="0"/>
                <w:bCs w:val="0"/>
                <w:color w:val="auto"/>
                <w:sz w:val="28"/>
                <w:szCs w:val="28"/>
                <w:highlight w:val="none"/>
                <w:lang w:val="en-US" w:eastAsia="zh-CN"/>
              </w:rPr>
            </w:pPr>
            <w:r>
              <w:rPr>
                <w:rFonts w:hint="eastAsia" w:ascii="Times New Roman" w:hAnsi="Times New Roman" w:cs="宋体"/>
                <w:b/>
                <w:bCs/>
                <w:color w:val="auto"/>
                <w:sz w:val="28"/>
                <w:szCs w:val="28"/>
                <w:highlight w:val="none"/>
                <w:lang w:val="en-US" w:eastAsia="zh-CN"/>
              </w:rPr>
              <w:t>历史文博游</w:t>
            </w:r>
            <w:r>
              <w:rPr>
                <w:rFonts w:hint="eastAsia" w:cs="宋体"/>
                <w:b/>
                <w:bCs/>
                <w:color w:val="auto"/>
                <w:sz w:val="28"/>
                <w:szCs w:val="28"/>
                <w:highlight w:val="none"/>
                <w:lang w:val="en-US" w:eastAsia="zh-CN"/>
              </w:rPr>
              <w:t>：</w:t>
            </w:r>
            <w:r>
              <w:rPr>
                <w:rFonts w:hint="eastAsia" w:ascii="Times New Roman" w:hAnsi="Times New Roman" w:cs="宋体"/>
                <w:b w:val="0"/>
                <w:bCs w:val="0"/>
                <w:color w:val="auto"/>
                <w:sz w:val="28"/>
                <w:szCs w:val="28"/>
                <w:highlight w:val="none"/>
                <w:lang w:val="en-US" w:eastAsia="zh-CN"/>
              </w:rPr>
              <w:t>以辽塔、农安县博物馆、辽金时代文化园为核心，构建1条</w:t>
            </w:r>
            <w:r>
              <w:rPr>
                <w:rFonts w:hint="eastAsia" w:cs="宋体"/>
                <w:b w:val="0"/>
                <w:bCs w:val="0"/>
                <w:color w:val="auto"/>
                <w:sz w:val="28"/>
                <w:szCs w:val="28"/>
                <w:highlight w:val="none"/>
                <w:lang w:val="en-US" w:eastAsia="zh-CN"/>
              </w:rPr>
              <w:t>“</w:t>
            </w:r>
            <w:r>
              <w:rPr>
                <w:rFonts w:hint="eastAsia" w:ascii="Times New Roman" w:hAnsi="Times New Roman" w:cs="宋体"/>
                <w:b w:val="0"/>
                <w:bCs w:val="0"/>
                <w:color w:val="auto"/>
                <w:sz w:val="28"/>
                <w:szCs w:val="28"/>
                <w:highlight w:val="none"/>
                <w:lang w:val="en-US" w:eastAsia="zh-CN"/>
              </w:rPr>
              <w:t>可触可感可体验”的复合型历史游线；开发辽金主题沉浸体验项目5个以上，推出黄龙府文化主题文创产品10款，年接待历史文博类游客超20万人次。</w:t>
            </w:r>
          </w:p>
          <w:p w14:paraId="1E003FA6">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Times New Roman" w:hAnsi="Times New Roman" w:cs="宋体"/>
                <w:b/>
                <w:bCs/>
                <w:color w:val="auto"/>
                <w:sz w:val="28"/>
                <w:szCs w:val="28"/>
                <w:highlight w:val="none"/>
                <w:lang w:val="en-US" w:eastAsia="zh-CN"/>
              </w:rPr>
            </w:pPr>
            <w:r>
              <w:rPr>
                <w:rFonts w:hint="eastAsia" w:ascii="Times New Roman" w:hAnsi="Times New Roman" w:cs="宋体"/>
                <w:b/>
                <w:bCs/>
                <w:color w:val="auto"/>
                <w:sz w:val="28"/>
                <w:szCs w:val="28"/>
                <w:highlight w:val="none"/>
                <w:lang w:val="en-US" w:eastAsia="zh-CN"/>
              </w:rPr>
              <w:t>生态度假游：</w:t>
            </w:r>
            <w:r>
              <w:rPr>
                <w:rFonts w:hint="eastAsia" w:ascii="Times New Roman" w:hAnsi="Times New Roman" w:cs="宋体"/>
                <w:b w:val="0"/>
                <w:bCs w:val="0"/>
                <w:color w:val="auto"/>
                <w:sz w:val="28"/>
                <w:szCs w:val="28"/>
                <w:highlight w:val="none"/>
                <w:lang w:val="en-US" w:eastAsia="zh-CN"/>
              </w:rPr>
              <w:t>重点推进太平池旅游度假区提质、波罗湖生态旅游区升级，串联形成特色生态度假廊道；聚焦湿地研学、户外度假业态培育，打造区域知名生态旅游集群，年接待游客超30万人次，带动周边餐饮住宿消费增长30%。</w:t>
            </w:r>
          </w:p>
          <w:p w14:paraId="714DEBB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Times New Roman" w:hAnsi="Times New Roman" w:cs="宋体"/>
                <w:b w:val="0"/>
                <w:bCs w:val="0"/>
                <w:color w:val="auto"/>
                <w:sz w:val="28"/>
                <w:szCs w:val="28"/>
                <w:highlight w:val="none"/>
                <w:lang w:val="en-US" w:eastAsia="zh-CN"/>
              </w:rPr>
            </w:pPr>
            <w:r>
              <w:rPr>
                <w:rFonts w:hint="eastAsia" w:ascii="Times New Roman" w:hAnsi="Times New Roman" w:cs="宋体"/>
                <w:b/>
                <w:bCs/>
                <w:color w:val="auto"/>
                <w:sz w:val="28"/>
                <w:szCs w:val="28"/>
                <w:highlight w:val="none"/>
                <w:lang w:val="en-US" w:eastAsia="zh-CN"/>
              </w:rPr>
              <w:t>农业休闲游：</w:t>
            </w:r>
            <w:r>
              <w:rPr>
                <w:rFonts w:hint="eastAsia" w:ascii="Times New Roman" w:hAnsi="Times New Roman" w:cs="宋体"/>
                <w:b w:val="0"/>
                <w:bCs w:val="0"/>
                <w:color w:val="auto"/>
                <w:sz w:val="28"/>
                <w:szCs w:val="28"/>
                <w:highlight w:val="none"/>
                <w:lang w:val="en-US" w:eastAsia="zh-CN"/>
              </w:rPr>
              <w:t>开发沉浸式体验项目6个，推出四季主题旅游线路12 条，培育研学旅行基地1个，到2030年，争取全县A级乡村旅游经营单位总数达到12家以上，带动农民增收20%以上。</w:t>
            </w:r>
          </w:p>
          <w:p w14:paraId="7709073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方正仿宋_GBK" w:cs="宋体"/>
                <w:b w:val="0"/>
                <w:bCs w:val="0"/>
                <w:color w:val="auto"/>
                <w:sz w:val="28"/>
                <w:szCs w:val="28"/>
                <w:lang w:val="en-US" w:eastAsia="zh-CN"/>
              </w:rPr>
            </w:pPr>
            <w:r>
              <w:rPr>
                <w:rFonts w:hint="eastAsia" w:ascii="Times New Roman" w:hAnsi="Times New Roman" w:cs="宋体"/>
                <w:b/>
                <w:bCs/>
                <w:color w:val="auto"/>
                <w:sz w:val="28"/>
                <w:szCs w:val="28"/>
                <w:highlight w:val="none"/>
                <w:lang w:val="en-US" w:eastAsia="zh-CN"/>
              </w:rPr>
              <w:t>红色研学游：</w:t>
            </w:r>
            <w:r>
              <w:rPr>
                <w:rFonts w:hint="eastAsia" w:ascii="Times New Roman" w:hAnsi="Times New Roman" w:cs="宋体"/>
                <w:b w:val="0"/>
                <w:bCs w:val="0"/>
                <w:color w:val="auto"/>
                <w:sz w:val="28"/>
                <w:szCs w:val="28"/>
                <w:highlight w:val="none"/>
                <w:lang w:val="en-US" w:eastAsia="zh-CN"/>
              </w:rPr>
              <w:t>完成4处核心红色遗址保护修缮与展陈提升，开发沉浸式红色研学课程5套，推出3条精品研学路线，培育6类红色文创产品，打响“黄龙红色研学线”品牌，年吸引6000名青少年参与，年接待</w:t>
            </w:r>
            <w:r>
              <w:rPr>
                <w:rFonts w:hint="eastAsia" w:cs="宋体"/>
                <w:b w:val="0"/>
                <w:bCs w:val="0"/>
                <w:color w:val="auto"/>
                <w:sz w:val="28"/>
                <w:szCs w:val="28"/>
                <w:highlight w:val="none"/>
                <w:lang w:val="en-US" w:eastAsia="zh-CN"/>
              </w:rPr>
              <w:t>研学</w:t>
            </w:r>
            <w:r>
              <w:rPr>
                <w:rFonts w:hint="eastAsia" w:ascii="Times New Roman" w:hAnsi="Times New Roman" w:cs="宋体"/>
                <w:b w:val="0"/>
                <w:bCs w:val="0"/>
                <w:color w:val="auto"/>
                <w:sz w:val="28"/>
                <w:szCs w:val="28"/>
                <w:highlight w:val="none"/>
                <w:lang w:val="en-US" w:eastAsia="zh-CN"/>
              </w:rPr>
              <w:t>游客超5万人次。</w:t>
            </w:r>
          </w:p>
        </w:tc>
      </w:tr>
    </w:tbl>
    <w:p w14:paraId="7FC3E916">
      <w:pPr>
        <w:pStyle w:val="7"/>
        <w:bidi w:val="0"/>
        <w:rPr>
          <w:rFonts w:hint="eastAsia" w:ascii="Times New Roman" w:hAnsi="Times New Roman"/>
          <w:b/>
          <w:lang w:val="en-US" w:eastAsia="zh-CN"/>
        </w:rPr>
      </w:pPr>
      <w:bookmarkStart w:id="90" w:name="_Toc26864"/>
      <w:bookmarkStart w:id="91" w:name="_Toc10837"/>
      <w:bookmarkStart w:id="92" w:name="_Toc17116"/>
      <w:r>
        <w:rPr>
          <w:rFonts w:hint="eastAsia" w:ascii="Times New Roman" w:hAnsi="Times New Roman"/>
          <w:b/>
          <w:lang w:val="en-US" w:eastAsia="zh-CN"/>
        </w:rPr>
        <w:t>第</w:t>
      </w:r>
      <w:r>
        <w:rPr>
          <w:rFonts w:hint="eastAsia"/>
          <w:b/>
          <w:lang w:val="en-US" w:eastAsia="zh-CN"/>
        </w:rPr>
        <w:t>三</w:t>
      </w:r>
      <w:r>
        <w:rPr>
          <w:rFonts w:hint="eastAsia" w:ascii="Times New Roman" w:hAnsi="Times New Roman"/>
          <w:b/>
          <w:lang w:val="en-US" w:eastAsia="zh-CN"/>
        </w:rPr>
        <w:t>节  推动物流业高质量发展</w:t>
      </w:r>
      <w:bookmarkEnd w:id="90"/>
    </w:p>
    <w:p w14:paraId="6BB4EE99">
      <w:pPr>
        <w:spacing w:line="560" w:lineRule="exact"/>
        <w:ind w:firstLine="640" w:firstLineChars="200"/>
        <w:rPr>
          <w:rFonts w:hint="eastAsia"/>
          <w:b/>
          <w:bCs/>
          <w:sz w:val="32"/>
          <w:szCs w:val="22"/>
          <w:highlight w:val="yellow"/>
          <w:lang w:val="en-US" w:eastAsia="zh-CN"/>
          <w14:ligatures w14:val="standardContextual"/>
        </w:rPr>
      </w:pPr>
      <w:r>
        <w:rPr>
          <w:rFonts w:hint="eastAsia" w:ascii="Times New Roman" w:hAnsi="Times New Roman" w:eastAsia="方正仿宋_GBK"/>
          <w:b/>
          <w:bCs/>
          <w:sz w:val="32"/>
          <w:szCs w:val="22"/>
          <w:highlight w:val="none"/>
          <w:lang w:val="en-US" w:eastAsia="zh-CN"/>
          <w14:ligatures w14:val="standardContextual"/>
        </w:rPr>
        <w:t>构建多层次物流</w:t>
      </w:r>
      <w:r>
        <w:rPr>
          <w:rFonts w:hint="eastAsia"/>
          <w:b/>
          <w:bCs/>
          <w:sz w:val="32"/>
          <w:szCs w:val="22"/>
          <w:highlight w:val="none"/>
          <w:lang w:val="en-US" w:eastAsia="zh-CN"/>
          <w14:ligatures w14:val="standardContextual"/>
        </w:rPr>
        <w:t>网络</w:t>
      </w:r>
      <w:r>
        <w:rPr>
          <w:rFonts w:hint="eastAsia" w:ascii="Times New Roman" w:hAnsi="Times New Roman" w:eastAsia="方正仿宋_GBK"/>
          <w:b/>
          <w:bCs/>
          <w:sz w:val="32"/>
          <w:szCs w:val="22"/>
          <w:highlight w:val="none"/>
          <w:lang w:val="en-US" w:eastAsia="zh-CN"/>
          <w14:ligatures w14:val="standardContextual"/>
        </w:rPr>
        <w:t>。</w:t>
      </w:r>
      <w:r>
        <w:rPr>
          <w:rFonts w:hint="eastAsia"/>
          <w:b/>
          <w:bCs/>
          <w:sz w:val="32"/>
          <w:szCs w:val="22"/>
          <w:highlight w:val="none"/>
          <w:lang w:val="en-US" w:eastAsia="zh-CN"/>
          <w14:ligatures w14:val="standardContextual"/>
        </w:rPr>
        <w:t>加强物流通道建设。</w:t>
      </w:r>
      <w:r>
        <w:rPr>
          <w:rFonts w:hint="eastAsia"/>
          <w:b w:val="0"/>
          <w:bCs w:val="0"/>
          <w:sz w:val="32"/>
          <w:szCs w:val="22"/>
          <w:highlight w:val="none"/>
          <w:lang w:val="en-US" w:eastAsia="zh-CN"/>
          <w14:ligatures w14:val="standardContextual"/>
        </w:rPr>
        <w:t>整合优化农安与周边地区的公路、铁路等干支线运输资源，加快推进普通国省干线提质增效，加快推进长春经济圈公路（S001）农安至巴吉垒至新阳段、省道其塔木至太平川公路（S303）等项目升级建设，畅通与长春、松原城市群等地区的干支线运输线路，辐射省内国内相关地区。</w:t>
      </w:r>
      <w:r>
        <w:rPr>
          <w:rFonts w:hint="eastAsia"/>
          <w:b/>
          <w:bCs/>
          <w:sz w:val="32"/>
          <w:szCs w:val="22"/>
          <w:highlight w:val="none"/>
          <w:lang w:val="en-US" w:eastAsia="zh-CN"/>
          <w14:ligatures w14:val="standardContextual"/>
        </w:rPr>
        <w:t>加快构建区域物流网络</w:t>
      </w:r>
      <w:r>
        <w:rPr>
          <w:rFonts w:hint="eastAsia"/>
          <w:b w:val="0"/>
          <w:bCs w:val="0"/>
          <w:sz w:val="32"/>
          <w:szCs w:val="22"/>
          <w:highlight w:val="none"/>
          <w:lang w:val="en-US" w:eastAsia="zh-CN"/>
          <w14:ligatures w14:val="standardContextual"/>
        </w:rPr>
        <w:t>。发挥龙宇物流产业园集散中心作用，加快与长春、松原、四平等区域的物流网络衔接，</w:t>
      </w:r>
      <w:r>
        <w:rPr>
          <w:rFonts w:hint="eastAsia" w:ascii="Times New Roman" w:hAnsi="Times New Roman" w:eastAsia="方正仿宋_GBK"/>
          <w:b w:val="0"/>
          <w:bCs w:val="0"/>
          <w:sz w:val="32"/>
          <w:szCs w:val="22"/>
          <w:highlight w:val="none"/>
          <w:lang w:val="en-US" w:eastAsia="zh-CN"/>
          <w14:ligatures w14:val="standardContextual"/>
        </w:rPr>
        <w:t>推进物流资源整合集聚，完善县乡村三级物流配送体系，加快构建以综合物流中心、分拨配送中心、末端配送网点为支撑的</w:t>
      </w:r>
      <w:r>
        <w:rPr>
          <w:rFonts w:hint="eastAsia"/>
          <w:b w:val="0"/>
          <w:bCs w:val="0"/>
          <w:sz w:val="32"/>
          <w:szCs w:val="22"/>
          <w:highlight w:val="none"/>
          <w:lang w:val="en-US" w:eastAsia="zh-CN"/>
          <w14:ligatures w14:val="standardContextual"/>
        </w:rPr>
        <w:t>物流</w:t>
      </w:r>
      <w:r>
        <w:rPr>
          <w:rFonts w:hint="eastAsia" w:ascii="Times New Roman" w:hAnsi="Times New Roman" w:eastAsia="方正仿宋_GBK"/>
          <w:b w:val="0"/>
          <w:bCs w:val="0"/>
          <w:sz w:val="32"/>
          <w:szCs w:val="22"/>
          <w:highlight w:val="none"/>
          <w:lang w:val="en-US" w:eastAsia="zh-CN"/>
          <w14:ligatures w14:val="standardContextual"/>
        </w:rPr>
        <w:t>配送网络</w:t>
      </w:r>
      <w:r>
        <w:rPr>
          <w:rFonts w:hint="eastAsia"/>
          <w:b w:val="0"/>
          <w:bCs w:val="0"/>
          <w:sz w:val="32"/>
          <w:szCs w:val="22"/>
          <w:highlight w:val="none"/>
          <w:lang w:val="en-US" w:eastAsia="zh-CN"/>
          <w14:ligatures w14:val="standardContextual"/>
        </w:rPr>
        <w:t>。</w:t>
      </w:r>
    </w:p>
    <w:p w14:paraId="4F0BF5A4">
      <w:pPr>
        <w:spacing w:line="560" w:lineRule="exact"/>
        <w:ind w:firstLine="640" w:firstLineChars="200"/>
        <w:rPr>
          <w:rFonts w:hint="eastAsia" w:ascii="Times New Roman" w:hAnsi="Times New Roman" w:eastAsia="方正仿宋_GBK"/>
          <w:b w:val="0"/>
          <w:bCs w:val="0"/>
          <w:sz w:val="32"/>
          <w:szCs w:val="22"/>
          <w:lang w:val="en-US" w:eastAsia="zh-CN"/>
          <w14:ligatures w14:val="standardContextual"/>
        </w:rPr>
      </w:pPr>
      <w:r>
        <w:rPr>
          <w:rFonts w:hint="eastAsia" w:ascii="Times New Roman" w:hAnsi="Times New Roman" w:eastAsia="方正仿宋_GBK"/>
          <w:b/>
          <w:bCs/>
          <w:sz w:val="32"/>
          <w:szCs w:val="22"/>
          <w:lang w:val="en-US" w:eastAsia="zh-CN"/>
          <w14:ligatures w14:val="standardContextual"/>
        </w:rPr>
        <w:t>实施</w:t>
      </w:r>
      <w:r>
        <w:rPr>
          <w:rFonts w:hint="eastAsia"/>
          <w:b/>
          <w:bCs/>
          <w:sz w:val="32"/>
          <w:szCs w:val="22"/>
          <w:lang w:val="en-US" w:eastAsia="zh-CN"/>
          <w14:ligatures w14:val="standardContextual"/>
        </w:rPr>
        <w:t>物流</w:t>
      </w:r>
      <w:r>
        <w:rPr>
          <w:rFonts w:hint="eastAsia" w:ascii="Times New Roman" w:hAnsi="Times New Roman" w:eastAsia="方正仿宋_GBK"/>
          <w:b/>
          <w:bCs/>
          <w:sz w:val="32"/>
          <w:szCs w:val="22"/>
          <w:lang w:val="en-US" w:eastAsia="zh-CN"/>
          <w14:ligatures w14:val="standardContextual"/>
        </w:rPr>
        <w:t>融合发展行动</w:t>
      </w:r>
      <w:r>
        <w:rPr>
          <w:rFonts w:hint="eastAsia"/>
          <w:b/>
          <w:bCs/>
          <w:sz w:val="32"/>
          <w:szCs w:val="22"/>
          <w:lang w:val="en-US" w:eastAsia="zh-CN"/>
          <w14:ligatures w14:val="standardContextual"/>
        </w:rPr>
        <w:t>。着力发展冷链物流。</w:t>
      </w:r>
      <w:r>
        <w:rPr>
          <w:rFonts w:hint="eastAsia"/>
          <w:b w:val="0"/>
          <w:bCs w:val="0"/>
          <w:sz w:val="32"/>
          <w:szCs w:val="22"/>
          <w:lang w:val="en-US" w:eastAsia="zh-CN"/>
          <w14:ligatures w14:val="standardContextual"/>
        </w:rPr>
        <w:t>积极</w:t>
      </w:r>
      <w:r>
        <w:rPr>
          <w:rFonts w:hint="eastAsia" w:ascii="Times New Roman" w:hAnsi="Times New Roman" w:eastAsia="方正仿宋_GBK"/>
          <w:b w:val="0"/>
          <w:bCs w:val="0"/>
          <w:sz w:val="32"/>
          <w:szCs w:val="22"/>
          <w:lang w:val="en-US" w:eastAsia="zh-CN"/>
          <w14:ligatures w14:val="standardContextual"/>
        </w:rPr>
        <w:t>培育产地冷链集配中心，推动农村冷链物流设施共享共用</w:t>
      </w:r>
      <w:r>
        <w:rPr>
          <w:rFonts w:hint="eastAsia"/>
          <w:b w:val="0"/>
          <w:bCs w:val="0"/>
          <w:sz w:val="32"/>
          <w:szCs w:val="22"/>
          <w:lang w:val="en-US" w:eastAsia="zh-CN"/>
          <w14:ligatures w14:val="standardContextual"/>
        </w:rPr>
        <w:t>，</w:t>
      </w:r>
      <w:r>
        <w:rPr>
          <w:rFonts w:hint="eastAsia" w:ascii="Times New Roman" w:hAnsi="Times New Roman" w:eastAsia="方正仿宋_GBK"/>
          <w:b w:val="0"/>
          <w:bCs w:val="0"/>
          <w:sz w:val="32"/>
          <w:szCs w:val="22"/>
          <w:highlight w:val="none"/>
          <w:lang w:val="en-US" w:eastAsia="zh-CN"/>
          <w14:ligatures w14:val="standardContextual"/>
        </w:rPr>
        <w:t>引导</w:t>
      </w:r>
      <w:r>
        <w:rPr>
          <w:rFonts w:hint="eastAsia"/>
          <w:b w:val="0"/>
          <w:bCs w:val="0"/>
          <w:sz w:val="32"/>
          <w:szCs w:val="22"/>
          <w:highlight w:val="none"/>
          <w:lang w:val="en-US" w:eastAsia="zh-CN"/>
          <w14:ligatures w14:val="standardContextual"/>
        </w:rPr>
        <w:t>商贸物流</w:t>
      </w:r>
      <w:r>
        <w:rPr>
          <w:rFonts w:hint="eastAsia" w:ascii="Times New Roman" w:hAnsi="Times New Roman" w:eastAsia="方正仿宋_GBK"/>
          <w:b w:val="0"/>
          <w:bCs w:val="0"/>
          <w:sz w:val="32"/>
          <w:szCs w:val="22"/>
          <w:highlight w:val="none"/>
          <w:lang w:val="en-US" w:eastAsia="zh-CN"/>
          <w14:ligatures w14:val="standardContextual"/>
        </w:rPr>
        <w:t>企业加强农产品冷链物流设施建设，在产地就近建设改造具有产后商品化处理和跨区域</w:t>
      </w:r>
      <w:r>
        <w:rPr>
          <w:rFonts w:hint="eastAsia"/>
          <w:b w:val="0"/>
          <w:bCs w:val="0"/>
          <w:sz w:val="32"/>
          <w:szCs w:val="22"/>
          <w:highlight w:val="none"/>
          <w:lang w:val="en-US" w:eastAsia="zh-CN"/>
          <w14:ligatures w14:val="standardContextual"/>
        </w:rPr>
        <w:t>配送</w:t>
      </w:r>
      <w:r>
        <w:rPr>
          <w:rFonts w:hint="eastAsia" w:ascii="Times New Roman" w:hAnsi="Times New Roman" w:eastAsia="方正仿宋_GBK"/>
          <w:b w:val="0"/>
          <w:bCs w:val="0"/>
          <w:sz w:val="32"/>
          <w:szCs w:val="22"/>
          <w:highlight w:val="none"/>
          <w:lang w:val="en-US" w:eastAsia="zh-CN"/>
          <w14:ligatures w14:val="standardContextual"/>
        </w:rPr>
        <w:t>功能的产地集配中心、冷库、产地仓库设施，</w:t>
      </w:r>
      <w:r>
        <w:rPr>
          <w:rFonts w:hint="eastAsia"/>
          <w:b w:val="0"/>
          <w:bCs w:val="0"/>
          <w:sz w:val="32"/>
          <w:szCs w:val="22"/>
          <w:lang w:val="en-US" w:eastAsia="zh-CN"/>
          <w14:ligatures w14:val="standardContextual"/>
        </w:rPr>
        <w:t>补齐</w:t>
      </w:r>
      <w:r>
        <w:rPr>
          <w:rFonts w:hint="eastAsia" w:ascii="Times New Roman" w:hAnsi="Times New Roman" w:eastAsia="方正仿宋_GBK"/>
          <w:b w:val="0"/>
          <w:bCs w:val="0"/>
          <w:sz w:val="32"/>
          <w:szCs w:val="22"/>
          <w:lang w:val="en-US" w:eastAsia="zh-CN"/>
          <w14:ligatures w14:val="standardContextual"/>
        </w:rPr>
        <w:t>农产品产地仓储保鲜冷链物流短板</w:t>
      </w:r>
      <w:r>
        <w:rPr>
          <w:rFonts w:hint="eastAsia"/>
          <w:b w:val="0"/>
          <w:bCs w:val="0"/>
          <w:sz w:val="32"/>
          <w:szCs w:val="22"/>
          <w:lang w:val="en-US" w:eastAsia="zh-CN"/>
          <w14:ligatures w14:val="standardContextual"/>
        </w:rPr>
        <w:t>，</w:t>
      </w:r>
      <w:r>
        <w:rPr>
          <w:rFonts w:hint="eastAsia" w:ascii="Times New Roman" w:hAnsi="Times New Roman" w:eastAsia="方正仿宋_GBK"/>
          <w:b w:val="0"/>
          <w:bCs w:val="0"/>
          <w:sz w:val="32"/>
          <w:szCs w:val="22"/>
          <w:lang w:val="en-US" w:eastAsia="zh-CN"/>
          <w14:ligatures w14:val="standardContextual"/>
        </w:rPr>
        <w:t>降低农产品流通损耗。</w:t>
      </w:r>
      <w:r>
        <w:rPr>
          <w:rFonts w:hint="eastAsia" w:ascii="Times New Roman" w:hAnsi="Times New Roman" w:eastAsia="方正仿宋_GBK"/>
          <w:b/>
          <w:bCs/>
          <w:sz w:val="32"/>
          <w:szCs w:val="22"/>
          <w:lang w:val="en-US" w:eastAsia="zh-CN"/>
          <w14:ligatures w14:val="standardContextual"/>
        </w:rPr>
        <w:t>深化与制造业融合发展。</w:t>
      </w:r>
      <w:r>
        <w:rPr>
          <w:rFonts w:hint="eastAsia" w:ascii="Times New Roman" w:hAnsi="Times New Roman" w:eastAsia="方正仿宋_GBK"/>
          <w:b w:val="0"/>
          <w:bCs w:val="0"/>
          <w:sz w:val="32"/>
          <w:szCs w:val="22"/>
          <w:lang w:val="en-US" w:eastAsia="zh-CN"/>
          <w14:ligatures w14:val="standardContextual"/>
        </w:rPr>
        <w:t>推动智能装备制造、医药健康、新材料等企业整合内部物流需求，与第三方物流企业开展供应链合作，加快运输、仓储、配送、流通加工、包装、装卸等领域数字化改造、智慧化升级和服务创新，增强专业物流服务能力，提高直发终端用户比率。</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460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F1F1F1"/>
          </w:tcPr>
          <w:p w14:paraId="5629E6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firstLineChars="0"/>
              <w:jc w:val="center"/>
              <w:textAlignment w:val="auto"/>
              <w:rPr>
                <w:rFonts w:hint="default" w:ascii="Times New Roman" w:hAnsi="Times New Roman" w:cs="宋体"/>
                <w:color w:val="000000"/>
                <w:sz w:val="28"/>
                <w:szCs w:val="28"/>
                <w:lang w:val="en-US"/>
              </w:rPr>
            </w:pPr>
            <w:r>
              <w:rPr>
                <w:rFonts w:hint="eastAsia" w:ascii="Times New Roman" w:hAnsi="Times New Roman" w:cs="宋体"/>
                <w:b/>
                <w:bCs/>
                <w:color w:val="000000"/>
                <w:sz w:val="28"/>
                <w:szCs w:val="28"/>
              </w:rPr>
              <w:t>专栏</w:t>
            </w:r>
            <w:r>
              <w:rPr>
                <w:rFonts w:hint="eastAsia" w:cs="宋体"/>
                <w:b/>
                <w:bCs/>
                <w:color w:val="000000"/>
                <w:sz w:val="28"/>
                <w:szCs w:val="28"/>
                <w:lang w:val="en-US" w:eastAsia="zh-CN"/>
              </w:rPr>
              <w:t>9</w:t>
            </w:r>
            <w:r>
              <w:rPr>
                <w:rFonts w:hint="eastAsia" w:ascii="Times New Roman" w:hAnsi="Times New Roman" w:cs="宋体"/>
                <w:b/>
                <w:bCs/>
                <w:color w:val="000000"/>
                <w:sz w:val="28"/>
                <w:szCs w:val="28"/>
                <w:lang w:val="en-US" w:eastAsia="zh-CN"/>
              </w:rPr>
              <w:t xml:space="preserve"> 推动现代物流业高质量发展</w:t>
            </w:r>
            <w:r>
              <w:rPr>
                <w:rFonts w:hint="eastAsia" w:cs="宋体"/>
                <w:b/>
                <w:bCs/>
                <w:color w:val="000000"/>
                <w:sz w:val="28"/>
                <w:szCs w:val="28"/>
                <w:lang w:val="en-US" w:eastAsia="zh-CN"/>
              </w:rPr>
              <w:t>重点工程</w:t>
            </w:r>
          </w:p>
        </w:tc>
      </w:tr>
      <w:tr w14:paraId="0338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CF1A9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default" w:ascii="Times New Roman" w:hAnsi="Times New Roman" w:eastAsia="方正仿宋_GBK" w:cs="宋体"/>
                <w:b w:val="0"/>
                <w:bCs w:val="0"/>
                <w:color w:val="000000"/>
                <w:sz w:val="28"/>
                <w:szCs w:val="28"/>
                <w:lang w:val="en-US" w:eastAsia="zh-CN"/>
              </w:rPr>
            </w:pPr>
            <w:r>
              <w:rPr>
                <w:rFonts w:hint="eastAsia" w:cs="宋体"/>
                <w:b/>
                <w:bCs/>
                <w:color w:val="000000"/>
                <w:sz w:val="28"/>
                <w:szCs w:val="28"/>
                <w:lang w:val="en-US" w:eastAsia="zh-CN"/>
              </w:rPr>
              <w:t>物流配送体系：</w:t>
            </w:r>
            <w:r>
              <w:rPr>
                <w:rFonts w:hint="eastAsia" w:ascii="Times New Roman" w:hAnsi="Times New Roman" w:cs="宋体"/>
                <w:b w:val="0"/>
                <w:bCs w:val="0"/>
                <w:color w:val="000000"/>
                <w:sz w:val="28"/>
                <w:szCs w:val="28"/>
                <w:lang w:val="en-US" w:eastAsia="zh-CN"/>
              </w:rPr>
              <w:t>构建发展现代物流配送体系，降低县乡村三级物流成本5%以上</w:t>
            </w:r>
            <w:r>
              <w:rPr>
                <w:rFonts w:hint="eastAsia" w:cs="宋体"/>
                <w:b w:val="0"/>
                <w:bCs w:val="0"/>
                <w:color w:val="000000"/>
                <w:sz w:val="28"/>
                <w:szCs w:val="28"/>
                <w:lang w:val="en-US" w:eastAsia="zh-CN"/>
              </w:rPr>
              <w:t>。</w:t>
            </w:r>
          </w:p>
        </w:tc>
      </w:tr>
    </w:tbl>
    <w:p w14:paraId="24C5956F">
      <w:pPr>
        <w:pStyle w:val="7"/>
        <w:bidi w:val="0"/>
        <w:rPr>
          <w:rFonts w:hint="eastAsia" w:ascii="Times New Roman" w:hAnsi="Times New Roman"/>
          <w:b/>
          <w:highlight w:val="none"/>
          <w:lang w:val="en-US" w:eastAsia="zh-CN"/>
        </w:rPr>
      </w:pPr>
      <w:bookmarkStart w:id="93" w:name="_Toc23669"/>
      <w:bookmarkStart w:id="94" w:name="_Toc31142"/>
      <w:r>
        <w:rPr>
          <w:rFonts w:hint="eastAsia" w:ascii="Times New Roman" w:hAnsi="Times New Roman"/>
          <w:b/>
          <w:highlight w:val="none"/>
          <w:lang w:val="en-US" w:eastAsia="zh-CN"/>
        </w:rPr>
        <w:t xml:space="preserve">第四节  </w:t>
      </w:r>
      <w:r>
        <w:rPr>
          <w:rFonts w:hint="eastAsia"/>
          <w:b/>
          <w:highlight w:val="none"/>
          <w:lang w:val="en-US" w:eastAsia="zh-CN"/>
        </w:rPr>
        <w:t>推动</w:t>
      </w:r>
      <w:r>
        <w:rPr>
          <w:rFonts w:hint="eastAsia" w:ascii="Times New Roman" w:hAnsi="Times New Roman"/>
          <w:b/>
          <w:highlight w:val="none"/>
          <w:lang w:val="en-US" w:eastAsia="zh-CN"/>
        </w:rPr>
        <w:t>生产性服务业赋能增效</w:t>
      </w:r>
      <w:bookmarkEnd w:id="93"/>
    </w:p>
    <w:p w14:paraId="5B8C7AA1">
      <w:pPr>
        <w:bidi w:val="0"/>
        <w:rPr>
          <w:rFonts w:hint="eastAsia"/>
          <w:b w:val="0"/>
          <w:bCs w:val="0"/>
          <w:highlight w:val="none"/>
          <w:lang w:eastAsia="zh-CN"/>
        </w:rPr>
      </w:pPr>
      <w:r>
        <w:rPr>
          <w:rFonts w:hint="eastAsia"/>
          <w:b/>
          <w:bCs/>
          <w:highlight w:val="none"/>
          <w:lang w:val="en-US" w:eastAsia="zh-CN"/>
        </w:rPr>
        <w:t>培育发展</w:t>
      </w:r>
      <w:r>
        <w:rPr>
          <w:rFonts w:hint="eastAsia" w:ascii="Times New Roman" w:hAnsi="Times New Roman"/>
          <w:b/>
          <w:bCs/>
          <w:highlight w:val="none"/>
        </w:rPr>
        <w:t>生产性服务业</w:t>
      </w:r>
      <w:r>
        <w:rPr>
          <w:rFonts w:hint="eastAsia"/>
          <w:b/>
          <w:bCs/>
          <w:highlight w:val="none"/>
          <w:lang w:eastAsia="zh-CN"/>
        </w:rPr>
        <w:t>。</w:t>
      </w:r>
      <w:r>
        <w:rPr>
          <w:rFonts w:hint="eastAsia" w:ascii="Times New Roman" w:hAnsi="Times New Roman"/>
          <w:b w:val="0"/>
          <w:bCs w:val="0"/>
          <w:highlight w:val="none"/>
        </w:rPr>
        <w:t>围绕装备</w:t>
      </w:r>
      <w:r>
        <w:rPr>
          <w:rFonts w:hint="eastAsia"/>
          <w:b w:val="0"/>
          <w:bCs w:val="0"/>
          <w:highlight w:val="none"/>
          <w:lang w:val="en-US" w:eastAsia="zh-CN"/>
        </w:rPr>
        <w:t>制造</w:t>
      </w:r>
      <w:r>
        <w:rPr>
          <w:rFonts w:hint="eastAsia" w:ascii="Times New Roman" w:hAnsi="Times New Roman"/>
          <w:b w:val="0"/>
          <w:bCs w:val="0"/>
          <w:highlight w:val="none"/>
        </w:rPr>
        <w:t>、</w:t>
      </w:r>
      <w:r>
        <w:rPr>
          <w:rFonts w:hint="eastAsia"/>
          <w:b w:val="0"/>
          <w:bCs w:val="0"/>
          <w:highlight w:val="none"/>
          <w:lang w:val="en-US" w:eastAsia="zh-CN"/>
        </w:rPr>
        <w:t>现代农业</w:t>
      </w:r>
      <w:r>
        <w:rPr>
          <w:rFonts w:hint="eastAsia" w:ascii="Times New Roman" w:hAnsi="Times New Roman"/>
          <w:b w:val="0"/>
          <w:bCs w:val="0"/>
          <w:highlight w:val="none"/>
        </w:rPr>
        <w:t>、医药等重点产业，育壮</w:t>
      </w:r>
      <w:r>
        <w:rPr>
          <w:rFonts w:hint="eastAsia"/>
          <w:b w:val="0"/>
          <w:bCs w:val="0"/>
          <w:highlight w:val="none"/>
          <w:lang w:val="en-US" w:eastAsia="zh-CN"/>
        </w:rPr>
        <w:t>壮大</w:t>
      </w:r>
      <w:r>
        <w:rPr>
          <w:rFonts w:hint="eastAsia" w:ascii="Times New Roman" w:hAnsi="Times New Roman"/>
          <w:b w:val="0"/>
          <w:bCs w:val="0"/>
          <w:highlight w:val="none"/>
        </w:rPr>
        <w:t>科技服务、研发设计、工业软件、检验检测认证等高附加值产业</w:t>
      </w:r>
      <w:r>
        <w:rPr>
          <w:rFonts w:hint="eastAsia"/>
          <w:b w:val="0"/>
          <w:bCs w:val="0"/>
          <w:highlight w:val="none"/>
          <w:lang w:eastAsia="zh-CN"/>
        </w:rPr>
        <w:t>。依托产业集群培育工业设计中心、质检中心、中试中心和共性技术平台。强化人力资源服务支持，加快发展猎头、管理咨询、数字人力等</w:t>
      </w:r>
      <w:r>
        <w:rPr>
          <w:rFonts w:hint="eastAsia"/>
          <w:b w:val="0"/>
          <w:bCs w:val="0"/>
          <w:highlight w:val="none"/>
          <w:lang w:val="en-US" w:eastAsia="zh-CN"/>
        </w:rPr>
        <w:t>人才服务</w:t>
      </w:r>
      <w:r>
        <w:rPr>
          <w:rFonts w:hint="eastAsia"/>
          <w:b w:val="0"/>
          <w:bCs w:val="0"/>
          <w:highlight w:val="none"/>
          <w:lang w:eastAsia="zh-CN"/>
        </w:rPr>
        <w:t>业态。</w:t>
      </w:r>
      <w:r>
        <w:rPr>
          <w:rFonts w:hint="eastAsia"/>
          <w:b w:val="0"/>
          <w:bCs w:val="0"/>
          <w:highlight w:val="none"/>
          <w:lang w:val="en-US" w:eastAsia="zh-CN"/>
        </w:rPr>
        <w:t>依托工业产业集聚区，</w:t>
      </w:r>
      <w:r>
        <w:rPr>
          <w:rFonts w:hint="eastAsia"/>
          <w:b w:val="0"/>
          <w:bCs w:val="0"/>
          <w:highlight w:val="none"/>
          <w:lang w:eastAsia="zh-CN"/>
        </w:rPr>
        <w:t>培育科技创业</w:t>
      </w:r>
      <w:r>
        <w:rPr>
          <w:rFonts w:hint="eastAsia"/>
          <w:b w:val="0"/>
          <w:bCs w:val="0"/>
          <w:highlight w:val="none"/>
          <w:lang w:val="en-US" w:eastAsia="zh-CN"/>
        </w:rPr>
        <w:t>基地</w:t>
      </w:r>
      <w:r>
        <w:rPr>
          <w:rFonts w:hint="eastAsia"/>
          <w:b w:val="0"/>
          <w:bCs w:val="0"/>
          <w:highlight w:val="none"/>
          <w:lang w:eastAsia="zh-CN"/>
        </w:rPr>
        <w:t>、服务外包基地、人力资源等生产性服务业集聚区。</w:t>
      </w:r>
      <w:r>
        <w:rPr>
          <w:rFonts w:hint="eastAsia"/>
          <w:b w:val="0"/>
          <w:bCs w:val="0"/>
          <w:highlight w:val="none"/>
          <w:lang w:val="en-US" w:eastAsia="zh-CN"/>
        </w:rPr>
        <w:t>探索</w:t>
      </w:r>
      <w:r>
        <w:rPr>
          <w:rFonts w:hint="eastAsia"/>
          <w:b w:val="0"/>
          <w:bCs w:val="0"/>
          <w:highlight w:val="none"/>
          <w:lang w:eastAsia="zh-CN"/>
        </w:rPr>
        <w:t>发展科技金融、绿色金融、普惠金融、养老金融、数字金融，切实加强对重点领域和薄弱环节的金融服务，</w:t>
      </w:r>
      <w:r>
        <w:rPr>
          <w:rFonts w:hint="eastAsia"/>
          <w:b w:val="0"/>
          <w:bCs w:val="0"/>
          <w:highlight w:val="none"/>
          <w:lang w:val="en-US" w:eastAsia="zh-CN"/>
        </w:rPr>
        <w:t>加快</w:t>
      </w:r>
      <w:r>
        <w:rPr>
          <w:rFonts w:hint="eastAsia"/>
          <w:b w:val="0"/>
          <w:bCs w:val="0"/>
          <w:highlight w:val="none"/>
          <w:lang w:eastAsia="zh-CN"/>
        </w:rPr>
        <w:t>构建牌照齐全、竞争有序、错位发展的现代金融体系。</w:t>
      </w:r>
    </w:p>
    <w:p w14:paraId="0514E37E">
      <w:pPr>
        <w:bidi w:val="0"/>
        <w:rPr>
          <w:rFonts w:hint="eastAsia"/>
          <w:b w:val="0"/>
          <w:bCs w:val="0"/>
          <w:highlight w:val="none"/>
          <w:lang w:eastAsia="zh-CN"/>
        </w:rPr>
      </w:pPr>
      <w:r>
        <w:rPr>
          <w:rFonts w:hint="eastAsia"/>
          <w:b/>
          <w:bCs/>
          <w:highlight w:val="none"/>
          <w:lang w:val="en-US" w:eastAsia="zh-CN"/>
        </w:rPr>
        <w:t>促进</w:t>
      </w:r>
      <w:r>
        <w:rPr>
          <w:rFonts w:hint="eastAsia"/>
          <w:b/>
          <w:bCs/>
          <w:highlight w:val="none"/>
          <w:lang w:eastAsia="zh-CN"/>
        </w:rPr>
        <w:t>生产性服务业融合发展。推进生产性服务业与先进制造业深度融合。</w:t>
      </w:r>
      <w:r>
        <w:rPr>
          <w:rFonts w:hint="eastAsia"/>
          <w:b w:val="0"/>
          <w:bCs w:val="0"/>
          <w:highlight w:val="none"/>
          <w:lang w:eastAsia="zh-CN"/>
        </w:rPr>
        <w:t>聚焦物流、信息等重点领域，开展生产性服务业和先进制造业融合发展</w:t>
      </w:r>
      <w:r>
        <w:rPr>
          <w:rFonts w:hint="eastAsia"/>
          <w:b w:val="0"/>
          <w:bCs w:val="0"/>
          <w:highlight w:val="none"/>
          <w:lang w:val="en-US" w:eastAsia="zh-CN"/>
        </w:rPr>
        <w:t>行动</w:t>
      </w:r>
      <w:r>
        <w:rPr>
          <w:rFonts w:hint="eastAsia"/>
          <w:b w:val="0"/>
          <w:bCs w:val="0"/>
          <w:highlight w:val="none"/>
          <w:lang w:eastAsia="zh-CN"/>
        </w:rPr>
        <w:t>。鼓励龙头骨干企业从产品制造商向系统解决方案提供商转变，支持开展总集成总承包、定制化服务、全生命周期管理等模式，拓展解决方案、融资租赁、个性定制、品牌授权等增值服务，促进制造企业由提供产品向“产品+服务”转变。</w:t>
      </w:r>
      <w:r>
        <w:rPr>
          <w:rFonts w:hint="eastAsia"/>
          <w:b/>
          <w:bCs/>
          <w:highlight w:val="none"/>
          <w:lang w:eastAsia="zh-CN"/>
        </w:rPr>
        <w:t>推进生产性服务业与现代农业拓展融合。</w:t>
      </w:r>
      <w:r>
        <w:rPr>
          <w:rFonts w:hint="eastAsia"/>
          <w:b w:val="0"/>
          <w:bCs w:val="0"/>
          <w:highlight w:val="none"/>
          <w:lang w:eastAsia="zh-CN"/>
        </w:rPr>
        <w:t>实施农业产业化服务体系建设工程，发展农村金融、涉农物流、农产品质量安全监管、农村劳动力培训、农机租赁等为农服务产业链。大力发展“互联网+农业”，鼓励应用移动互联网、物联网、大数据、云计算等技术提供农产品质量安全监测、农业生产经营决策、农民技术培训等各类服务。</w:t>
      </w:r>
    </w:p>
    <w:p w14:paraId="468EE58B">
      <w:pPr>
        <w:pStyle w:val="5"/>
        <w:bidi w:val="0"/>
        <w:rPr>
          <w:rFonts w:hint="eastAsia" w:ascii="Times New Roman" w:hAnsi="Times New Roman"/>
        </w:rPr>
      </w:pPr>
      <w:bookmarkStart w:id="95" w:name="_Toc8668"/>
      <w:r>
        <w:rPr>
          <w:rFonts w:hint="eastAsia" w:ascii="Times New Roman" w:hAnsi="Times New Roman"/>
        </w:rPr>
        <w:t>第</w:t>
      </w:r>
      <w:r>
        <w:rPr>
          <w:rFonts w:hint="eastAsia" w:ascii="Times New Roman" w:hAnsi="Times New Roman"/>
          <w:lang w:val="en-US" w:eastAsia="zh-CN"/>
        </w:rPr>
        <w:t>七</w:t>
      </w:r>
      <w:r>
        <w:rPr>
          <w:rFonts w:hint="eastAsia" w:ascii="Times New Roman" w:hAnsi="Times New Roman"/>
        </w:rPr>
        <w:t>章 深入实施创新驱动战略，激发产业发展新动能</w:t>
      </w:r>
      <w:bookmarkEnd w:id="91"/>
      <w:bookmarkEnd w:id="92"/>
      <w:bookmarkEnd w:id="94"/>
      <w:bookmarkEnd w:id="95"/>
    </w:p>
    <w:p w14:paraId="3F94D8D6">
      <w:pPr>
        <w:bidi w:val="0"/>
        <w:rPr>
          <w:rFonts w:hint="eastAsia" w:ascii="Times New Roman" w:hAnsi="Times New Roman" w:eastAsia="仿宋_GB2312" w:cs="仿宋_GB2312"/>
          <w:sz w:val="32"/>
          <w:szCs w:val="32"/>
        </w:rPr>
      </w:pPr>
      <w:r>
        <w:rPr>
          <w:rFonts w:hint="eastAsia" w:ascii="Times New Roman" w:hAnsi="Times New Roman"/>
          <w:b w:val="0"/>
          <w:bCs w:val="0"/>
        </w:rPr>
        <w:t>紧扣“科技强县”核心任务，持续加大财政科技投入，立足县域产业特色，重点推进新技术在农业生产、工业制造等领域的本地化应用，引导企业与科研院所共建技术研发中心，重点解决农产品深加工、传统制造业智能化改造等领域的技术瓶颈问题</w:t>
      </w:r>
      <w:r>
        <w:rPr>
          <w:rFonts w:hint="eastAsia" w:ascii="Times New Roman" w:hAnsi="Times New Roman"/>
          <w:b w:val="0"/>
          <w:bCs w:val="0"/>
          <w:lang w:eastAsia="zh-CN"/>
        </w:rPr>
        <w:t>，</w:t>
      </w:r>
      <w:r>
        <w:rPr>
          <w:rFonts w:hint="eastAsia" w:ascii="Times New Roman" w:hAnsi="Times New Roman"/>
          <w:b w:val="0"/>
          <w:bCs w:val="0"/>
        </w:rPr>
        <w:t>构建更为科学的科技体系，推动县域经济向创新驱动发展转型。</w:t>
      </w:r>
    </w:p>
    <w:p w14:paraId="69A48871">
      <w:pPr>
        <w:pStyle w:val="7"/>
        <w:bidi w:val="0"/>
        <w:rPr>
          <w:rFonts w:hint="default" w:ascii="Times New Roman" w:hAnsi="Times New Roman"/>
          <w:b/>
          <w:lang w:val="en-US" w:eastAsia="zh-CN"/>
        </w:rPr>
      </w:pPr>
      <w:bookmarkStart w:id="96" w:name="_Toc25585"/>
      <w:bookmarkStart w:id="97" w:name="_Toc8547"/>
      <w:bookmarkStart w:id="98" w:name="_Toc20659"/>
      <w:bookmarkStart w:id="99" w:name="_Toc8204"/>
      <w:r>
        <w:rPr>
          <w:rFonts w:hint="eastAsia" w:ascii="Times New Roman" w:hAnsi="Times New Roman"/>
          <w:b/>
          <w:lang w:val="en-US" w:eastAsia="zh-CN"/>
        </w:rPr>
        <w:t>第一节  加强重点领域技术创新</w:t>
      </w:r>
      <w:bookmarkEnd w:id="96"/>
      <w:bookmarkEnd w:id="97"/>
      <w:bookmarkEnd w:id="98"/>
    </w:p>
    <w:bookmarkEnd w:id="99"/>
    <w:p w14:paraId="1B5148FE">
      <w:pPr>
        <w:bidi w:val="0"/>
        <w:rPr>
          <w:rFonts w:hint="eastAsia" w:ascii="Times New Roman" w:hAnsi="Times New Roman"/>
          <w:b w:val="0"/>
          <w:bCs w:val="0"/>
        </w:rPr>
      </w:pPr>
      <w:r>
        <w:rPr>
          <w:rFonts w:hint="eastAsia" w:ascii="Times New Roman" w:hAnsi="Times New Roman"/>
          <w:b/>
          <w:bCs/>
        </w:rPr>
        <w:t>打造智慧农业创新模式。</w:t>
      </w:r>
      <w:r>
        <w:rPr>
          <w:rFonts w:hint="eastAsia" w:ascii="Times New Roman" w:hAnsi="Times New Roman"/>
          <w:b w:val="0"/>
          <w:bCs w:val="0"/>
        </w:rPr>
        <w:t>深化与国内一流农业科研机构及行业头部企业协同创新，共建产学研用一体化技术创新平台。依托省级智慧农业示范基地辐射效应，以卫星遥感、无人机巡检、物联网感知、大数据分析为技术引擎，构建低空农业经济新业态。联合领军企业推进三产融合项目，打造现代农业大数据生态产业集群与智慧农庄标杆。协同通信运营商深化“智慧农业+数字乡村”融合实践，形成可推广、可持续的智慧农业发展范式。</w:t>
      </w:r>
    </w:p>
    <w:p w14:paraId="57C506B8">
      <w:pPr>
        <w:bidi w:val="0"/>
        <w:rPr>
          <w:rFonts w:hint="eastAsia" w:ascii="Times New Roman" w:hAnsi="Times New Roman"/>
          <w:b w:val="0"/>
          <w:bCs w:val="0"/>
        </w:rPr>
      </w:pPr>
      <w:r>
        <w:rPr>
          <w:rFonts w:hint="eastAsia" w:ascii="Times New Roman" w:hAnsi="Times New Roman"/>
          <w:b/>
          <w:bCs/>
        </w:rPr>
        <w:t>激发畜牧领域科技创新动力。</w:t>
      </w:r>
      <w:r>
        <w:rPr>
          <w:rFonts w:hint="eastAsia" w:ascii="Times New Roman" w:hAnsi="Times New Roman"/>
          <w:b w:val="0"/>
          <w:bCs w:val="0"/>
        </w:rPr>
        <w:t>依托基层畜牧业推广项目，强化科技创新与人才培育，提升产业核心竞争力。重点建设科技试验基地，以各级主推技术为指引，组织县乡畜牧技术人员开展宣传培训、技术指导与服务，推动先进技术与生产实践深度融合。同步培育家庭牧场、合作社等新型经营主体，推广智能数字化管理模式，引导散养户向规模化、标准化、品牌化转型。重点推广肉牛疾病预警、智能健康监测及母牛繁殖增效技术，促进产业高质量发展。</w:t>
      </w:r>
    </w:p>
    <w:p w14:paraId="05E629B2">
      <w:pPr>
        <w:bidi w:val="0"/>
        <w:rPr>
          <w:rFonts w:hint="eastAsia" w:ascii="Times New Roman" w:hAnsi="Times New Roman"/>
          <w:b/>
          <w:bCs/>
        </w:rPr>
      </w:pPr>
      <w:r>
        <w:rPr>
          <w:rFonts w:hint="eastAsia" w:ascii="Times New Roman" w:hAnsi="Times New Roman"/>
          <w:b/>
          <w:bCs/>
        </w:rPr>
        <w:t>实施制造业</w:t>
      </w:r>
      <w:r>
        <w:rPr>
          <w:rFonts w:hint="eastAsia" w:ascii="Times New Roman" w:hAnsi="Times New Roman"/>
          <w:b/>
          <w:bCs/>
          <w:lang w:val="en-US" w:eastAsia="zh-CN"/>
        </w:rPr>
        <w:t>创新</w:t>
      </w:r>
      <w:r>
        <w:rPr>
          <w:rFonts w:hint="eastAsia" w:ascii="Times New Roman" w:hAnsi="Times New Roman"/>
          <w:b/>
          <w:bCs/>
        </w:rPr>
        <w:t>提速工程。</w:t>
      </w:r>
      <w:r>
        <w:rPr>
          <w:rFonts w:hint="eastAsia" w:ascii="Times New Roman" w:hAnsi="Times New Roman"/>
          <w:b w:val="0"/>
          <w:bCs w:val="0"/>
        </w:rPr>
        <w:t>以新能源、农畜产品精深加工和食品、现代智能装备制造、医药制造4</w:t>
      </w:r>
      <w:r>
        <w:rPr>
          <w:rFonts w:hint="eastAsia"/>
          <w:b w:val="0"/>
          <w:bCs w:val="0"/>
          <w:lang w:val="en-US" w:eastAsia="zh-CN"/>
        </w:rPr>
        <w:t>大</w:t>
      </w:r>
      <w:r>
        <w:rPr>
          <w:rFonts w:hint="eastAsia" w:ascii="Times New Roman" w:hAnsi="Times New Roman"/>
          <w:b w:val="0"/>
          <w:bCs w:val="0"/>
        </w:rPr>
        <w:t>产业为重点，建立技术攻关需求项目库，集中力量突破重点产业急需的关键共性技术、前沿引领技术，打造自主可控的产业链、供应链。根据不同产业发展基础、阶段，梯次推进产业技术创新，农畜产品精深加工和食品产业，注重产品体系创新，培育发展优强企业和名优特品牌，引领行业发展；建材产业根据市场需求淘汰过剩产能，调整建材行业结构，发展新型建材。</w:t>
      </w:r>
    </w:p>
    <w:p w14:paraId="52F35D64">
      <w:pPr>
        <w:pStyle w:val="7"/>
        <w:keepNext/>
        <w:keepLines/>
        <w:pageBreakBefore w:val="0"/>
        <w:widowControl w:val="0"/>
        <w:kinsoku/>
        <w:wordWrap/>
        <w:overflowPunct/>
        <w:topLinePunct w:val="0"/>
        <w:autoSpaceDE/>
        <w:autoSpaceDN/>
        <w:bidi w:val="0"/>
        <w:adjustRightInd w:val="0"/>
        <w:snapToGrid w:val="0"/>
        <w:textAlignment w:val="auto"/>
        <w:rPr>
          <w:rFonts w:hint="eastAsia" w:ascii="Times New Roman" w:hAnsi="Times New Roman"/>
          <w:b/>
          <w:sz w:val="32"/>
          <w:szCs w:val="22"/>
        </w:rPr>
      </w:pPr>
      <w:bookmarkStart w:id="100" w:name="_Toc20543"/>
      <w:bookmarkStart w:id="101" w:name="_Toc22795"/>
      <w:bookmarkStart w:id="102" w:name="_Toc25703"/>
      <w:r>
        <w:rPr>
          <w:rFonts w:hint="eastAsia" w:ascii="Times New Roman" w:hAnsi="Times New Roman"/>
          <w:b/>
          <w:sz w:val="32"/>
          <w:szCs w:val="22"/>
        </w:rPr>
        <w:t>第</w:t>
      </w:r>
      <w:r>
        <w:rPr>
          <w:rFonts w:hint="eastAsia" w:ascii="Times New Roman" w:hAnsi="Times New Roman"/>
          <w:b/>
          <w:sz w:val="32"/>
          <w:szCs w:val="22"/>
          <w:lang w:val="en-US" w:eastAsia="zh-CN"/>
        </w:rPr>
        <w:t>二</w:t>
      </w:r>
      <w:r>
        <w:rPr>
          <w:rFonts w:hint="eastAsia" w:ascii="Times New Roman" w:hAnsi="Times New Roman"/>
          <w:b/>
          <w:sz w:val="32"/>
          <w:szCs w:val="22"/>
        </w:rPr>
        <w:t>节  突出企业创新主体地位</w:t>
      </w:r>
      <w:bookmarkEnd w:id="100"/>
      <w:bookmarkEnd w:id="101"/>
      <w:bookmarkEnd w:id="102"/>
    </w:p>
    <w:p w14:paraId="482F4098">
      <w:pPr>
        <w:bidi w:val="0"/>
        <w:rPr>
          <w:rFonts w:hint="eastAsia" w:ascii="Times New Roman" w:hAnsi="Times New Roman"/>
          <w:b w:val="0"/>
          <w:bCs w:val="0"/>
        </w:rPr>
      </w:pPr>
      <w:r>
        <w:rPr>
          <w:rFonts w:hint="eastAsia" w:ascii="Times New Roman" w:hAnsi="Times New Roman"/>
          <w:b/>
          <w:bCs/>
          <w:lang w:val="en-US" w:eastAsia="zh-CN"/>
        </w:rPr>
        <w:t>建立企业梯队培育体系。</w:t>
      </w:r>
      <w:r>
        <w:rPr>
          <w:rFonts w:hint="eastAsia" w:ascii="Times New Roman" w:hAnsi="Times New Roman"/>
          <w:b/>
          <w:bCs/>
        </w:rPr>
        <w:t>壮大龙头骨干企业。</w:t>
      </w:r>
      <w:r>
        <w:rPr>
          <w:rFonts w:hint="eastAsia" w:ascii="Times New Roman" w:hAnsi="Times New Roman"/>
          <w:b w:val="0"/>
          <w:bCs w:val="0"/>
        </w:rPr>
        <w:t>完善企业发掘、筛选和培育机制，紧扣产业发展方向，着力实施企业培育工程，精准引进一批有实力、讲诚信、能带动的产业链关键环节龙头企业。健全企业支持政策，扶优扶强龙头企业，着力推动生产要素向龙头企业倾斜，加大对龙头企业的生产调度，重点抓好长春路通、中汽动力、吉林华正、旺旺食品、众驰医疗、恒星科技等龙头企业“一对一”服务，</w:t>
      </w:r>
      <w:r>
        <w:rPr>
          <w:rFonts w:hint="eastAsia" w:ascii="Times New Roman" w:hAnsi="Times New Roman"/>
          <w:b w:val="0"/>
          <w:bCs w:val="0"/>
          <w:lang w:val="en-US" w:eastAsia="zh-CN"/>
        </w:rPr>
        <w:t>推动</w:t>
      </w:r>
      <w:r>
        <w:rPr>
          <w:rFonts w:hint="eastAsia" w:ascii="Times New Roman" w:hAnsi="Times New Roman"/>
          <w:b w:val="0"/>
          <w:bCs w:val="0"/>
        </w:rPr>
        <w:t>龙头企业</w:t>
      </w:r>
      <w:r>
        <w:rPr>
          <w:rFonts w:hint="eastAsia" w:ascii="Times New Roman" w:hAnsi="Times New Roman"/>
          <w:b w:val="0"/>
          <w:bCs w:val="0"/>
          <w:lang w:val="en-US" w:eastAsia="zh-CN"/>
        </w:rPr>
        <w:t>创新发展</w:t>
      </w:r>
      <w:r>
        <w:rPr>
          <w:rFonts w:hint="eastAsia" w:ascii="Times New Roman" w:hAnsi="Times New Roman"/>
          <w:b w:val="0"/>
          <w:bCs w:val="0"/>
        </w:rPr>
        <w:t>。</w:t>
      </w:r>
      <w:r>
        <w:rPr>
          <w:rFonts w:hint="eastAsia" w:ascii="Times New Roman" w:hAnsi="Times New Roman"/>
          <w:b/>
          <w:bCs/>
        </w:rPr>
        <w:t>打造“专精特新”企业。</w:t>
      </w:r>
      <w:r>
        <w:rPr>
          <w:rFonts w:hint="eastAsia" w:ascii="Times New Roman" w:hAnsi="Times New Roman"/>
          <w:b w:val="0"/>
          <w:bCs w:val="0"/>
        </w:rPr>
        <w:t>建立高成长企业梯度培养体系，将更多具有发展潜力的企业纳入培育范围，重点</w:t>
      </w:r>
      <w:r>
        <w:rPr>
          <w:rFonts w:hint="eastAsia" w:ascii="Times New Roman" w:hAnsi="Times New Roman"/>
          <w:b w:val="0"/>
          <w:bCs w:val="0"/>
          <w:lang w:val="en-US" w:eastAsia="zh-CN"/>
        </w:rPr>
        <w:t>培育</w:t>
      </w:r>
      <w:r>
        <w:rPr>
          <w:rFonts w:hint="eastAsia" w:ascii="Times New Roman" w:hAnsi="Times New Roman"/>
          <w:b w:val="0"/>
          <w:bCs w:val="0"/>
        </w:rPr>
        <w:t>一批领军企业、高成长性企业、专精特新和科创型中小企业。开展分类专项指导帮扶，推动中小企业深耕主业、培育精品、塑造品牌。加大对科技型中小企业研发活动的支持，引导更多资源向科技型中小企业聚集。积极引导创业投资、私募股权、并购基金等社会资本支持高成长企业发展。</w:t>
      </w:r>
      <w:r>
        <w:rPr>
          <w:rFonts w:hint="eastAsia" w:ascii="Times New Roman" w:hAnsi="Times New Roman"/>
          <w:b/>
          <w:bCs/>
        </w:rPr>
        <w:t>培育规上工业企业。</w:t>
      </w:r>
      <w:r>
        <w:rPr>
          <w:rFonts w:hint="eastAsia" w:ascii="Times New Roman" w:hAnsi="Times New Roman"/>
          <w:b w:val="0"/>
          <w:bCs w:val="0"/>
        </w:rPr>
        <w:t>通过企业调研走访，摸清全区规模以下工业企业数量和运营情况，分行业、</w:t>
      </w:r>
      <w:r>
        <w:rPr>
          <w:rFonts w:hint="eastAsia"/>
          <w:b w:val="0"/>
          <w:bCs w:val="0"/>
          <w:lang w:val="en-US" w:eastAsia="zh-CN"/>
        </w:rPr>
        <w:t>分</w:t>
      </w:r>
      <w:r>
        <w:rPr>
          <w:rFonts w:hint="eastAsia" w:ascii="Times New Roman" w:hAnsi="Times New Roman"/>
          <w:b w:val="0"/>
          <w:bCs w:val="0"/>
        </w:rPr>
        <w:t>标准建立“企转规”后备库，形成企业培育档案及成长档案，分年度明确“企转规”培育目标。强化政策扶持和精准服务，促进一批成长性好、产品优的企业尽快入规入统。</w:t>
      </w:r>
    </w:p>
    <w:p w14:paraId="2B0C0B95">
      <w:pPr>
        <w:bidi w:val="0"/>
        <w:rPr>
          <w:rFonts w:hint="eastAsia" w:ascii="Times New Roman" w:hAnsi="Times New Roman"/>
          <w:szCs w:val="22"/>
        </w:rPr>
      </w:pPr>
      <w:r>
        <w:rPr>
          <w:rFonts w:hint="eastAsia" w:ascii="Times New Roman" w:hAnsi="Times New Roman"/>
          <w:b/>
          <w:bCs/>
          <w:lang w:val="en-US" w:eastAsia="zh-CN"/>
        </w:rPr>
        <w:t>持续增强企业创新能力</w:t>
      </w:r>
      <w:r>
        <w:rPr>
          <w:rFonts w:hint="eastAsia" w:ascii="Times New Roman" w:hAnsi="Times New Roman"/>
          <w:b/>
          <w:bCs/>
        </w:rPr>
        <w:t>。推动创新要素向企业集聚。</w:t>
      </w:r>
      <w:r>
        <w:rPr>
          <w:rFonts w:hint="eastAsia" w:ascii="Times New Roman" w:hAnsi="Times New Roman"/>
        </w:rPr>
        <w:t>促进创新资源与企业需求精准对接，吸引各类创新要素向企业集聚。加快完善以企业为主体、市场为导向、产学研用深度融合的技术创新体系，支持建立利益共享、风险共担、技术共进的市场化利益联结机制。鼓励由企业做“盟主”</w:t>
      </w:r>
      <w:r>
        <w:rPr>
          <w:rFonts w:hint="eastAsia"/>
          <w:lang w:eastAsia="zh-CN"/>
        </w:rPr>
        <w:t>，</w:t>
      </w:r>
      <w:r>
        <w:rPr>
          <w:rFonts w:hint="eastAsia"/>
          <w:lang w:val="en-US" w:eastAsia="zh-CN"/>
        </w:rPr>
        <w:t>建立以</w:t>
      </w:r>
      <w:r>
        <w:rPr>
          <w:rFonts w:hint="eastAsia" w:ascii="Times New Roman" w:hAnsi="Times New Roman"/>
        </w:rPr>
        <w:t>契约为纽带、有明确市场目标的实质性产学研联盟，解决企业研学研用衔接不畅、科技人才短缺困境。引导各类平台创新资源向企业开放，推动各类创新要素跨界融合发展。</w:t>
      </w:r>
      <w:r>
        <w:rPr>
          <w:rFonts w:hint="eastAsia" w:ascii="Times New Roman" w:hAnsi="Times New Roman"/>
          <w:b/>
          <w:bCs/>
        </w:rPr>
        <w:t>引导企业加大研发投入。</w:t>
      </w:r>
      <w:r>
        <w:rPr>
          <w:rFonts w:hint="eastAsia" w:ascii="Times New Roman" w:hAnsi="Times New Roman"/>
          <w:b w:val="0"/>
          <w:bCs w:val="0"/>
        </w:rPr>
        <w:t>以农安县产业发展战略需求为导向，鼓励企业开放式创新</w:t>
      </w:r>
      <w:r>
        <w:rPr>
          <w:rFonts w:hint="eastAsia" w:ascii="Times New Roman" w:hAnsi="Times New Roman"/>
          <w:b w:val="0"/>
          <w:bCs w:val="0"/>
          <w:lang w:eastAsia="zh-CN"/>
        </w:rPr>
        <w:t>，</w:t>
      </w:r>
      <w:r>
        <w:rPr>
          <w:rFonts w:hint="eastAsia" w:ascii="Times New Roman" w:hAnsi="Times New Roman"/>
        </w:rPr>
        <w:t>加强重点实验室、工程研究中心、技术创新中心、企业技术中心等创新基地和平台建设，提高自主创新能力；鼓励区内重点企业围绕产业发展和生产实践，积极承担国家和省市重大科技专项和重点课题</w:t>
      </w:r>
      <w:r>
        <w:rPr>
          <w:rFonts w:hint="eastAsia" w:ascii="Times New Roman" w:hAnsi="Times New Roman"/>
          <w:lang w:eastAsia="zh-CN"/>
        </w:rPr>
        <w:t>；</w:t>
      </w:r>
      <w:r>
        <w:rPr>
          <w:rFonts w:hint="eastAsia" w:ascii="Times New Roman" w:hAnsi="Times New Roman"/>
        </w:rPr>
        <w:t>充分发挥科技专项资金引导作用，加大市</w:t>
      </w:r>
      <w:r>
        <w:rPr>
          <w:rFonts w:hint="eastAsia" w:ascii="Times New Roman" w:hAnsi="Times New Roman"/>
          <w:lang w:val="en-US" w:eastAsia="zh-CN"/>
        </w:rPr>
        <w:t>级</w:t>
      </w:r>
      <w:r>
        <w:rPr>
          <w:rFonts w:hint="eastAsia" w:ascii="Times New Roman" w:hAnsi="Times New Roman"/>
        </w:rPr>
        <w:t>科技专项补助资金对科技型企业支持比重，引导企业成为创新活动的投入主体；强化对进入培育库、首次认定和重新认定的高新技术企业，以及首次认定的省级瞪羚独角兽企业给予研发经费补助，降低创新创业成本。</w:t>
      </w:r>
    </w:p>
    <w:p w14:paraId="758152AE">
      <w:pPr>
        <w:pStyle w:val="7"/>
        <w:bidi w:val="0"/>
        <w:rPr>
          <w:rFonts w:hint="eastAsia" w:ascii="Times New Roman" w:hAnsi="Times New Roman"/>
          <w:b/>
          <w:lang w:val="en-US" w:eastAsia="zh-CN"/>
        </w:rPr>
      </w:pPr>
      <w:bookmarkStart w:id="103" w:name="_Toc3073"/>
      <w:bookmarkStart w:id="104" w:name="_Toc30558"/>
      <w:bookmarkStart w:id="105" w:name="_Toc2849"/>
      <w:bookmarkStart w:id="106" w:name="_Toc13776"/>
      <w:r>
        <w:rPr>
          <w:rFonts w:hint="eastAsia" w:ascii="Times New Roman" w:hAnsi="Times New Roman"/>
          <w:b/>
          <w:lang w:val="en-US" w:eastAsia="zh-CN"/>
        </w:rPr>
        <w:t>第三节  推动科技成果转化应用</w:t>
      </w:r>
      <w:bookmarkEnd w:id="103"/>
      <w:bookmarkEnd w:id="104"/>
      <w:bookmarkEnd w:id="105"/>
      <w:bookmarkEnd w:id="106"/>
    </w:p>
    <w:p w14:paraId="0BA09467">
      <w:pPr>
        <w:bidi w:val="0"/>
        <w:rPr>
          <w:rFonts w:hint="eastAsia" w:ascii="Times New Roman" w:hAnsi="Times New Roman"/>
        </w:rPr>
      </w:pPr>
      <w:r>
        <w:rPr>
          <w:rFonts w:hint="eastAsia" w:ascii="Times New Roman" w:hAnsi="Times New Roman"/>
          <w:b/>
          <w:bCs/>
        </w:rPr>
        <w:t>健全科技成果转化体系。推动政产学研创新协同。</w:t>
      </w:r>
      <w:r>
        <w:rPr>
          <w:rFonts w:hint="eastAsia" w:ascii="Times New Roman" w:hAnsi="Times New Roman"/>
        </w:rPr>
        <w:t>依托长春科教资源优势，建立完善与吉林大学、长春理工、省农科院、吉林农大等在长重点院所科技成果转化战略合作机制，积极探索“产业技术研究院+产业园区+产业投资基金”等成果转化模式，集聚各方力量精准对接服务创新平台与县域重点企业的实际需求，积极构建以产学研一体化联盟为牵引的“订单式”研发应用体系，推动科技成果农安转化。</w:t>
      </w:r>
      <w:r>
        <w:rPr>
          <w:rFonts w:hint="eastAsia" w:ascii="Times New Roman" w:hAnsi="Times New Roman"/>
          <w:b/>
          <w:bCs/>
        </w:rPr>
        <w:t>提升</w:t>
      </w:r>
      <w:r>
        <w:rPr>
          <w:rFonts w:hint="eastAsia" w:ascii="Times New Roman" w:hAnsi="Times New Roman"/>
          <w:b/>
          <w:bCs/>
          <w:lang w:val="en-US" w:eastAsia="zh-CN"/>
        </w:rPr>
        <w:t>科技</w:t>
      </w:r>
      <w:r>
        <w:rPr>
          <w:rFonts w:hint="eastAsia" w:ascii="Times New Roman" w:hAnsi="Times New Roman"/>
          <w:b/>
          <w:bCs/>
        </w:rPr>
        <w:t>成果产业化</w:t>
      </w:r>
      <w:r>
        <w:rPr>
          <w:rFonts w:hint="eastAsia" w:ascii="Times New Roman" w:hAnsi="Times New Roman"/>
          <w:b/>
          <w:bCs/>
          <w:lang w:val="en-US" w:eastAsia="zh-CN"/>
        </w:rPr>
        <w:t>效率</w:t>
      </w:r>
      <w:r>
        <w:rPr>
          <w:rFonts w:hint="eastAsia" w:ascii="Times New Roman" w:hAnsi="Times New Roman"/>
          <w:b/>
          <w:bCs/>
        </w:rPr>
        <w:t>。</w:t>
      </w:r>
      <w:r>
        <w:rPr>
          <w:rFonts w:hint="eastAsia" w:ascii="Times New Roman" w:hAnsi="Times New Roman"/>
        </w:rPr>
        <w:t>努力加快发展众创空间、大学科技园、科技企业孵化器等创业服务平台，打造一批高品质创新空间，强化对科技创新平台的硬件支持和配套服务</w:t>
      </w:r>
      <w:r>
        <w:rPr>
          <w:rFonts w:hint="eastAsia" w:ascii="Times New Roman" w:hAnsi="Times New Roman"/>
          <w:lang w:eastAsia="zh-CN"/>
        </w:rPr>
        <w:t>。</w:t>
      </w:r>
      <w:r>
        <w:rPr>
          <w:rFonts w:hint="eastAsia" w:ascii="Times New Roman" w:hAnsi="Times New Roman"/>
          <w:b w:val="0"/>
          <w:bCs w:val="0"/>
        </w:rPr>
        <w:t>引进培育创业孵化、技术转移、科技金融、知识产权、科技咨询等各类社会化的科技服务机构，完善科技成果落地承接机制。</w:t>
      </w:r>
      <w:r>
        <w:rPr>
          <w:rFonts w:hint="eastAsia" w:ascii="Times New Roman" w:hAnsi="Times New Roman"/>
        </w:rPr>
        <w:t>深度挖掘具有自主知识产权和专利技术的优质产品，通过系统的科学论证与精细化包装，积极申报国家、省、市级科技发展计划项目。全力争取政策扶持与资金支持，加速专利技术向现实生产力转化，培育工业经济高质量发展新动能。</w:t>
      </w:r>
    </w:p>
    <w:p w14:paraId="0C33A5D1">
      <w:pPr>
        <w:bidi w:val="0"/>
        <w:rPr>
          <w:rFonts w:hint="eastAsia" w:ascii="Times New Roman" w:hAnsi="Times New Roman"/>
        </w:rPr>
      </w:pPr>
      <w:r>
        <w:rPr>
          <w:rFonts w:hint="eastAsia" w:ascii="Times New Roman" w:hAnsi="Times New Roman"/>
          <w:b/>
          <w:bCs/>
        </w:rPr>
        <w:t>营造良好</w:t>
      </w:r>
      <w:r>
        <w:rPr>
          <w:rFonts w:hint="eastAsia" w:ascii="Times New Roman" w:hAnsi="Times New Roman"/>
          <w:b/>
          <w:bCs/>
          <w:lang w:val="en-US" w:eastAsia="zh-CN"/>
        </w:rPr>
        <w:t>科技</w:t>
      </w:r>
      <w:r>
        <w:rPr>
          <w:rFonts w:hint="eastAsia" w:ascii="Times New Roman" w:hAnsi="Times New Roman"/>
          <w:b/>
          <w:bCs/>
        </w:rPr>
        <w:t>创新生态。完善科技成果转化机制。</w:t>
      </w:r>
      <w:r>
        <w:rPr>
          <w:rFonts w:hint="eastAsia" w:ascii="Times New Roman" w:hAnsi="Times New Roman"/>
        </w:rPr>
        <w:t>建立健全科技成果转化服务体系，充分利用省市科技成果信息发布、评估、交易等服务平台，促进科技成果供需对接。完善科技成果转化激励机制，对在科技成果转化中作出突出贡献的单位和个人给予奖励。加强知识产权保护，加大对侵权行为的打击力度，营造良好的科技成果转化环境。</w:t>
      </w:r>
      <w:r>
        <w:rPr>
          <w:rFonts w:hint="eastAsia" w:ascii="Times New Roman" w:hAnsi="Times New Roman"/>
          <w:b/>
          <w:bCs/>
        </w:rPr>
        <w:t>完善科技金融体系。</w:t>
      </w:r>
      <w:r>
        <w:rPr>
          <w:rFonts w:hint="eastAsia" w:ascii="Times New Roman" w:hAnsi="Times New Roman"/>
        </w:rPr>
        <w:t>建立政府引导、企业主体、社会参与的多元化科技投入体系</w:t>
      </w:r>
      <w:r>
        <w:rPr>
          <w:rFonts w:hint="eastAsia" w:ascii="Times New Roman" w:hAnsi="Times New Roman"/>
          <w:lang w:eastAsia="zh-CN"/>
        </w:rPr>
        <w:t>，</w:t>
      </w:r>
      <w:r>
        <w:rPr>
          <w:rFonts w:hint="eastAsia" w:ascii="Times New Roman" w:hAnsi="Times New Roman"/>
        </w:rPr>
        <w:t>建立科技投入稳定增长机制，加大对企业技术改造提升、科技创新和科技成果转移转化的支持力度</w:t>
      </w:r>
      <w:r>
        <w:rPr>
          <w:rFonts w:hint="eastAsia" w:ascii="Times New Roman" w:hAnsi="Times New Roman"/>
          <w:lang w:eastAsia="zh-CN"/>
        </w:rPr>
        <w:t>；</w:t>
      </w:r>
      <w:r>
        <w:rPr>
          <w:rFonts w:hint="eastAsia" w:ascii="Times New Roman" w:hAnsi="Times New Roman"/>
        </w:rPr>
        <w:t>鼓励金融机构开展科技金融服务，创新科技信贷产品，拓宽科技企业融资渠道，引导社会资本设立各类科技产业投资基金，支持科技成果转化和创新创业项目。</w:t>
      </w:r>
      <w:r>
        <w:rPr>
          <w:rFonts w:hint="eastAsia" w:ascii="Times New Roman" w:hAnsi="Times New Roman"/>
          <w:b/>
          <w:bCs/>
        </w:rPr>
        <w:t>开展新技术新产品新场景大规模应用。</w:t>
      </w:r>
      <w:r>
        <w:rPr>
          <w:rFonts w:hint="eastAsia" w:ascii="Times New Roman" w:hAnsi="Times New Roman"/>
        </w:rPr>
        <w:t>完善可转化成果清单、企业技术需求清单，实现供需双方的高效匹配，常态化组织供需对接活动；推广一批“农业+科技”“工业+科技”“文旅+科技”等跨界融合场景，打造一批特色场景，遴选支持一批新技术新产品新场景应用项目。</w:t>
      </w:r>
    </w:p>
    <w:p w14:paraId="7901DA58">
      <w:pPr>
        <w:pStyle w:val="5"/>
        <w:bidi w:val="0"/>
        <w:rPr>
          <w:rFonts w:hint="eastAsia" w:ascii="Times New Roman" w:hAnsi="Times New Roman"/>
        </w:rPr>
      </w:pPr>
      <w:bookmarkStart w:id="107" w:name="_Toc24046"/>
      <w:bookmarkStart w:id="108" w:name="_Toc6964"/>
      <w:bookmarkStart w:id="109" w:name="_Toc17350"/>
      <w:bookmarkStart w:id="110" w:name="_Toc29401"/>
      <w:r>
        <w:rPr>
          <w:rFonts w:hint="eastAsia" w:ascii="Times New Roman" w:hAnsi="Times New Roman"/>
        </w:rPr>
        <w:t>第八章 强化</w:t>
      </w:r>
      <w:r>
        <w:rPr>
          <w:rFonts w:hint="eastAsia" w:ascii="Times New Roman" w:hAnsi="Times New Roman"/>
          <w:lang w:val="en-US" w:eastAsia="zh-CN"/>
        </w:rPr>
        <w:t>产业</w:t>
      </w:r>
      <w:r>
        <w:rPr>
          <w:rFonts w:hint="eastAsia" w:ascii="Times New Roman" w:hAnsi="Times New Roman"/>
        </w:rPr>
        <w:t>协同开放，拓展开放发展新空间</w:t>
      </w:r>
      <w:bookmarkEnd w:id="107"/>
      <w:bookmarkEnd w:id="108"/>
      <w:bookmarkEnd w:id="109"/>
      <w:bookmarkEnd w:id="110"/>
    </w:p>
    <w:p w14:paraId="67B12EB2">
      <w:pPr>
        <w:pStyle w:val="7"/>
        <w:bidi w:val="0"/>
        <w:rPr>
          <w:rFonts w:hint="eastAsia" w:ascii="Times New Roman" w:hAnsi="Times New Roman"/>
          <w:b/>
          <w:lang w:val="en-US" w:eastAsia="zh-CN"/>
        </w:rPr>
      </w:pPr>
      <w:bookmarkStart w:id="111" w:name="_Toc20243"/>
      <w:bookmarkStart w:id="112" w:name="_Toc32230"/>
      <w:bookmarkStart w:id="113" w:name="_Toc8427"/>
      <w:r>
        <w:rPr>
          <w:rFonts w:hint="eastAsia" w:ascii="Times New Roman" w:hAnsi="Times New Roman"/>
          <w:b/>
          <w:lang w:val="en-US" w:eastAsia="zh-CN"/>
        </w:rPr>
        <w:t>第一节  加强省内合作</w:t>
      </w:r>
      <w:bookmarkEnd w:id="111"/>
      <w:bookmarkEnd w:id="112"/>
      <w:bookmarkEnd w:id="113"/>
    </w:p>
    <w:p w14:paraId="31BE5842">
      <w:pPr>
        <w:bidi w:val="0"/>
        <w:rPr>
          <w:rFonts w:hint="default" w:ascii="Times New Roman" w:hAnsi="Times New Roman"/>
          <w:lang w:val="en-US" w:eastAsia="zh-CN"/>
        </w:rPr>
      </w:pPr>
      <w:r>
        <w:rPr>
          <w:rFonts w:hint="eastAsia" w:ascii="Times New Roman" w:hAnsi="Times New Roman"/>
          <w:b/>
          <w:bCs/>
          <w:lang w:val="en-US" w:eastAsia="zh-CN"/>
        </w:rPr>
        <w:t>深度融入长春都市圈建设。</w:t>
      </w:r>
      <w:r>
        <w:rPr>
          <w:rFonts w:hint="eastAsia" w:ascii="Times New Roman" w:hAnsi="Times New Roman"/>
          <w:lang w:val="en-US" w:eastAsia="zh-CN"/>
        </w:rPr>
        <w:t>积极响应区域一体化发展战略，依托交通区位优势，加快与长春主城区的交通互联互通，</w:t>
      </w:r>
      <w:bookmarkStart w:id="114" w:name="OLE_LINK4"/>
      <w:r>
        <w:rPr>
          <w:rFonts w:hint="eastAsia" w:ascii="Times New Roman" w:hAnsi="Times New Roman"/>
          <w:lang w:val="en-US" w:eastAsia="zh-CN"/>
        </w:rPr>
        <w:t>在城乡建设、产业协同、要素资源流通等方面</w:t>
      </w:r>
      <w:bookmarkEnd w:id="114"/>
      <w:r>
        <w:rPr>
          <w:rFonts w:hint="eastAsia" w:ascii="Times New Roman" w:hAnsi="Times New Roman"/>
          <w:lang w:val="en-US" w:eastAsia="zh-CN"/>
        </w:rPr>
        <w:t>与长春协同互动，深度融入</w:t>
      </w:r>
      <w:bookmarkStart w:id="115" w:name="OLE_LINK1"/>
      <w:r>
        <w:rPr>
          <w:rFonts w:hint="eastAsia" w:ascii="Times New Roman" w:hAnsi="Times New Roman"/>
          <w:lang w:val="en-US" w:eastAsia="zh-CN"/>
        </w:rPr>
        <w:t>长春现代化都市圈建设</w:t>
      </w:r>
      <w:bookmarkEnd w:id="115"/>
      <w:r>
        <w:rPr>
          <w:rFonts w:hint="eastAsia" w:ascii="Times New Roman" w:hAnsi="Times New Roman"/>
          <w:lang w:val="en-US" w:eastAsia="zh-CN"/>
        </w:rPr>
        <w:t>体系。</w:t>
      </w:r>
      <w:r>
        <w:rPr>
          <w:rFonts w:hint="eastAsia" w:ascii="Times New Roman" w:hAnsi="Times New Roman"/>
          <w:b/>
          <w:bCs/>
          <w:lang w:val="en-US" w:eastAsia="zh-CN"/>
        </w:rPr>
        <w:t>推动城乡建设接轨长春都市圈。</w:t>
      </w:r>
      <w:r>
        <w:rPr>
          <w:rFonts w:hint="eastAsia" w:ascii="Times New Roman" w:hAnsi="Times New Roman"/>
          <w:lang w:val="en-US" w:eastAsia="zh-CN"/>
        </w:rPr>
        <w:t>按照城乡统筹、科学布局要求，实施一批链接长春都市圈建设的重大项目，积极推动增量配电网、太平池文旅开发、波罗湖治理等项目建设进程，加快长春经济圈公路农安至巴吉垒至新阳段、长太高速公路等直接或间接连通长春的交通道路建设升级，全面推动城乡建设跟上长春现代化都市圈建设步伐。</w:t>
      </w:r>
      <w:r>
        <w:rPr>
          <w:rFonts w:hint="eastAsia" w:ascii="Times New Roman" w:hAnsi="Times New Roman"/>
          <w:b/>
          <w:bCs/>
          <w:lang w:val="en-US" w:eastAsia="zh-CN"/>
        </w:rPr>
        <w:t>主动参与长春都市圈产业分工协作。</w:t>
      </w:r>
      <w:r>
        <w:rPr>
          <w:rFonts w:hint="eastAsia" w:ascii="Times New Roman" w:hAnsi="Times New Roman"/>
          <w:lang w:val="en-US" w:eastAsia="zh-CN"/>
        </w:rPr>
        <w:t>积极融入“3转 4强 7新”现代产业体系建设，围绕先进制造业、农产品、文旅等领域，加强与长春及圈内其他城市的产业合作，</w:t>
      </w:r>
      <w:r>
        <w:rPr>
          <w:rFonts w:hint="eastAsia" w:ascii="Times New Roman" w:hAnsi="Times New Roman"/>
          <w:lang w:eastAsia="zh-CN"/>
        </w:rPr>
        <w:t>支持</w:t>
      </w:r>
      <w:r>
        <w:rPr>
          <w:rFonts w:hint="eastAsia" w:ascii="Times New Roman" w:hAnsi="Times New Roman"/>
          <w:lang w:val="en-US" w:eastAsia="zh-CN"/>
        </w:rPr>
        <w:t>农安新能源、农畜产品精深加工、</w:t>
      </w:r>
      <w:r>
        <w:rPr>
          <w:rFonts w:hint="eastAsia"/>
          <w:lang w:val="en-US" w:eastAsia="zh-CN"/>
        </w:rPr>
        <w:t>智能</w:t>
      </w:r>
      <w:r>
        <w:rPr>
          <w:rFonts w:hint="eastAsia" w:ascii="Times New Roman" w:hAnsi="Times New Roman"/>
          <w:lang w:val="en-US" w:eastAsia="zh-CN"/>
        </w:rPr>
        <w:t>装备制造、医药健康等领域</w:t>
      </w:r>
      <w:r>
        <w:rPr>
          <w:rFonts w:hint="eastAsia" w:ascii="Times New Roman" w:hAnsi="Times New Roman"/>
          <w:lang w:eastAsia="zh-CN"/>
        </w:rPr>
        <w:t>企业进入</w:t>
      </w:r>
      <w:r>
        <w:rPr>
          <w:rFonts w:hint="eastAsia" w:ascii="Times New Roman" w:hAnsi="Times New Roman"/>
          <w:lang w:val="en-US" w:eastAsia="zh-CN"/>
        </w:rPr>
        <w:t>长春产业链</w:t>
      </w:r>
      <w:r>
        <w:rPr>
          <w:rFonts w:hint="eastAsia" w:ascii="Times New Roman" w:hAnsi="Times New Roman"/>
          <w:lang w:eastAsia="zh-CN"/>
        </w:rPr>
        <w:t>协作配套圈，</w:t>
      </w:r>
      <w:r>
        <w:rPr>
          <w:rFonts w:hint="eastAsia" w:ascii="Times New Roman" w:hAnsi="Times New Roman"/>
          <w:lang w:val="en-US" w:eastAsia="zh-CN"/>
        </w:rPr>
        <w:t>充分利用农安增量配电网园区电价优势，重点承接长春汽车、轨道交通装备等先进制造业转移</w:t>
      </w:r>
      <w:r>
        <w:rPr>
          <w:rFonts w:hint="eastAsia" w:ascii="Times New Roman" w:hAnsi="Times New Roman"/>
          <w:lang w:eastAsia="zh-CN"/>
        </w:rPr>
        <w:t>。</w:t>
      </w:r>
      <w:r>
        <w:rPr>
          <w:rFonts w:hint="eastAsia" w:ascii="Times New Roman" w:hAnsi="Times New Roman"/>
          <w:lang w:val="en-US" w:eastAsia="zh-CN"/>
        </w:rPr>
        <w:t>提升农安能源产品在全市的供应保障能力，打造长春省会城市群经济圈的能源产品供应基地。</w:t>
      </w:r>
      <w:r>
        <w:rPr>
          <w:rFonts w:hint="eastAsia" w:ascii="Times New Roman" w:hAnsi="Times New Roman"/>
          <w:b/>
          <w:bCs/>
          <w:lang w:val="en-US" w:eastAsia="zh-CN"/>
        </w:rPr>
        <w:t>以</w:t>
      </w:r>
      <w:r>
        <w:rPr>
          <w:rFonts w:hint="default" w:ascii="Times New Roman" w:hAnsi="Times New Roman"/>
          <w:b/>
          <w:bCs/>
          <w:lang w:val="en-US" w:eastAsia="zh-CN"/>
        </w:rPr>
        <w:t>结对合作</w:t>
      </w:r>
      <w:r>
        <w:rPr>
          <w:rFonts w:hint="eastAsia" w:ascii="Times New Roman" w:hAnsi="Times New Roman"/>
          <w:b/>
          <w:bCs/>
          <w:lang w:val="en-US" w:eastAsia="zh-CN"/>
        </w:rPr>
        <w:t>推动要素资源高效流通。</w:t>
      </w:r>
      <w:bookmarkStart w:id="116" w:name="OLE_LINK5"/>
      <w:r>
        <w:rPr>
          <w:rFonts w:hint="eastAsia" w:ascii="Times New Roman" w:hAnsi="Times New Roman"/>
          <w:lang w:val="en-US" w:eastAsia="zh-CN"/>
        </w:rPr>
        <w:t>加强与</w:t>
      </w:r>
      <w:r>
        <w:rPr>
          <w:rFonts w:hint="default" w:ascii="Times New Roman" w:hAnsi="Times New Roman"/>
          <w:lang w:val="en-US" w:eastAsia="zh-CN"/>
        </w:rPr>
        <w:t>南关区结对合作</w:t>
      </w:r>
      <w:r>
        <w:rPr>
          <w:rFonts w:hint="eastAsia" w:ascii="Times New Roman" w:hAnsi="Times New Roman"/>
          <w:lang w:val="en-US" w:eastAsia="zh-CN"/>
        </w:rPr>
        <w:t>，深化产业发展、科技创新、社会事业、文化旅游等多方面的合作交流，推动两地农产品加工业、金融服务业互助合作，探索飞地园区建设，构建科技创新共同体，组织开展联合产业招商，实施人才共育共享，</w:t>
      </w:r>
      <w:r>
        <w:rPr>
          <w:rFonts w:hint="default" w:ascii="Times New Roman" w:hAnsi="Times New Roman"/>
          <w:lang w:val="en-US" w:eastAsia="zh-CN"/>
        </w:rPr>
        <w:t>逐步形成工农互促、城乡互补、协调发展、共同繁荣的新型工农城乡关系。</w:t>
      </w:r>
    </w:p>
    <w:p w14:paraId="56FB5549">
      <w:pPr>
        <w:bidi w:val="0"/>
        <w:rPr>
          <w:rFonts w:hint="eastAsia" w:ascii="Times New Roman" w:hAnsi="Times New Roman"/>
          <w:lang w:val="en-US" w:eastAsia="zh-CN"/>
        </w:rPr>
      </w:pPr>
      <w:r>
        <w:rPr>
          <w:rFonts w:hint="eastAsia" w:ascii="Times New Roman" w:hAnsi="Times New Roman"/>
          <w:b/>
          <w:bCs/>
          <w:lang w:val="en-US" w:eastAsia="zh-CN"/>
        </w:rPr>
        <w:t>积极融入</w:t>
      </w:r>
      <w:bookmarkStart w:id="117" w:name="OLE_LINK2"/>
      <w:r>
        <w:rPr>
          <w:rFonts w:hint="eastAsia" w:ascii="Times New Roman" w:hAnsi="Times New Roman"/>
          <w:b/>
          <w:bCs/>
          <w:lang w:val="en-US" w:eastAsia="zh-CN"/>
        </w:rPr>
        <w:t>吉林省一体化发展</w:t>
      </w:r>
      <w:bookmarkEnd w:id="117"/>
      <w:r>
        <w:rPr>
          <w:rFonts w:hint="eastAsia" w:ascii="Times New Roman" w:hAnsi="Times New Roman"/>
          <w:b/>
          <w:bCs/>
          <w:lang w:val="en-US" w:eastAsia="zh-CN"/>
        </w:rPr>
        <w:t>。积极融入全省区域协调发展。</w:t>
      </w:r>
      <w:r>
        <w:rPr>
          <w:rFonts w:hint="eastAsia" w:ascii="Times New Roman" w:hAnsi="Times New Roman"/>
          <w:lang w:val="en-US" w:eastAsia="zh-CN"/>
        </w:rPr>
        <w:t>加强农安与长春、吉林、四平、辽源、松原、通化、白山等吉林省重要节点城市的合作交流，主动融入全省区域协调发展战略。</w:t>
      </w:r>
      <w:r>
        <w:rPr>
          <w:rFonts w:hint="eastAsia" w:ascii="Times New Roman" w:hAnsi="Times New Roman"/>
          <w:b/>
          <w:bCs/>
          <w:lang w:val="en-US" w:eastAsia="zh-CN"/>
        </w:rPr>
        <w:t>积极融入长吉图开发开放。</w:t>
      </w:r>
      <w:r>
        <w:rPr>
          <w:rFonts w:hint="eastAsia" w:ascii="Times New Roman" w:hAnsi="Times New Roman"/>
          <w:lang w:val="en-US" w:eastAsia="zh-CN"/>
        </w:rPr>
        <w:t>发挥农安县作为长吉图西进战略重要支点功能，主动参与长吉图开发开放先导区建设，加强与延边珲春等边腹的联动，强化在服务贸易领域合作交流，推动制造业产业链向服务贸易领域延伸拓展。</w:t>
      </w:r>
      <w:r>
        <w:rPr>
          <w:rFonts w:hint="eastAsia" w:ascii="Times New Roman" w:hAnsi="Times New Roman"/>
          <w:b/>
          <w:bCs/>
          <w:lang w:val="en-US" w:eastAsia="zh-CN"/>
        </w:rPr>
        <w:t>主动服务长吉“双极核”城市发展。</w:t>
      </w:r>
      <w:r>
        <w:rPr>
          <w:rFonts w:hint="eastAsia" w:ascii="Times New Roman" w:hAnsi="Times New Roman"/>
          <w:lang w:val="en-US" w:eastAsia="zh-CN"/>
        </w:rPr>
        <w:t>充分发挥农安在新能源、装备制造等优势产业方面的基础优势，积极参与</w:t>
      </w:r>
      <w:bookmarkStart w:id="118" w:name="OLE_LINK6"/>
      <w:r>
        <w:rPr>
          <w:rFonts w:hint="eastAsia" w:ascii="Times New Roman" w:hAnsi="Times New Roman"/>
          <w:lang w:val="en-US" w:eastAsia="zh-CN"/>
        </w:rPr>
        <w:t>长吉北部现代经济产业带建设</w:t>
      </w:r>
      <w:bookmarkEnd w:id="118"/>
      <w:r>
        <w:rPr>
          <w:rFonts w:hint="eastAsia" w:ascii="Times New Roman" w:hAnsi="Times New Roman"/>
          <w:lang w:val="en-US" w:eastAsia="zh-CN"/>
        </w:rPr>
        <w:t>，主动承接食品加工、新能源、新材料等配套产业，</w:t>
      </w:r>
      <w:bookmarkStart w:id="119" w:name="OLE_LINK7"/>
      <w:r>
        <w:rPr>
          <w:rFonts w:hint="eastAsia" w:ascii="Times New Roman" w:hAnsi="Times New Roman"/>
          <w:lang w:val="en-US" w:eastAsia="zh-CN"/>
        </w:rPr>
        <w:t>形成与长吉核心区的联动发展格局。</w:t>
      </w:r>
      <w:bookmarkEnd w:id="119"/>
      <w:r>
        <w:rPr>
          <w:rFonts w:hint="eastAsia" w:ascii="Times New Roman" w:hAnsi="Times New Roman"/>
          <w:b/>
          <w:bCs/>
          <w:lang w:val="en-US" w:eastAsia="zh-CN"/>
        </w:rPr>
        <w:t>积极参与</w:t>
      </w:r>
      <w:bookmarkStart w:id="120" w:name="OLE_LINK8"/>
      <w:r>
        <w:rPr>
          <w:rFonts w:hint="default" w:ascii="Times New Roman" w:hAnsi="Times New Roman"/>
          <w:b/>
          <w:bCs/>
          <w:lang w:val="en-US" w:eastAsia="zh-CN"/>
        </w:rPr>
        <w:t>长平一体化协同发展</w:t>
      </w:r>
      <w:bookmarkEnd w:id="120"/>
      <w:r>
        <w:rPr>
          <w:rFonts w:hint="eastAsia" w:ascii="Times New Roman" w:hAnsi="Times New Roman"/>
          <w:b/>
          <w:bCs/>
          <w:lang w:val="en-US" w:eastAsia="zh-CN"/>
        </w:rPr>
        <w:t>。</w:t>
      </w:r>
      <w:r>
        <w:rPr>
          <w:rFonts w:hint="eastAsia" w:ascii="Times New Roman" w:hAnsi="Times New Roman"/>
          <w:lang w:val="en-US" w:eastAsia="zh-CN"/>
        </w:rPr>
        <w:t>以发展现代化大农业为方向，加强与四平市联动，</w:t>
      </w:r>
      <w:r>
        <w:rPr>
          <w:rFonts w:hint="default" w:ascii="Times New Roman" w:hAnsi="Times New Roman"/>
          <w:lang w:val="en-US" w:eastAsia="zh-CN"/>
        </w:rPr>
        <w:t>共同打造农业高质量发展片区</w:t>
      </w:r>
      <w:r>
        <w:rPr>
          <w:rFonts w:hint="eastAsia" w:ascii="Times New Roman" w:hAnsi="Times New Roman"/>
          <w:lang w:val="en-US" w:eastAsia="zh-CN"/>
        </w:rPr>
        <w:t>；与四平市建立产业发展联动机制，主动参与</w:t>
      </w:r>
      <w:r>
        <w:rPr>
          <w:rFonts w:hint="default" w:ascii="Times New Roman" w:hAnsi="Times New Roman"/>
          <w:lang w:val="en-US" w:eastAsia="zh-CN"/>
        </w:rPr>
        <w:t>长平</w:t>
      </w:r>
      <w:r>
        <w:rPr>
          <w:rFonts w:hint="eastAsia" w:ascii="Times New Roman" w:hAnsi="Times New Roman"/>
          <w:lang w:val="en-US" w:eastAsia="zh-CN"/>
        </w:rPr>
        <w:t>汽车产业链建设，</w:t>
      </w:r>
      <w:r>
        <w:rPr>
          <w:rFonts w:hint="default" w:ascii="Times New Roman" w:hAnsi="Times New Roman"/>
          <w:lang w:val="en-US" w:eastAsia="zh-CN"/>
        </w:rPr>
        <w:t>多元化发展配套产业、拓展下游应用，支持</w:t>
      </w:r>
      <w:r>
        <w:rPr>
          <w:rFonts w:hint="eastAsia" w:ascii="Times New Roman" w:hAnsi="Times New Roman"/>
          <w:lang w:val="en-US" w:eastAsia="zh-CN"/>
        </w:rPr>
        <w:t>县内</w:t>
      </w:r>
      <w:r>
        <w:rPr>
          <w:rFonts w:hint="default" w:ascii="Times New Roman" w:hAnsi="Times New Roman"/>
          <w:lang w:val="en-US" w:eastAsia="zh-CN"/>
        </w:rPr>
        <w:t>企业进入</w:t>
      </w:r>
      <w:r>
        <w:rPr>
          <w:rFonts w:hint="eastAsia" w:ascii="Times New Roman" w:hAnsi="Times New Roman"/>
          <w:lang w:val="en-US" w:eastAsia="zh-CN"/>
        </w:rPr>
        <w:t>长平</w:t>
      </w:r>
      <w:r>
        <w:rPr>
          <w:rFonts w:hint="default" w:ascii="Times New Roman" w:hAnsi="Times New Roman"/>
          <w:lang w:val="en-US" w:eastAsia="zh-CN"/>
        </w:rPr>
        <w:t>汽车</w:t>
      </w:r>
      <w:r>
        <w:rPr>
          <w:rFonts w:hint="eastAsia" w:ascii="Times New Roman" w:hAnsi="Times New Roman"/>
          <w:lang w:val="en-US" w:eastAsia="zh-CN"/>
        </w:rPr>
        <w:t>产业</w:t>
      </w:r>
      <w:r>
        <w:rPr>
          <w:rFonts w:hint="default" w:ascii="Times New Roman" w:hAnsi="Times New Roman"/>
          <w:lang w:val="en-US" w:eastAsia="zh-CN"/>
        </w:rPr>
        <w:t>协作配套圈</w:t>
      </w:r>
      <w:r>
        <w:rPr>
          <w:rFonts w:hint="eastAsia" w:ascii="Times New Roman" w:hAnsi="Times New Roman"/>
          <w:lang w:val="en-US" w:eastAsia="zh-CN"/>
        </w:rPr>
        <w:t>。</w:t>
      </w:r>
    </w:p>
    <w:bookmarkEnd w:id="116"/>
    <w:p w14:paraId="4AFBF2ED">
      <w:pPr>
        <w:pStyle w:val="7"/>
        <w:bidi w:val="0"/>
        <w:rPr>
          <w:rFonts w:hint="eastAsia" w:ascii="Times New Roman" w:hAnsi="Times New Roman"/>
          <w:b/>
          <w:lang w:val="en-US" w:eastAsia="zh-CN"/>
        </w:rPr>
      </w:pPr>
      <w:bookmarkStart w:id="121" w:name="_Toc19700"/>
      <w:bookmarkStart w:id="122" w:name="_Toc13094"/>
      <w:bookmarkStart w:id="123" w:name="_Toc10962"/>
      <w:r>
        <w:rPr>
          <w:rFonts w:hint="eastAsia" w:ascii="Times New Roman" w:hAnsi="Times New Roman"/>
          <w:b/>
          <w:lang w:val="en-US" w:eastAsia="zh-CN"/>
        </w:rPr>
        <w:t>第二节  加强国内合作</w:t>
      </w:r>
      <w:bookmarkEnd w:id="121"/>
      <w:bookmarkEnd w:id="122"/>
      <w:bookmarkEnd w:id="123"/>
    </w:p>
    <w:p w14:paraId="45976A9E">
      <w:pPr>
        <w:bidi w:val="0"/>
        <w:rPr>
          <w:rFonts w:hint="eastAsia" w:ascii="Times New Roman" w:hAnsi="Times New Roman"/>
          <w:lang w:val="en-US" w:eastAsia="zh-CN"/>
        </w:rPr>
      </w:pPr>
      <w:r>
        <w:rPr>
          <w:rFonts w:hint="eastAsia" w:ascii="Times New Roman" w:hAnsi="Times New Roman"/>
          <w:b/>
          <w:bCs/>
          <w:lang w:val="en-US" w:eastAsia="zh-CN"/>
        </w:rPr>
        <w:t>开展对口合作交流。</w:t>
      </w:r>
      <w:r>
        <w:rPr>
          <w:rFonts w:hint="eastAsia" w:ascii="Times New Roman" w:hAnsi="Times New Roman"/>
          <w:lang w:val="en-US" w:eastAsia="zh-CN"/>
        </w:rPr>
        <w:t>基于农安资源禀赋，充分考虑现有产业基础的承接性，深化与天津宝坻区、浙江</w:t>
      </w:r>
      <w:bookmarkStart w:id="124" w:name="OLE_LINK9"/>
      <w:r>
        <w:rPr>
          <w:rFonts w:hint="eastAsia" w:ascii="Times New Roman" w:hAnsi="Times New Roman"/>
          <w:lang w:val="en-US" w:eastAsia="zh-CN"/>
        </w:rPr>
        <w:t>桐庐县</w:t>
      </w:r>
      <w:bookmarkEnd w:id="124"/>
      <w:r>
        <w:rPr>
          <w:rFonts w:hint="eastAsia" w:ascii="Times New Roman" w:hAnsi="Times New Roman"/>
          <w:lang w:val="en-US" w:eastAsia="zh-CN"/>
        </w:rPr>
        <w:t>对口合作，健全完善政府间沟通协调机制，加强在产业、园区、人才等方面合作。</w:t>
      </w:r>
      <w:r>
        <w:rPr>
          <w:rFonts w:hint="eastAsia" w:ascii="Times New Roman" w:hAnsi="Times New Roman"/>
          <w:b/>
          <w:bCs/>
          <w:lang w:val="en-US" w:eastAsia="zh-CN"/>
        </w:rPr>
        <w:t>推动园区合作共建。</w:t>
      </w:r>
      <w:r>
        <w:rPr>
          <w:rFonts w:hint="eastAsia" w:ascii="Times New Roman" w:hAnsi="Times New Roman"/>
          <w:lang w:val="en-US" w:eastAsia="zh-CN"/>
        </w:rPr>
        <w:t>支持农安经济开发区与宝坻九园工业园区、桐庐经济开发区建立合作关系，在产业转移、园区运营、人才交流等方面开展合作，共建产业转移</w:t>
      </w:r>
      <w:r>
        <w:rPr>
          <w:rFonts w:hint="eastAsia"/>
          <w:lang w:val="en-US" w:eastAsia="zh-CN"/>
        </w:rPr>
        <w:t>重点</w:t>
      </w:r>
      <w:r>
        <w:rPr>
          <w:rFonts w:hint="eastAsia" w:ascii="Times New Roman" w:hAnsi="Times New Roman"/>
          <w:lang w:val="en-US" w:eastAsia="zh-CN"/>
        </w:rPr>
        <w:t>承接园区。</w:t>
      </w:r>
      <w:r>
        <w:rPr>
          <w:rFonts w:hint="eastAsia" w:ascii="Times New Roman" w:hAnsi="Times New Roman"/>
          <w:b/>
          <w:bCs/>
          <w:lang w:val="en-US" w:eastAsia="zh-CN"/>
        </w:rPr>
        <w:t>加强产业对接合作。</w:t>
      </w:r>
      <w:r>
        <w:rPr>
          <w:rFonts w:hint="eastAsia" w:ascii="Times New Roman" w:hAnsi="Times New Roman"/>
          <w:lang w:val="en-US" w:eastAsia="zh-CN"/>
        </w:rPr>
        <w:t>围绕农产品加工、装备制造、生物医药、文化旅游等领域，建立产业合作联盟，推进产用结合、产需对接和产业链上下游整合，鼓励天津宝坻农业龙头企业在农安投资建厂，加强与浙江桐庐县旅游业的深度合作，定期举办产业对接活动，推动企业间开展技术合作、产能合作、市场合作，促进产业协同发展。</w:t>
      </w:r>
      <w:bookmarkStart w:id="125" w:name="OLE_LINK10"/>
      <w:r>
        <w:rPr>
          <w:rFonts w:hint="eastAsia" w:ascii="Times New Roman" w:hAnsi="Times New Roman"/>
          <w:b/>
          <w:bCs/>
          <w:lang w:val="en-US" w:eastAsia="zh-CN"/>
        </w:rPr>
        <w:t>加强人才交流</w:t>
      </w:r>
      <w:bookmarkEnd w:id="125"/>
      <w:r>
        <w:rPr>
          <w:rFonts w:hint="eastAsia" w:ascii="Times New Roman" w:hAnsi="Times New Roman"/>
          <w:b/>
          <w:bCs/>
          <w:lang w:val="en-US" w:eastAsia="zh-CN"/>
        </w:rPr>
        <w:t>。</w:t>
      </w:r>
      <w:r>
        <w:rPr>
          <w:rFonts w:hint="eastAsia" w:ascii="Times New Roman" w:hAnsi="Times New Roman"/>
          <w:lang w:val="en-US" w:eastAsia="zh-CN"/>
        </w:rPr>
        <w:t>定期组织优秀干部、专业技术人才到天津宝坻、浙江桐庐挂职锻炼、学习培训，开展教育、医疗、科技等领域人才结对帮扶，提升农安人才队伍整体素质。</w:t>
      </w:r>
    </w:p>
    <w:p w14:paraId="1BC1F2C3">
      <w:pPr>
        <w:bidi w:val="0"/>
        <w:rPr>
          <w:rFonts w:hint="eastAsia" w:ascii="Times New Roman" w:hAnsi="Times New Roman"/>
          <w:lang w:val="en-US" w:eastAsia="zh-CN"/>
        </w:rPr>
      </w:pPr>
      <w:r>
        <w:rPr>
          <w:rFonts w:hint="eastAsia" w:ascii="Times New Roman" w:hAnsi="Times New Roman"/>
          <w:b/>
          <w:bCs/>
          <w:lang w:val="en-US" w:eastAsia="zh-CN"/>
        </w:rPr>
        <w:t>深化多层次战略合作。</w:t>
      </w:r>
      <w:r>
        <w:rPr>
          <w:rFonts w:hint="eastAsia" w:ascii="Times New Roman" w:hAnsi="Times New Roman"/>
          <w:lang w:val="en-US" w:eastAsia="zh-CN"/>
        </w:rPr>
        <w:t>主动融入国家重大发展战略，积极担当区域经济发展和产业链供应链韧性和安全水平提升的重任，探索参与全国统一大市场建设，推动农安经济社会发展深度融入全国发展。</w:t>
      </w:r>
      <w:bookmarkStart w:id="126" w:name="OLE_LINK11"/>
      <w:r>
        <w:rPr>
          <w:rFonts w:hint="eastAsia" w:ascii="Times New Roman" w:hAnsi="Times New Roman"/>
          <w:b/>
          <w:bCs/>
          <w:lang w:val="en-US" w:eastAsia="zh-CN"/>
        </w:rPr>
        <w:t>主动</w:t>
      </w:r>
      <w:bookmarkStart w:id="127" w:name="OLE_LINK15"/>
      <w:r>
        <w:rPr>
          <w:rFonts w:hint="eastAsia" w:ascii="Times New Roman" w:hAnsi="Times New Roman"/>
          <w:b/>
          <w:bCs/>
          <w:lang w:val="en-US" w:eastAsia="zh-CN"/>
        </w:rPr>
        <w:t>担当新时代东北振兴</w:t>
      </w:r>
      <w:bookmarkEnd w:id="126"/>
      <w:bookmarkEnd w:id="127"/>
      <w:r>
        <w:rPr>
          <w:rFonts w:hint="eastAsia" w:ascii="Times New Roman" w:hAnsi="Times New Roman"/>
          <w:b/>
          <w:bCs/>
          <w:lang w:val="en-US" w:eastAsia="zh-CN"/>
        </w:rPr>
        <w:t>重任。</w:t>
      </w:r>
      <w:r>
        <w:rPr>
          <w:rFonts w:hint="eastAsia" w:ascii="Times New Roman" w:hAnsi="Times New Roman"/>
          <w:lang w:val="en-US" w:eastAsia="zh-CN"/>
        </w:rPr>
        <w:t>主动参与东北特色优势的现代化产业体系建设，建设东北区域性共同市场，积极培育新能源、新材料、先进制造等战略性新兴产业，大力发展数字经济，</w:t>
      </w:r>
      <w:r>
        <w:rPr>
          <w:rFonts w:hint="eastAsia"/>
          <w:lang w:val="en-US" w:eastAsia="zh-CN"/>
        </w:rPr>
        <w:t>为东北振兴贡献农安力量</w:t>
      </w:r>
      <w:r>
        <w:rPr>
          <w:rFonts w:hint="eastAsia" w:ascii="Times New Roman" w:hAnsi="Times New Roman"/>
          <w:lang w:val="en-US" w:eastAsia="zh-CN"/>
        </w:rPr>
        <w:t>。</w:t>
      </w:r>
      <w:bookmarkStart w:id="128" w:name="OLE_LINK12"/>
      <w:r>
        <w:rPr>
          <w:rFonts w:hint="eastAsia" w:ascii="Times New Roman" w:hAnsi="Times New Roman"/>
          <w:b/>
          <w:bCs/>
          <w:lang w:val="en-US" w:eastAsia="zh-CN"/>
        </w:rPr>
        <w:t>主动服务</w:t>
      </w:r>
      <w:bookmarkStart w:id="129" w:name="OLE_LINK13"/>
      <w:r>
        <w:rPr>
          <w:rFonts w:hint="eastAsia" w:ascii="Times New Roman" w:hAnsi="Times New Roman"/>
          <w:b/>
          <w:bCs/>
          <w:lang w:val="en-US" w:eastAsia="zh-CN"/>
        </w:rPr>
        <w:t>国家粮食安全</w:t>
      </w:r>
      <w:bookmarkEnd w:id="129"/>
      <w:r>
        <w:rPr>
          <w:rFonts w:hint="eastAsia" w:ascii="Times New Roman" w:hAnsi="Times New Roman"/>
          <w:b/>
          <w:bCs/>
          <w:lang w:val="en-US" w:eastAsia="zh-CN"/>
        </w:rPr>
        <w:t>战略。</w:t>
      </w:r>
      <w:bookmarkEnd w:id="128"/>
      <w:r>
        <w:rPr>
          <w:rFonts w:hint="eastAsia" w:ascii="Times New Roman" w:hAnsi="Times New Roman"/>
          <w:lang w:val="en-US" w:eastAsia="zh-CN"/>
        </w:rPr>
        <w:t>深入实施“藏粮于地、藏粮于技”战略，把粮食稳产保供作为首要任务，严格落实粮食播种任务，提高粮食综合生产能力，努力提升玉米等粮食作物在全国的供应保障能力，着力把资源优势转化为发展优势。</w:t>
      </w:r>
      <w:r>
        <w:rPr>
          <w:rFonts w:hint="eastAsia" w:ascii="Times New Roman" w:hAnsi="Times New Roman"/>
          <w:b/>
          <w:bCs/>
          <w:lang w:val="en-US" w:eastAsia="zh-CN"/>
        </w:rPr>
        <w:t>探索融入国家重大区域发展战略。</w:t>
      </w:r>
      <w:bookmarkStart w:id="130" w:name="OLE_LINK14"/>
      <w:r>
        <w:rPr>
          <w:rFonts w:hint="eastAsia" w:ascii="Times New Roman" w:hAnsi="Times New Roman"/>
          <w:lang w:val="en-US" w:eastAsia="zh-CN"/>
        </w:rPr>
        <w:t>主动对接京津冀协同发展、长江经济带发展、</w:t>
      </w:r>
      <w:bookmarkEnd w:id="130"/>
      <w:r>
        <w:rPr>
          <w:rFonts w:hint="eastAsia" w:ascii="Times New Roman" w:hAnsi="Times New Roman"/>
          <w:lang w:val="en-US" w:eastAsia="zh-CN"/>
        </w:rPr>
        <w:t>粤港澳大湾区建设、长三角一体化发展等国家重大区域发展战略，定期赴产业关联度高的区域开展专题招商推介活动，重点吸引一批新能源、新材料、生物医药、现代智能装备制造等领域的优质企业。</w:t>
      </w:r>
    </w:p>
    <w:p w14:paraId="476E623B">
      <w:pPr>
        <w:rPr>
          <w:rFonts w:hint="eastAsia" w:ascii="Times New Roman" w:hAnsi="Times New Roman"/>
          <w:lang w:val="en-US" w:eastAsia="zh-CN"/>
        </w:rPr>
      </w:pPr>
      <w:r>
        <w:rPr>
          <w:rFonts w:hint="eastAsia" w:ascii="Times New Roman" w:hAnsi="Times New Roman"/>
          <w:lang w:val="en-US" w:eastAsia="zh-CN"/>
        </w:rPr>
        <w:br w:type="page"/>
      </w:r>
    </w:p>
    <w:p w14:paraId="6FDA8021">
      <w:pPr>
        <w:pStyle w:val="4"/>
        <w:bidi w:val="0"/>
        <w:rPr>
          <w:rFonts w:hint="eastAsia" w:ascii="Times New Roman" w:hAnsi="Times New Roman"/>
        </w:rPr>
      </w:pPr>
      <w:bookmarkStart w:id="131" w:name="_Toc28607"/>
      <w:bookmarkStart w:id="132" w:name="_Toc11302"/>
      <w:bookmarkStart w:id="133" w:name="_Toc19881"/>
      <w:bookmarkStart w:id="134" w:name="_Toc28933"/>
      <w:r>
        <w:rPr>
          <w:rFonts w:hint="eastAsia" w:ascii="Times New Roman" w:hAnsi="Times New Roman"/>
        </w:rPr>
        <w:t>城乡篇</w:t>
      </w:r>
      <w:r>
        <w:rPr>
          <w:rFonts w:hint="eastAsia" w:ascii="Times New Roman" w:hAnsi="Times New Roman"/>
          <w:lang w:eastAsia="zh-CN"/>
        </w:rPr>
        <w:t>：</w:t>
      </w:r>
      <w:r>
        <w:rPr>
          <w:rFonts w:hint="eastAsia" w:ascii="Times New Roman" w:hAnsi="Times New Roman"/>
        </w:rPr>
        <w:t>共融共享，全力绘就城乡共富共兴新画卷</w:t>
      </w:r>
      <w:bookmarkEnd w:id="131"/>
      <w:bookmarkEnd w:id="132"/>
      <w:bookmarkEnd w:id="133"/>
      <w:bookmarkEnd w:id="134"/>
    </w:p>
    <w:p w14:paraId="5E92A0AF">
      <w:pPr>
        <w:pStyle w:val="5"/>
        <w:bidi w:val="0"/>
        <w:rPr>
          <w:rFonts w:hint="eastAsia" w:ascii="Times New Roman" w:hAnsi="Times New Roman"/>
        </w:rPr>
      </w:pPr>
      <w:bookmarkStart w:id="135" w:name="_Toc12521"/>
      <w:bookmarkStart w:id="136" w:name="_Toc31673"/>
      <w:bookmarkStart w:id="137" w:name="_Toc21006"/>
      <w:bookmarkStart w:id="138" w:name="_Toc2381"/>
      <w:r>
        <w:rPr>
          <w:rFonts w:hint="eastAsia" w:ascii="Times New Roman" w:hAnsi="Times New Roman"/>
        </w:rPr>
        <w:t xml:space="preserve">第九章 </w:t>
      </w:r>
      <w:r>
        <w:rPr>
          <w:rFonts w:hint="eastAsia" w:ascii="Times New Roman" w:hAnsi="Times New Roman"/>
          <w:lang w:val="en-US" w:eastAsia="zh-CN"/>
        </w:rPr>
        <w:t>加快</w:t>
      </w:r>
      <w:r>
        <w:rPr>
          <w:rFonts w:hint="eastAsia" w:ascii="Times New Roman" w:hAnsi="Times New Roman"/>
        </w:rPr>
        <w:t>新型城镇化建设，构建城乡融合发展新典范</w:t>
      </w:r>
      <w:bookmarkEnd w:id="135"/>
      <w:bookmarkEnd w:id="136"/>
      <w:bookmarkEnd w:id="137"/>
      <w:bookmarkEnd w:id="138"/>
    </w:p>
    <w:p w14:paraId="2F6F4F9D">
      <w:pPr>
        <w:rPr>
          <w:rFonts w:hint="eastAsia" w:ascii="Times New Roman" w:hAnsi="Times New Roman"/>
          <w:b w:val="0"/>
          <w:bCs w:val="0"/>
          <w:lang w:val="en-US" w:eastAsia="zh-CN"/>
        </w:rPr>
      </w:pPr>
      <w:r>
        <w:rPr>
          <w:rFonts w:hint="eastAsia" w:ascii="Times New Roman" w:hAnsi="Times New Roman"/>
          <w:b w:val="0"/>
          <w:bCs w:val="0"/>
          <w:lang w:val="en-US" w:eastAsia="zh-CN"/>
        </w:rPr>
        <w:t>统筹推进新型城镇化与和美乡村建设，促进各类要素城乡双向流动，加强普惠性、基础性、兜底性民生建设，完善基本公共服务体系，解决好医疗、教育、养老、就业等人民最关心最直接最现实的利益问题，不断满足人民对美好生活的向往。</w:t>
      </w:r>
    </w:p>
    <w:p w14:paraId="5687FD16">
      <w:pPr>
        <w:pStyle w:val="7"/>
        <w:bidi w:val="0"/>
        <w:rPr>
          <w:rFonts w:hint="eastAsia" w:ascii="Times New Roman" w:hAnsi="Times New Roman"/>
          <w:b/>
          <w:lang w:val="en-US" w:eastAsia="zh-CN"/>
        </w:rPr>
      </w:pPr>
      <w:bookmarkStart w:id="139" w:name="_Toc25935"/>
      <w:bookmarkStart w:id="140" w:name="_Toc32562"/>
      <w:bookmarkStart w:id="141" w:name="_Toc5179"/>
      <w:r>
        <w:rPr>
          <w:rFonts w:hint="eastAsia" w:ascii="Times New Roman" w:hAnsi="Times New Roman"/>
          <w:b/>
          <w:lang w:val="en-US" w:eastAsia="zh-CN"/>
        </w:rPr>
        <w:t xml:space="preserve">第一节 </w:t>
      </w:r>
      <w:bookmarkStart w:id="142" w:name="OLE_LINK17"/>
      <w:r>
        <w:rPr>
          <w:rFonts w:hint="eastAsia" w:ascii="Times New Roman" w:hAnsi="Times New Roman"/>
          <w:b/>
          <w:lang w:val="en-US" w:eastAsia="zh-CN"/>
        </w:rPr>
        <w:t xml:space="preserve"> 推进农业转移人口市民化</w:t>
      </w:r>
      <w:bookmarkEnd w:id="139"/>
      <w:bookmarkEnd w:id="140"/>
      <w:bookmarkEnd w:id="141"/>
      <w:bookmarkEnd w:id="142"/>
    </w:p>
    <w:p w14:paraId="2314E129">
      <w:pPr>
        <w:rPr>
          <w:rFonts w:hint="eastAsia" w:ascii="Times New Roman" w:hAnsi="Times New Roman"/>
          <w:lang w:val="en-US" w:eastAsia="zh-CN"/>
        </w:rPr>
      </w:pPr>
      <w:bookmarkStart w:id="143" w:name="OLE_LINK18"/>
      <w:r>
        <w:rPr>
          <w:rFonts w:hint="eastAsia" w:ascii="Times New Roman" w:hAnsi="Times New Roman"/>
          <w:b/>
          <w:bCs/>
          <w:lang w:val="en-US" w:eastAsia="zh-CN"/>
        </w:rPr>
        <w:t>进一步深化户籍制度改革。</w:t>
      </w:r>
      <w:bookmarkEnd w:id="143"/>
      <w:r>
        <w:rPr>
          <w:rFonts w:hint="eastAsia" w:ascii="Times New Roman" w:hAnsi="Times New Roman"/>
          <w:b w:val="0"/>
          <w:bCs w:val="0"/>
          <w:lang w:val="en-US" w:eastAsia="zh-CN"/>
        </w:rPr>
        <w:t>保障进城落户农民合法土地权益，依法维护进城落户农民土地承包权、宅基地使用权、集体收益分配权，</w:t>
      </w:r>
      <w:r>
        <w:rPr>
          <w:rFonts w:hint="eastAsia" w:ascii="Times New Roman" w:hAnsi="Times New Roman"/>
          <w:lang w:val="en-US" w:eastAsia="zh-CN"/>
        </w:rPr>
        <w:t>落实城镇“零门槛”落户政策，促进在城镇稳定就业和生活的农业转移人口进城落户，并与城镇居民享有同等权利、履行同等义务。完善公开统一的户籍管理政务服务平台，提高户籍登记、迁移便利度。</w:t>
      </w:r>
    </w:p>
    <w:p w14:paraId="17280836">
      <w:pPr>
        <w:rPr>
          <w:rFonts w:hint="eastAsia" w:ascii="Times New Roman" w:hAnsi="Times New Roman"/>
          <w:lang w:val="en-US" w:eastAsia="zh-CN"/>
        </w:rPr>
      </w:pPr>
      <w:r>
        <w:rPr>
          <w:rFonts w:hint="eastAsia" w:ascii="Times New Roman" w:hAnsi="Times New Roman"/>
          <w:b/>
          <w:bCs/>
          <w:lang w:val="en-US" w:eastAsia="zh-CN"/>
        </w:rPr>
        <w:t>健全常住地提供基本公共服务制度。</w:t>
      </w:r>
      <w:r>
        <w:rPr>
          <w:rFonts w:hint="eastAsia" w:ascii="Times New Roman" w:hAnsi="Times New Roman"/>
          <w:lang w:val="en-US" w:eastAsia="zh-CN"/>
        </w:rPr>
        <w:t>以常住地标准而非户籍地标准提供基本公共服务，增加常住人口可享有的基本公共服务项目，按照常住人口规模优化基本公共服务设施布局，稳步实现基本公共服务由常住地供给、覆盖全部常住人口。</w:t>
      </w:r>
    </w:p>
    <w:p w14:paraId="5862CC84">
      <w:pPr>
        <w:rPr>
          <w:rFonts w:hint="eastAsia" w:ascii="Times New Roman" w:hAnsi="Times New Roman"/>
          <w:lang w:val="en-US" w:eastAsia="zh-CN"/>
        </w:rPr>
      </w:pPr>
      <w:r>
        <w:rPr>
          <w:rFonts w:hint="eastAsia" w:ascii="Times New Roman" w:hAnsi="Times New Roman"/>
          <w:b/>
          <w:bCs/>
          <w:lang w:val="en-US" w:eastAsia="zh-CN"/>
        </w:rPr>
        <w:t>促进农业转移人口在城镇稳定就业。</w:t>
      </w:r>
      <w:r>
        <w:rPr>
          <w:rFonts w:hint="eastAsia" w:ascii="Times New Roman" w:hAnsi="Times New Roman"/>
          <w:lang w:val="en-US" w:eastAsia="zh-CN"/>
        </w:rPr>
        <w:t>完善农民工等重点群体就业支持体系。稳定职业院校面向农业转移人口招生规模，重点支持职业院校（含技工院校）面向农村劳动者、产业工人、退役军人等重点群体提供技术技能培训服务，实施职业教育产教融合赋能提升行动。推进就业服务常住人口全覆盖，推动农村转移人口与城镇劳动者享有公平的就业和发展机会。</w:t>
      </w:r>
    </w:p>
    <w:p w14:paraId="7F26C76B">
      <w:pPr>
        <w:rPr>
          <w:rFonts w:hint="eastAsia" w:ascii="Times New Roman" w:hAnsi="Times New Roman"/>
          <w:lang w:val="en-US" w:eastAsia="zh-CN"/>
        </w:rPr>
      </w:pPr>
      <w:r>
        <w:rPr>
          <w:rFonts w:hint="eastAsia" w:ascii="Times New Roman" w:hAnsi="Times New Roman"/>
          <w:b/>
          <w:bCs/>
          <w:lang w:val="en-US" w:eastAsia="zh-CN"/>
        </w:rPr>
        <w:t>保障随迁子女在流入地受教育权利。</w:t>
      </w:r>
      <w:r>
        <w:rPr>
          <w:rFonts w:hint="eastAsia" w:ascii="Times New Roman" w:hAnsi="Times New Roman"/>
          <w:lang w:val="en-US" w:eastAsia="zh-CN"/>
        </w:rPr>
        <w:t>以公办学校为主将随迁子女纳入流入地义务教育保障范围，“零”门槛接受随迁子女就读小学、初中。加快将随迁子女纳入流入地中等职业教育、普惠性学前教育保障范围。优化区域教育资源配置，建立同人口变化相协调的基本公共教育服务供给机制。</w:t>
      </w:r>
    </w:p>
    <w:p w14:paraId="2904D9AE">
      <w:pPr>
        <w:rPr>
          <w:rFonts w:hint="eastAsia" w:ascii="Times New Roman" w:hAnsi="Times New Roman"/>
          <w:lang w:val="en-US" w:eastAsia="zh-CN"/>
        </w:rPr>
      </w:pPr>
      <w:r>
        <w:rPr>
          <w:rFonts w:hint="eastAsia" w:ascii="Times New Roman" w:hAnsi="Times New Roman"/>
          <w:b/>
          <w:bCs/>
          <w:lang w:val="en-US" w:eastAsia="zh-CN"/>
        </w:rPr>
        <w:t>完善农业转移人口住房保障体系。</w:t>
      </w:r>
      <w:r>
        <w:rPr>
          <w:rFonts w:hint="eastAsia" w:ascii="Times New Roman" w:hAnsi="Times New Roman"/>
          <w:lang w:val="en-US" w:eastAsia="zh-CN"/>
        </w:rPr>
        <w:t>稳步推进保障性住房建设，逐步将稳定就业生活的农业转移人口纳入城市住房保障政策范围。加大农业转移人口经济可承受的小户型保障性租赁住房供给。积极培育发展住房租赁市场，支持采取多种措施通过市场化方式满足农业转移人口住房需求。</w:t>
      </w:r>
    </w:p>
    <w:p w14:paraId="58D49FC5">
      <w:pPr>
        <w:rPr>
          <w:rFonts w:hint="eastAsia" w:ascii="Times New Roman" w:hAnsi="Times New Roman"/>
          <w:lang w:val="en-US" w:eastAsia="zh-CN"/>
        </w:rPr>
      </w:pPr>
      <w:r>
        <w:rPr>
          <w:rFonts w:hint="eastAsia" w:ascii="Times New Roman" w:hAnsi="Times New Roman"/>
          <w:b/>
          <w:bCs/>
          <w:lang w:val="en-US" w:eastAsia="zh-CN"/>
        </w:rPr>
        <w:t>扩大农业转移人口社会保障覆盖面。</w:t>
      </w:r>
      <w:r>
        <w:rPr>
          <w:rFonts w:hint="eastAsia" w:ascii="Times New Roman" w:hAnsi="Times New Roman"/>
          <w:lang w:val="en-US" w:eastAsia="zh-CN"/>
        </w:rPr>
        <w:t>全面取消在就业地参保户籍限制，完善社保关系转移接续政策，提高参保</w:t>
      </w:r>
      <w:r>
        <w:rPr>
          <w:rFonts w:hint="eastAsia"/>
          <w:lang w:val="en-US" w:eastAsia="zh-CN"/>
        </w:rPr>
        <w:t>便利</w:t>
      </w:r>
      <w:r>
        <w:rPr>
          <w:rFonts w:hint="eastAsia" w:ascii="Times New Roman" w:hAnsi="Times New Roman"/>
          <w:lang w:val="en-US" w:eastAsia="zh-CN"/>
        </w:rPr>
        <w:t>度。引导农业转移人口按规定参加职工基本养老和医疗保险。全面落实农业转移人口参加城乡居民基本医疗保险政策，增加异地就医直接结算定点医疗机构数量。将符合条件的农业转移人口纳入社会救助范围，为困难群体基本生活提供兜底保障。</w:t>
      </w:r>
    </w:p>
    <w:p w14:paraId="20056D26">
      <w:pPr>
        <w:pStyle w:val="7"/>
        <w:bidi w:val="0"/>
        <w:rPr>
          <w:rFonts w:hint="default" w:ascii="Times New Roman" w:hAnsi="Times New Roman"/>
          <w:b/>
          <w:lang w:val="en-US" w:eastAsia="zh-CN"/>
        </w:rPr>
      </w:pPr>
      <w:bookmarkStart w:id="144" w:name="_Toc23879"/>
      <w:bookmarkStart w:id="145" w:name="_Toc26953"/>
      <w:bookmarkStart w:id="146" w:name="_Toc25107"/>
      <w:r>
        <w:rPr>
          <w:rFonts w:hint="eastAsia" w:ascii="Times New Roman" w:hAnsi="Times New Roman"/>
          <w:b/>
          <w:lang w:val="en-US" w:eastAsia="zh-CN"/>
        </w:rPr>
        <w:t xml:space="preserve">第二节 </w:t>
      </w:r>
      <w:bookmarkStart w:id="147" w:name="OLE_LINK20"/>
      <w:r>
        <w:rPr>
          <w:rFonts w:hint="eastAsia" w:ascii="Times New Roman" w:hAnsi="Times New Roman"/>
          <w:b/>
          <w:lang w:val="en-US" w:eastAsia="zh-CN"/>
        </w:rPr>
        <w:t xml:space="preserve"> 推动城镇建设内涵式发展</w:t>
      </w:r>
      <w:bookmarkEnd w:id="144"/>
      <w:bookmarkEnd w:id="145"/>
      <w:bookmarkEnd w:id="146"/>
    </w:p>
    <w:p w14:paraId="6913C553">
      <w:pPr>
        <w:bidi w:val="0"/>
        <w:rPr>
          <w:rFonts w:hint="default" w:ascii="Times New Roman" w:hAnsi="Times New Roman"/>
          <w:b/>
          <w:bCs/>
          <w:lang w:val="en-US" w:eastAsia="zh-CN"/>
        </w:rPr>
      </w:pPr>
      <w:r>
        <w:rPr>
          <w:rFonts w:hint="eastAsia" w:ascii="Times New Roman" w:hAnsi="Times New Roman"/>
          <w:b/>
          <w:bCs/>
          <w:lang w:val="en-US" w:eastAsia="zh-CN"/>
        </w:rPr>
        <w:t>加快城镇更新建设和安全韧性提升。</w:t>
      </w:r>
      <w:r>
        <w:rPr>
          <w:rFonts w:hint="default" w:ascii="Times New Roman" w:hAnsi="Times New Roman"/>
          <w:b/>
          <w:bCs/>
          <w:lang w:val="en-US" w:eastAsia="zh-CN"/>
        </w:rPr>
        <w:t>推进</w:t>
      </w:r>
      <w:r>
        <w:rPr>
          <w:rFonts w:hint="eastAsia" w:ascii="Times New Roman" w:hAnsi="Times New Roman"/>
          <w:b/>
          <w:bCs/>
          <w:lang w:val="en-US" w:eastAsia="zh-CN"/>
        </w:rPr>
        <w:t>城镇</w:t>
      </w:r>
      <w:r>
        <w:rPr>
          <w:rFonts w:hint="default" w:ascii="Times New Roman" w:hAnsi="Times New Roman"/>
          <w:b/>
          <w:bCs/>
          <w:lang w:val="en-US" w:eastAsia="zh-CN"/>
        </w:rPr>
        <w:t>老旧小区改造。</w:t>
      </w:r>
      <w:r>
        <w:rPr>
          <w:rFonts w:hint="default" w:ascii="Times New Roman" w:hAnsi="Times New Roman"/>
          <w:lang w:val="en-US" w:eastAsia="zh-CN"/>
        </w:rPr>
        <w:t>以水电路气信邮、供热、消防、安防、生活垃圾分类等配套设施更新及小区内公共部位维修为重点，扎实推进城镇老旧小区改造，有序实施城镇房屋建筑更新改造和加固工程。因地制宜实施小区环境及配套设施改造建设、建筑节能改造等。以“一老一小”人群需求为重点，推进社区嵌入式服务设施建设，加强无障碍环境建设和适老化改造，提高社区公共服务水平。</w:t>
      </w:r>
      <w:r>
        <w:rPr>
          <w:rFonts w:hint="eastAsia" w:ascii="Times New Roman" w:hAnsi="Times New Roman"/>
          <w:b/>
          <w:bCs/>
          <w:lang w:val="en-US" w:eastAsia="zh-CN"/>
        </w:rPr>
        <w:t>完善城镇基础设施体系。</w:t>
      </w:r>
      <w:r>
        <w:rPr>
          <w:rFonts w:hint="eastAsia" w:ascii="Times New Roman" w:hAnsi="Times New Roman"/>
          <w:lang w:val="en-US" w:eastAsia="zh-CN"/>
        </w:rPr>
        <w:t>建立城市更新与城市体检一体化推进机制，</w:t>
      </w:r>
      <w:r>
        <w:rPr>
          <w:rFonts w:hint="eastAsia"/>
          <w:lang w:val="en-US" w:eastAsia="zh-CN"/>
        </w:rPr>
        <w:t>采用</w:t>
      </w:r>
      <w:r>
        <w:rPr>
          <w:rFonts w:hint="eastAsia" w:ascii="Times New Roman" w:hAnsi="Times New Roman"/>
          <w:lang w:val="en-US" w:eastAsia="zh-CN"/>
        </w:rPr>
        <w:t>“体检发现问题、更新解决问题、评估实施效果、推动巩固提升”</w:t>
      </w:r>
      <w:r>
        <w:rPr>
          <w:rFonts w:hint="eastAsia"/>
          <w:lang w:val="en-US" w:eastAsia="zh-CN"/>
        </w:rPr>
        <w:t>方式，</w:t>
      </w:r>
      <w:r>
        <w:rPr>
          <w:rFonts w:hint="eastAsia" w:ascii="Times New Roman" w:hAnsi="Times New Roman"/>
          <w:lang w:val="en-US" w:eastAsia="zh-CN"/>
        </w:rPr>
        <w:t>因地制宜实施基础设施改造</w:t>
      </w:r>
      <w:r>
        <w:rPr>
          <w:rFonts w:hint="eastAsia"/>
          <w:lang w:val="en-US" w:eastAsia="zh-CN"/>
        </w:rPr>
        <w:t>提升</w:t>
      </w:r>
      <w:r>
        <w:rPr>
          <w:rFonts w:hint="eastAsia" w:ascii="Times New Roman" w:hAnsi="Times New Roman"/>
          <w:lang w:val="en-US" w:eastAsia="zh-CN"/>
        </w:rPr>
        <w:t>。</w:t>
      </w:r>
      <w:r>
        <w:rPr>
          <w:rFonts w:hint="default" w:ascii="Times New Roman" w:hAnsi="Times New Roman"/>
          <w:lang w:val="en-US" w:eastAsia="zh-CN"/>
        </w:rPr>
        <w:t>加强雨水管网和泵站建设改造，开展排涝通道系统整治，稳妥推进雨污分流改造</w:t>
      </w:r>
      <w:r>
        <w:rPr>
          <w:rFonts w:hint="eastAsia" w:ascii="Times New Roman" w:hAnsi="Times New Roman"/>
          <w:lang w:val="en-US" w:eastAsia="zh-CN"/>
        </w:rPr>
        <w:t>。</w:t>
      </w:r>
      <w:r>
        <w:rPr>
          <w:rFonts w:hint="default" w:ascii="Times New Roman" w:hAnsi="Times New Roman"/>
          <w:lang w:val="en-US" w:eastAsia="zh-CN"/>
        </w:rPr>
        <w:t>深入开展城市管道和设施普查，有序改造材质落后、使用年限较长、不符合标准的城市燃气、供排水、供热等老化管道和设施，加快消除安全隐患。推广建设5G基站、新能源汽车充电桩等新型基础设施。实施智能化市政基础设施建设，加快建设城市数字公共平台</w:t>
      </w:r>
      <w:r>
        <w:rPr>
          <w:rFonts w:hint="eastAsia" w:ascii="Times New Roman" w:hAnsi="Times New Roman"/>
          <w:lang w:val="en-US" w:eastAsia="zh-CN"/>
        </w:rPr>
        <w:t>，推动</w:t>
      </w:r>
      <w:r>
        <w:rPr>
          <w:rFonts w:hint="default" w:ascii="Times New Roman" w:hAnsi="Times New Roman"/>
          <w:lang w:val="en-US" w:eastAsia="zh-CN"/>
        </w:rPr>
        <w:t>智慧城市</w:t>
      </w:r>
      <w:r>
        <w:rPr>
          <w:rFonts w:hint="eastAsia" w:ascii="Times New Roman" w:hAnsi="Times New Roman"/>
          <w:lang w:val="en-US" w:eastAsia="zh-CN"/>
        </w:rPr>
        <w:t>建设</w:t>
      </w:r>
      <w:r>
        <w:rPr>
          <w:rFonts w:hint="default" w:ascii="Times New Roman" w:hAnsi="Times New Roman"/>
          <w:lang w:val="en-US" w:eastAsia="zh-CN"/>
        </w:rPr>
        <w:t>。</w:t>
      </w:r>
      <w:r>
        <w:rPr>
          <w:rFonts w:hint="eastAsia" w:ascii="Times New Roman" w:hAnsi="Times New Roman"/>
          <w:b/>
          <w:bCs/>
          <w:lang w:val="en-US" w:eastAsia="zh-CN"/>
        </w:rPr>
        <w:t>修复城镇绿色生态系统。</w:t>
      </w:r>
      <w:r>
        <w:rPr>
          <w:rFonts w:hint="eastAsia" w:ascii="Times New Roman" w:hAnsi="Times New Roman"/>
          <w:lang w:val="en-US" w:eastAsia="zh-CN"/>
        </w:rPr>
        <w:t>推进海绵城市建设，保护修复城市湿地，巩固城市黑臭水体治理成效，推进城市水土保持和生态清洁小流域建设。加强建设用地土壤污染风险管控和修复，确保污染地块安全再利用。统筹推进生态廊道、城市绿道、景观廊道等建设，利用街头、社区小微空间等见缝插绿，因地制宜建设社区公园、口袋公园。推动公园绿地开放共享。大力推进城市生物多样性保护，将生物多样性保护要求纳入城市规划建设和相关标准，对重要物种和特殊生境实施精细化保护管理。</w:t>
      </w:r>
    </w:p>
    <w:bookmarkEnd w:id="147"/>
    <w:p w14:paraId="58FD9B49">
      <w:pPr>
        <w:pStyle w:val="7"/>
        <w:bidi w:val="0"/>
        <w:rPr>
          <w:rFonts w:hint="eastAsia" w:ascii="Times New Roman" w:hAnsi="Times New Roman"/>
          <w:b/>
          <w:lang w:val="en-US" w:eastAsia="zh-CN"/>
        </w:rPr>
      </w:pPr>
      <w:bookmarkStart w:id="148" w:name="OLE_LINK19"/>
      <w:bookmarkStart w:id="149" w:name="_Toc21782"/>
      <w:bookmarkStart w:id="150" w:name="_Toc14306"/>
      <w:bookmarkStart w:id="151" w:name="_Toc19811"/>
      <w:r>
        <w:rPr>
          <w:rFonts w:hint="eastAsia" w:ascii="Times New Roman" w:hAnsi="Times New Roman"/>
          <w:b/>
          <w:lang w:val="en-US" w:eastAsia="zh-CN"/>
        </w:rPr>
        <w:t xml:space="preserve">第三节 </w:t>
      </w:r>
      <w:bookmarkEnd w:id="148"/>
      <w:r>
        <w:rPr>
          <w:rFonts w:hint="eastAsia" w:ascii="Times New Roman" w:hAnsi="Times New Roman"/>
          <w:b/>
          <w:lang w:val="en-US" w:eastAsia="zh-CN"/>
        </w:rPr>
        <w:t xml:space="preserve"> 促进城乡融合一体化发展</w:t>
      </w:r>
      <w:bookmarkEnd w:id="149"/>
      <w:bookmarkEnd w:id="150"/>
      <w:bookmarkEnd w:id="151"/>
    </w:p>
    <w:p w14:paraId="71A9C8F4">
      <w:pPr>
        <w:bidi w:val="0"/>
        <w:rPr>
          <w:rFonts w:hint="eastAsia" w:ascii="Times New Roman" w:hAnsi="Times New Roman"/>
          <w:lang w:val="en-US" w:eastAsia="zh-CN"/>
        </w:rPr>
      </w:pPr>
      <w:r>
        <w:rPr>
          <w:rFonts w:hint="eastAsia" w:ascii="Times New Roman" w:hAnsi="Times New Roman"/>
          <w:b/>
          <w:bCs/>
          <w:lang w:val="en-US" w:eastAsia="zh-CN"/>
        </w:rPr>
        <w:t>推动城乡基础设施向乡村延伸。</w:t>
      </w:r>
      <w:r>
        <w:rPr>
          <w:rFonts w:hint="eastAsia" w:ascii="Times New Roman" w:hAnsi="Times New Roman"/>
          <w:lang w:val="en-US" w:eastAsia="zh-CN"/>
        </w:rPr>
        <w:t>完善农村供水工程体系，推进农村集中供水工程24小时供水；推进农村生活垃圾收运设施升级换代，农村生活垃圾收运处置体系行政村覆盖率</w:t>
      </w:r>
      <w:r>
        <w:rPr>
          <w:rFonts w:hint="eastAsia"/>
          <w:lang w:val="en-US" w:eastAsia="zh-CN"/>
        </w:rPr>
        <w:t>达到</w:t>
      </w:r>
      <w:r>
        <w:rPr>
          <w:rFonts w:hint="eastAsia" w:ascii="Times New Roman" w:hAnsi="Times New Roman"/>
          <w:lang w:val="en-US" w:eastAsia="zh-CN"/>
        </w:rPr>
        <w:t>100%；加快完善县乡村电子商务和快递物流配送体系，通过数据共享、信息互联，提高农村物流服务能力。</w:t>
      </w:r>
    </w:p>
    <w:p w14:paraId="1F959886">
      <w:pPr>
        <w:bidi w:val="0"/>
        <w:rPr>
          <w:rFonts w:hint="eastAsia" w:ascii="Times New Roman" w:hAnsi="Times New Roman"/>
          <w:lang w:val="en-US" w:eastAsia="zh-CN"/>
        </w:rPr>
      </w:pPr>
      <w:r>
        <w:rPr>
          <w:rFonts w:hint="eastAsia" w:ascii="Times New Roman" w:hAnsi="Times New Roman"/>
          <w:b/>
          <w:bCs/>
          <w:lang w:val="en-US" w:eastAsia="zh-CN"/>
        </w:rPr>
        <w:t>加快城镇公共服务向乡村覆盖。</w:t>
      </w:r>
      <w:r>
        <w:rPr>
          <w:rFonts w:hint="eastAsia" w:ascii="Times New Roman" w:hAnsi="Times New Roman"/>
          <w:lang w:val="en-US" w:eastAsia="zh-CN"/>
        </w:rPr>
        <w:t>推动农村基本公共服务供给主体多元化，鼓励慈善组织等社会力量履行社会责任、参与农村基本公共服务供给。加快养老、教育、医疗等方面的乡村公共服务设施建设，提高乡村基础设施完备度，</w:t>
      </w:r>
      <w:r>
        <w:rPr>
          <w:rFonts w:hint="default" w:ascii="Times New Roman" w:hAnsi="Times New Roman"/>
          <w:lang w:val="en-US" w:eastAsia="zh-CN"/>
        </w:rPr>
        <w:t>缩小城乡发展差距</w:t>
      </w:r>
      <w:r>
        <w:rPr>
          <w:rFonts w:hint="eastAsia" w:ascii="Times New Roman" w:hAnsi="Times New Roman"/>
          <w:lang w:val="en-US" w:eastAsia="zh-CN"/>
        </w:rPr>
        <w:t>。</w:t>
      </w:r>
    </w:p>
    <w:p w14:paraId="2816C34A">
      <w:pPr>
        <w:bidi w:val="0"/>
        <w:rPr>
          <w:rFonts w:hint="eastAsia" w:ascii="Times New Roman" w:hAnsi="Times New Roman"/>
          <w:b w:val="0"/>
          <w:bCs w:val="0"/>
          <w:lang w:val="en-US" w:eastAsia="zh-CN"/>
        </w:rPr>
      </w:pPr>
      <w:r>
        <w:rPr>
          <w:rFonts w:hint="eastAsia" w:ascii="Times New Roman" w:hAnsi="Times New Roman"/>
          <w:b/>
          <w:bCs/>
          <w:lang w:val="en-US" w:eastAsia="zh-CN"/>
        </w:rPr>
        <w:t>促进城乡要素自由流动。</w:t>
      </w:r>
      <w:r>
        <w:rPr>
          <w:rFonts w:hint="eastAsia" w:ascii="Times New Roman" w:hAnsi="Times New Roman"/>
          <w:b w:val="0"/>
          <w:bCs w:val="0"/>
          <w:lang w:val="en-US" w:eastAsia="zh-CN"/>
        </w:rPr>
        <w:t>顺应城乡融合发展大趋势，破除城乡二元结构，破除妨碍城乡要素平等交换、双向流动的制度壁垒，推动自上而下的城市资源和自下而上的乡村资源相互流动。加强农村产权流转规范化建设，逐步形成覆盖县域的农村产权流转交易体系。加强乡村人才引育留用，建立城市人才下乡激励机制，实施教师“县管校聘”、医疗卫生人才“县管乡用”。建设乡村经营合作平台，构建参与性与市场化并重的平稳改革推进机制，重点推动集体经营性建设用地、闲置宅基地、闲置农房的盘活利用和价值实现。通过增减挂钩调整农村存量建设用地，实现土地增值收益。</w:t>
      </w:r>
    </w:p>
    <w:p w14:paraId="7F310D5F">
      <w:pPr>
        <w:pStyle w:val="5"/>
        <w:bidi w:val="0"/>
        <w:rPr>
          <w:rFonts w:hint="eastAsia" w:ascii="Times New Roman" w:hAnsi="Times New Roman"/>
          <w:highlight w:val="yellow"/>
        </w:rPr>
      </w:pPr>
      <w:bookmarkStart w:id="152" w:name="_Toc5986"/>
      <w:bookmarkStart w:id="153" w:name="_Toc26854"/>
      <w:bookmarkStart w:id="154" w:name="_Toc10255"/>
      <w:bookmarkStart w:id="155" w:name="_Toc12228"/>
      <w:r>
        <w:rPr>
          <w:rFonts w:hint="eastAsia" w:ascii="Times New Roman" w:hAnsi="Times New Roman"/>
          <w:highlight w:val="none"/>
        </w:rPr>
        <w:t>第十章 高质量推进和美乡村建设</w:t>
      </w:r>
      <w:r>
        <w:rPr>
          <w:rFonts w:hint="eastAsia" w:ascii="Times New Roman" w:hAnsi="Times New Roman"/>
          <w:highlight w:val="none"/>
          <w:lang w:eastAsia="zh-CN"/>
        </w:rPr>
        <w:t>，</w:t>
      </w:r>
      <w:r>
        <w:rPr>
          <w:rFonts w:hint="eastAsia" w:ascii="Times New Roman" w:hAnsi="Times New Roman"/>
          <w:highlight w:val="none"/>
        </w:rPr>
        <w:t>提升农村现代</w:t>
      </w:r>
      <w:r>
        <w:rPr>
          <w:rFonts w:hint="eastAsia"/>
          <w:highlight w:val="none"/>
          <w:lang w:val="en-US" w:eastAsia="zh-CN"/>
        </w:rPr>
        <w:t>化</w:t>
      </w:r>
      <w:r>
        <w:rPr>
          <w:rFonts w:hint="eastAsia" w:ascii="Times New Roman" w:hAnsi="Times New Roman"/>
          <w:highlight w:val="none"/>
        </w:rPr>
        <w:t>水平</w:t>
      </w:r>
      <w:bookmarkEnd w:id="152"/>
      <w:bookmarkEnd w:id="153"/>
      <w:bookmarkEnd w:id="154"/>
      <w:bookmarkEnd w:id="155"/>
    </w:p>
    <w:p w14:paraId="322C5043">
      <w:pPr>
        <w:pStyle w:val="7"/>
        <w:bidi w:val="0"/>
        <w:rPr>
          <w:rFonts w:hint="eastAsia" w:ascii="Times New Roman" w:hAnsi="Times New Roman"/>
          <w:b/>
          <w:lang w:val="en-US" w:eastAsia="zh-CN"/>
        </w:rPr>
      </w:pPr>
      <w:bookmarkStart w:id="156" w:name="_Toc26780"/>
      <w:bookmarkStart w:id="157" w:name="_Toc16620"/>
      <w:bookmarkStart w:id="158" w:name="_Toc29205"/>
      <w:r>
        <w:rPr>
          <w:rFonts w:hint="eastAsia" w:ascii="Times New Roman" w:hAnsi="Times New Roman"/>
          <w:b/>
          <w:lang w:val="en-US" w:eastAsia="zh-CN"/>
        </w:rPr>
        <w:t>第一节  持续提升乡村建设水平</w:t>
      </w:r>
      <w:bookmarkEnd w:id="156"/>
      <w:bookmarkEnd w:id="157"/>
      <w:bookmarkEnd w:id="158"/>
    </w:p>
    <w:p w14:paraId="4C6A9601">
      <w:pPr>
        <w:rPr>
          <w:rFonts w:hint="eastAsia" w:ascii="Times New Roman" w:hAnsi="Times New Roman"/>
          <w:lang w:val="en-US" w:eastAsia="zh-CN"/>
        </w:rPr>
      </w:pPr>
      <w:r>
        <w:rPr>
          <w:rFonts w:hint="eastAsia" w:ascii="Times New Roman" w:hAnsi="Times New Roman"/>
          <w:b/>
          <w:bCs/>
          <w:lang w:val="en-US" w:eastAsia="zh-CN"/>
        </w:rPr>
        <w:t>加强农村基础设施建设。加强农村水利基础设施建设。</w:t>
      </w:r>
      <w:r>
        <w:rPr>
          <w:rFonts w:hint="eastAsia" w:ascii="Times New Roman" w:hAnsi="Times New Roman"/>
          <w:lang w:val="en-US" w:eastAsia="zh-CN"/>
        </w:rPr>
        <w:t>推进城乡供水一体化工程，加强农田水利设施建设和维护，提高农村供水保障能力和灌溉水平。</w:t>
      </w:r>
      <w:r>
        <w:rPr>
          <w:rFonts w:hint="eastAsia" w:ascii="Times New Roman" w:hAnsi="Times New Roman"/>
          <w:b/>
          <w:bCs/>
          <w:lang w:val="en-US" w:eastAsia="zh-CN"/>
        </w:rPr>
        <w:t>加强农村能源基础设施建设。</w:t>
      </w:r>
      <w:r>
        <w:rPr>
          <w:rFonts w:hint="eastAsia" w:ascii="Times New Roman" w:hAnsi="Times New Roman"/>
          <w:lang w:val="en-US" w:eastAsia="zh-CN"/>
        </w:rPr>
        <w:t>推进农村电网改造升级，发展农村清洁能源，提高农村能源供应保障能力。</w:t>
      </w:r>
      <w:r>
        <w:rPr>
          <w:rFonts w:hint="eastAsia" w:ascii="Times New Roman" w:hAnsi="Times New Roman"/>
          <w:b/>
          <w:bCs/>
          <w:lang w:val="en-US" w:eastAsia="zh-CN"/>
        </w:rPr>
        <w:t>加强农村信息化基础设施建设。</w:t>
      </w:r>
      <w:r>
        <w:rPr>
          <w:rFonts w:hint="eastAsia" w:ascii="Times New Roman" w:hAnsi="Times New Roman"/>
          <w:lang w:val="en-US" w:eastAsia="zh-CN"/>
        </w:rPr>
        <w:t>推进农村宽带网络和5G网络覆盖，提高农村信息化水平。</w:t>
      </w:r>
    </w:p>
    <w:p w14:paraId="54934E26">
      <w:pPr>
        <w:rPr>
          <w:rFonts w:hint="default" w:ascii="Times New Roman" w:hAnsi="Times New Roman"/>
          <w:lang w:val="en-US" w:eastAsia="zh-CN"/>
        </w:rPr>
      </w:pPr>
      <w:r>
        <w:rPr>
          <w:rFonts w:hint="eastAsia" w:ascii="Times New Roman" w:hAnsi="Times New Roman"/>
          <w:b/>
          <w:bCs/>
          <w:lang w:val="en-US" w:eastAsia="zh-CN"/>
        </w:rPr>
        <w:t>改善农村人居环境。持续开展村庄清洁行动</w:t>
      </w:r>
      <w:r>
        <w:rPr>
          <w:rFonts w:hint="eastAsia" w:ascii="Times New Roman" w:hAnsi="Times New Roman"/>
          <w:lang w:val="en-US" w:eastAsia="zh-CN"/>
        </w:rPr>
        <w:t>。推进农村人居环境整治提升，完善农村生活垃圾收储运体系，加强农村生活垃圾和污水治理，建立健全长效管护机制。</w:t>
      </w:r>
      <w:r>
        <w:rPr>
          <w:rFonts w:hint="eastAsia" w:ascii="Times New Roman" w:hAnsi="Times New Roman"/>
          <w:b/>
          <w:bCs/>
          <w:lang w:val="en-US" w:eastAsia="zh-CN"/>
        </w:rPr>
        <w:t>健全畜禽粪</w:t>
      </w:r>
      <w:r>
        <w:rPr>
          <w:rFonts w:hint="eastAsia"/>
          <w:b/>
          <w:bCs/>
          <w:lang w:val="en-US" w:eastAsia="zh-CN"/>
        </w:rPr>
        <w:t>污</w:t>
      </w:r>
      <w:r>
        <w:rPr>
          <w:rFonts w:hint="eastAsia" w:ascii="Times New Roman" w:hAnsi="Times New Roman"/>
          <w:b/>
          <w:bCs/>
          <w:lang w:val="en-US" w:eastAsia="zh-CN"/>
        </w:rPr>
        <w:t>治理体系。</w:t>
      </w:r>
      <w:r>
        <w:rPr>
          <w:rFonts w:hint="eastAsia" w:ascii="Times New Roman" w:hAnsi="Times New Roman"/>
          <w:lang w:val="en-US" w:eastAsia="zh-CN"/>
        </w:rPr>
        <w:t>深入推进农村厕所革命，提高卫生厕所普及率和厕所粪污无害化处理及资源化利用水平。</w:t>
      </w:r>
      <w:r>
        <w:rPr>
          <w:rFonts w:hint="eastAsia" w:ascii="Times New Roman" w:hAnsi="Times New Roman"/>
          <w:b/>
          <w:bCs/>
          <w:highlight w:val="none"/>
          <w:lang w:val="en-US" w:eastAsia="zh-CN"/>
        </w:rPr>
        <w:t>加强村庄规划建设管理。</w:t>
      </w:r>
      <w:r>
        <w:rPr>
          <w:rFonts w:hint="eastAsia" w:ascii="Times New Roman" w:hAnsi="Times New Roman"/>
          <w:highlight w:val="none"/>
          <w:lang w:val="en-US" w:eastAsia="zh-CN"/>
        </w:rPr>
        <w:t>保护传统村落和乡村风貌，</w:t>
      </w:r>
      <w:r>
        <w:rPr>
          <w:rFonts w:hint="eastAsia" w:ascii="Times New Roman" w:hAnsi="Times New Roman"/>
          <w:color w:val="auto"/>
          <w:highlight w:val="none"/>
          <w:lang w:val="en-US" w:eastAsia="zh-CN"/>
        </w:rPr>
        <w:t>围绕薄弱村提升，</w:t>
      </w:r>
      <w:r>
        <w:rPr>
          <w:rFonts w:hint="eastAsia"/>
          <w:color w:val="auto"/>
          <w:highlight w:val="none"/>
          <w:lang w:val="en-US" w:eastAsia="zh-CN"/>
        </w:rPr>
        <w:t>扎实开展</w:t>
      </w:r>
      <w:r>
        <w:rPr>
          <w:rFonts w:hint="eastAsia" w:ascii="Times New Roman" w:hAnsi="Times New Roman"/>
          <w:color w:val="auto"/>
          <w:highlight w:val="none"/>
          <w:lang w:val="en-US" w:eastAsia="zh-CN"/>
        </w:rPr>
        <w:t>百村示范村、和美乡村建设工程</w:t>
      </w:r>
      <w:r>
        <w:rPr>
          <w:rFonts w:hint="eastAsia"/>
          <w:color w:val="auto"/>
          <w:highlight w:val="none"/>
          <w:lang w:val="en-US" w:eastAsia="zh-CN"/>
        </w:rPr>
        <w:t>，持续推进人居环境整治、村屯绿化美化、乡村基础设施建设等工作</w:t>
      </w:r>
      <w:r>
        <w:rPr>
          <w:rFonts w:hint="eastAsia" w:ascii="Times New Roman" w:hAnsi="Times New Roman"/>
          <w:color w:val="auto"/>
          <w:highlight w:val="none"/>
          <w:lang w:val="en-US" w:eastAsia="zh-CN"/>
        </w:rPr>
        <w:t>。</w:t>
      </w:r>
    </w:p>
    <w:p w14:paraId="736515CA">
      <w:pPr>
        <w:pStyle w:val="7"/>
        <w:bidi w:val="0"/>
        <w:rPr>
          <w:rFonts w:hint="eastAsia" w:ascii="Times New Roman" w:hAnsi="Times New Roman"/>
          <w:b/>
          <w:lang w:val="en-US" w:eastAsia="zh-CN"/>
        </w:rPr>
      </w:pPr>
      <w:bookmarkStart w:id="159" w:name="_Toc30173"/>
      <w:bookmarkStart w:id="160" w:name="_Toc27090"/>
      <w:bookmarkStart w:id="161" w:name="_Toc25479"/>
      <w:bookmarkStart w:id="162" w:name="_Toc2094"/>
      <w:bookmarkStart w:id="163" w:name="_Toc16284"/>
      <w:r>
        <w:rPr>
          <w:rFonts w:hint="eastAsia" w:ascii="Times New Roman" w:hAnsi="Times New Roman"/>
          <w:b/>
          <w:lang w:val="en-US" w:eastAsia="zh-CN"/>
        </w:rPr>
        <w:t>第二节 巩固拓展脱贫攻坚成果</w:t>
      </w:r>
      <w:bookmarkEnd w:id="159"/>
      <w:bookmarkEnd w:id="160"/>
      <w:bookmarkEnd w:id="161"/>
      <w:bookmarkEnd w:id="162"/>
      <w:bookmarkEnd w:id="163"/>
    </w:p>
    <w:p w14:paraId="6E309491">
      <w:pPr>
        <w:bidi w:val="0"/>
        <w:rPr>
          <w:rFonts w:hint="eastAsia" w:ascii="Times New Roman" w:hAnsi="Times New Roman"/>
          <w:lang w:val="en-US" w:eastAsia="zh-CN"/>
        </w:rPr>
      </w:pPr>
      <w:r>
        <w:rPr>
          <w:rFonts w:hint="eastAsia" w:ascii="Times New Roman" w:hAnsi="Times New Roman"/>
          <w:b/>
          <w:bCs/>
          <w:lang w:val="en-US" w:eastAsia="zh-CN"/>
        </w:rPr>
        <w:t>落实跟踪监测和帮扶机制。</w:t>
      </w:r>
      <w:r>
        <w:rPr>
          <w:rFonts w:hint="eastAsia" w:ascii="Times New Roman" w:hAnsi="Times New Roman"/>
        </w:rPr>
        <w:t>坚决守牢不发生规模性返贫底线，</w:t>
      </w:r>
      <w:r>
        <w:rPr>
          <w:rFonts w:hint="eastAsia" w:ascii="Times New Roman" w:hAnsi="Times New Roman"/>
          <w:lang w:val="en-US" w:eastAsia="zh-CN"/>
        </w:rPr>
        <w:t>对建档立卡脱贫户和边缘易致贫户有效落实返贫致贫监测和帮扶机制，实行村监测、乡预警、县统筹的监测救助机制。以村为单位建立动态监测机制，定期对辖区群众生产生活情况进行监测，及时将返贫人口和新发生贫困人口纳入帮扶范围，坚决防止出现返贫和致贫户，巩固提升脱贫成效，确保稳定脱贫不返贫不致贫。</w:t>
      </w:r>
    </w:p>
    <w:p w14:paraId="449FC02E">
      <w:pPr>
        <w:bidi w:val="0"/>
        <w:rPr>
          <w:rFonts w:hint="eastAsia" w:ascii="Times New Roman" w:hAnsi="Times New Roman"/>
          <w:lang w:val="en-US" w:eastAsia="zh-CN"/>
        </w:rPr>
      </w:pPr>
      <w:r>
        <w:rPr>
          <w:rFonts w:hint="eastAsia" w:ascii="Times New Roman" w:hAnsi="Times New Roman"/>
          <w:b/>
          <w:bCs/>
          <w:lang w:val="en-US" w:eastAsia="zh-CN"/>
        </w:rPr>
        <w:t>拓展脱贫攻坚增收渠道。</w:t>
      </w:r>
      <w:r>
        <w:rPr>
          <w:rFonts w:hint="eastAsia" w:ascii="Times New Roman" w:hAnsi="Times New Roman"/>
        </w:rPr>
        <w:t>健全完善“三保障”和饮水安全保障工作机制，确保</w:t>
      </w:r>
      <w:r>
        <w:rPr>
          <w:rFonts w:hint="eastAsia" w:ascii="Times New Roman" w:hAnsi="Times New Roman"/>
          <w:lang w:eastAsia="zh-CN"/>
        </w:rPr>
        <w:t>脱贫攻坚成果</w:t>
      </w:r>
      <w:r>
        <w:rPr>
          <w:rFonts w:hint="eastAsia" w:ascii="Times New Roman" w:hAnsi="Times New Roman"/>
        </w:rPr>
        <w:t>持续巩固。分类推进帮扶产业发展壮大，</w:t>
      </w:r>
      <w:r>
        <w:rPr>
          <w:rFonts w:hint="eastAsia" w:ascii="Times New Roman" w:hAnsi="Times New Roman"/>
          <w:lang w:val="en-US" w:eastAsia="zh-CN"/>
        </w:rPr>
        <w:t>坚持把乡村产业支撑作用摆在突出位置，更加注重产业后续长期培育，切实把握市场规律和产业发展规律，不断提高产业市场竞争力和抗风险能力。开展有针对性的、适用实用的农村劳动力技能培训，</w:t>
      </w:r>
      <w:r>
        <w:rPr>
          <w:rFonts w:hint="eastAsia" w:ascii="Times New Roman" w:hAnsi="Times New Roman"/>
        </w:rPr>
        <w:t>强化就业帮扶车间创建运行，通过以工代赈等措施狠抓脱贫人口增收</w:t>
      </w:r>
      <w:r>
        <w:rPr>
          <w:rFonts w:hint="eastAsia" w:ascii="Times New Roman" w:hAnsi="Times New Roman"/>
          <w:lang w:val="en-US" w:eastAsia="zh-CN"/>
        </w:rPr>
        <w:t>。加强电商、信息化等新型产业形式的培训，培养新型农民，鼓励和引导农民创业、就业。坚持科技特派员、产业指导员深入一线，逐村逐户指导产业发展，及时为农民提供技术服务，让广大群众靠自身“造血”致富。</w:t>
      </w:r>
    </w:p>
    <w:p w14:paraId="2737DC45">
      <w:pPr>
        <w:pStyle w:val="5"/>
        <w:bidi w:val="0"/>
        <w:rPr>
          <w:rFonts w:hint="eastAsia" w:ascii="Times New Roman" w:hAnsi="Times New Roman"/>
        </w:rPr>
      </w:pPr>
      <w:bookmarkStart w:id="164" w:name="_Toc5988"/>
      <w:bookmarkStart w:id="165" w:name="_Toc12141"/>
      <w:bookmarkStart w:id="166" w:name="_Toc5482"/>
      <w:bookmarkStart w:id="167" w:name="_Toc14975"/>
      <w:r>
        <w:rPr>
          <w:rFonts w:hint="eastAsia" w:ascii="Times New Roman" w:hAnsi="Times New Roman"/>
        </w:rPr>
        <w:t>第十一章 突出民生福祉改善，提高社会共建共享水平</w:t>
      </w:r>
      <w:bookmarkEnd w:id="164"/>
      <w:bookmarkEnd w:id="165"/>
      <w:bookmarkEnd w:id="166"/>
      <w:bookmarkEnd w:id="167"/>
    </w:p>
    <w:p w14:paraId="348B4680">
      <w:pPr>
        <w:pStyle w:val="7"/>
        <w:bidi w:val="0"/>
        <w:rPr>
          <w:rFonts w:hint="eastAsia" w:ascii="Times New Roman" w:hAnsi="Times New Roman"/>
          <w:b/>
          <w:lang w:val="en-US" w:eastAsia="zh-CN"/>
        </w:rPr>
      </w:pPr>
      <w:bookmarkStart w:id="168" w:name="_Toc1211"/>
      <w:bookmarkStart w:id="169" w:name="_Toc17781"/>
      <w:bookmarkStart w:id="170" w:name="_Toc13352"/>
      <w:r>
        <w:rPr>
          <w:rFonts w:hint="eastAsia" w:ascii="Times New Roman" w:hAnsi="Times New Roman"/>
          <w:b/>
          <w:lang w:val="en-US" w:eastAsia="zh-CN"/>
        </w:rPr>
        <w:t>第一节  健全社会保障体系</w:t>
      </w:r>
      <w:bookmarkEnd w:id="168"/>
      <w:bookmarkEnd w:id="169"/>
      <w:bookmarkEnd w:id="170"/>
    </w:p>
    <w:p w14:paraId="6E60F41E">
      <w:pPr>
        <w:bidi w:val="0"/>
        <w:rPr>
          <w:rFonts w:hint="eastAsia" w:ascii="Times New Roman" w:hAnsi="Times New Roman"/>
          <w:lang w:val="en-US" w:eastAsia="zh-CN"/>
        </w:rPr>
      </w:pPr>
      <w:r>
        <w:rPr>
          <w:rFonts w:hint="eastAsia" w:ascii="Times New Roman" w:hAnsi="Times New Roman"/>
          <w:b/>
          <w:bCs/>
          <w:lang w:val="en-US" w:eastAsia="zh-CN"/>
        </w:rPr>
        <w:t>完善社会保险体系。</w:t>
      </w:r>
      <w:r>
        <w:rPr>
          <w:rFonts w:hint="eastAsia" w:ascii="Times New Roman" w:hAnsi="Times New Roman"/>
          <w:lang w:val="en-US" w:eastAsia="zh-CN"/>
        </w:rPr>
        <w:t>完善城乡居民基本养老保险制度，防范和化解社保经办风险，强化内部管理机制，稳步落实渐进式延迟法定退休年龄改革，确保各类型退休人员顺畅规范享受退休待遇。深入实施全民参保计划，完善新业态从业者等重点人群参保政策，落实提高退休人员基本养老金、城乡居民基础养老金财政补助标准政策，推动各项社保待遇按时足额发放。</w:t>
      </w:r>
    </w:p>
    <w:p w14:paraId="0386D94B">
      <w:pPr>
        <w:bidi w:val="0"/>
        <w:rPr>
          <w:rFonts w:hint="eastAsia" w:ascii="Times New Roman" w:hAnsi="Times New Roman"/>
          <w:lang w:val="en-US" w:eastAsia="zh-CN"/>
        </w:rPr>
      </w:pPr>
      <w:r>
        <w:rPr>
          <w:rFonts w:hint="eastAsia" w:ascii="Times New Roman" w:hAnsi="Times New Roman"/>
          <w:b/>
          <w:bCs/>
          <w:lang w:val="en-US" w:eastAsia="zh-CN"/>
        </w:rPr>
        <w:t>健全社会救助体系。</w:t>
      </w:r>
      <w:r>
        <w:rPr>
          <w:rFonts w:hint="eastAsia" w:ascii="Times New Roman" w:hAnsi="Times New Roman"/>
          <w:b w:val="0"/>
          <w:bCs w:val="0"/>
          <w:lang w:val="en-US" w:eastAsia="zh-CN"/>
        </w:rPr>
        <w:t>建立健全低收入家庭经济状况核对机制，完善入户调查、邻里访问、信函索证等调查手段，开展低收入家庭认定工作，建立跨部门、多层次、信息共享的救助申请家庭经济状况核对机制。定期组织开展孤儿情况排查，按时足额发放社会散居孤儿基本生活费，保证散居孤儿正常生活和就学。</w:t>
      </w:r>
      <w:r>
        <w:rPr>
          <w:rFonts w:hint="eastAsia" w:ascii="Times New Roman" w:hAnsi="Times New Roman"/>
          <w:lang w:val="en-US" w:eastAsia="zh-CN"/>
        </w:rPr>
        <w:t>健全分层分类社会救助体系，提高特困人员救助供养标准，及时兑现低保补助、残疾人补贴、临时救助金，强化防返贫监测帮扶，坚守不发生规模性返贫致贫底线。</w:t>
      </w:r>
    </w:p>
    <w:p w14:paraId="00FF7669">
      <w:pPr>
        <w:bidi w:val="0"/>
        <w:rPr>
          <w:rFonts w:hint="default" w:ascii="Times New Roman" w:hAnsi="Times New Roman"/>
          <w:b w:val="0"/>
          <w:bCs w:val="0"/>
          <w:lang w:val="en-US" w:eastAsia="zh-CN"/>
        </w:rPr>
      </w:pPr>
      <w:r>
        <w:rPr>
          <w:rFonts w:hint="eastAsia" w:ascii="Times New Roman" w:hAnsi="Times New Roman"/>
          <w:b/>
          <w:bCs/>
          <w:lang w:val="en-US" w:eastAsia="zh-CN"/>
        </w:rPr>
        <w:t>完善其他社会保障。</w:t>
      </w:r>
      <w:r>
        <w:rPr>
          <w:rFonts w:hint="eastAsia" w:ascii="Times New Roman" w:hAnsi="Times New Roman"/>
          <w:b w:val="0"/>
          <w:bCs w:val="0"/>
          <w:lang w:val="en-US" w:eastAsia="zh-CN"/>
        </w:rPr>
        <w:t>完善生育支持体系，全面落实生育补贴政策，发展完善普惠托育服务体系，坚持托幼一体化方向增加托育服务供给，打造生育全程基本医疗保健服务链条。优化住房保障制度，落实构建“租购并举”住房制度，优化住房公积金直付首付款政策，推进配售型保障房建设。推进中央财政支持住房租赁市场发展试点建设，完善长租房政策，加大保障性住房建设和供给。</w:t>
      </w:r>
    </w:p>
    <w:p w14:paraId="612428A0">
      <w:pPr>
        <w:pStyle w:val="7"/>
        <w:bidi w:val="0"/>
        <w:rPr>
          <w:rFonts w:hint="eastAsia" w:ascii="Times New Roman" w:hAnsi="Times New Roman"/>
          <w:b/>
          <w:lang w:val="en-US" w:eastAsia="zh-CN"/>
        </w:rPr>
      </w:pPr>
      <w:bookmarkStart w:id="171" w:name="_Toc19719"/>
      <w:bookmarkStart w:id="172" w:name="_Toc18486"/>
      <w:bookmarkStart w:id="173" w:name="_Toc9610"/>
      <w:r>
        <w:rPr>
          <w:rFonts w:hint="eastAsia" w:ascii="Times New Roman" w:hAnsi="Times New Roman"/>
          <w:b/>
          <w:lang w:val="en-US" w:eastAsia="zh-CN"/>
        </w:rPr>
        <w:t>第二节  大力发展社会事业</w:t>
      </w:r>
      <w:bookmarkEnd w:id="171"/>
      <w:bookmarkEnd w:id="172"/>
      <w:bookmarkEnd w:id="173"/>
    </w:p>
    <w:p w14:paraId="6E47ADFB">
      <w:pPr>
        <w:bidi w:val="0"/>
        <w:rPr>
          <w:rFonts w:hint="default"/>
          <w:b/>
          <w:bCs/>
          <w:lang w:val="en-US" w:eastAsia="zh-CN"/>
        </w:rPr>
      </w:pPr>
      <w:r>
        <w:rPr>
          <w:rFonts w:hint="eastAsia" w:ascii="Times New Roman" w:hAnsi="Times New Roman"/>
          <w:b/>
          <w:bCs/>
          <w:color w:val="auto"/>
          <w:lang w:val="en-US" w:eastAsia="zh-CN"/>
        </w:rPr>
        <w:t>促进人口高质量发展</w:t>
      </w:r>
      <w:r>
        <w:rPr>
          <w:rFonts w:hint="eastAsia"/>
          <w:b/>
          <w:bCs/>
          <w:color w:val="auto"/>
          <w:lang w:val="en-US" w:eastAsia="zh-CN"/>
        </w:rPr>
        <w:t>。打造生育友好型环境。</w:t>
      </w:r>
      <w:r>
        <w:rPr>
          <w:rFonts w:hint="eastAsia" w:ascii="Times New Roman" w:hAnsi="Times New Roman"/>
          <w:b w:val="0"/>
          <w:bCs w:val="0"/>
          <w:color w:val="auto"/>
          <w:lang w:val="en-US" w:eastAsia="zh-CN"/>
        </w:rPr>
        <w:t>倡导积极婚育观，优化生育支持政策和激励措施，</w:t>
      </w:r>
      <w:r>
        <w:rPr>
          <w:rFonts w:hint="eastAsia"/>
          <w:b w:val="0"/>
          <w:bCs w:val="0"/>
          <w:color w:val="auto"/>
          <w:lang w:val="en-US" w:eastAsia="zh-CN"/>
        </w:rPr>
        <w:t>全面落实</w:t>
      </w:r>
      <w:r>
        <w:rPr>
          <w:rFonts w:hint="eastAsia" w:ascii="Times New Roman" w:hAnsi="Times New Roman"/>
          <w:b w:val="0"/>
          <w:bCs w:val="0"/>
          <w:color w:val="auto"/>
          <w:lang w:val="en-US" w:eastAsia="zh-CN"/>
        </w:rPr>
        <w:t>育儿补贴和个人所得税抵扣政策，降低家庭生育养育教育成本</w:t>
      </w:r>
      <w:r>
        <w:rPr>
          <w:rFonts w:hint="eastAsia"/>
          <w:b w:val="0"/>
          <w:bCs w:val="0"/>
          <w:color w:val="auto"/>
          <w:lang w:val="en-US" w:eastAsia="zh-CN"/>
        </w:rPr>
        <w:t>；完善生育保险制度，</w:t>
      </w:r>
      <w:r>
        <w:rPr>
          <w:rFonts w:hint="eastAsia" w:ascii="Times New Roman" w:hAnsi="Times New Roman"/>
          <w:b w:val="0"/>
          <w:bCs w:val="0"/>
          <w:color w:val="auto"/>
          <w:lang w:val="en-US" w:eastAsia="zh-CN"/>
        </w:rPr>
        <w:t>落实生育休假制度，实施早孕关爱行动、孕育和出生缺陷防治能力提升计划</w:t>
      </w:r>
      <w:r>
        <w:rPr>
          <w:rFonts w:hint="eastAsia"/>
          <w:b w:val="0"/>
          <w:bCs w:val="0"/>
          <w:color w:val="auto"/>
          <w:lang w:val="en-US" w:eastAsia="zh-CN"/>
        </w:rPr>
        <w:t>；</w:t>
      </w:r>
      <w:r>
        <w:rPr>
          <w:rFonts w:hint="eastAsia" w:ascii="Times New Roman" w:hAnsi="Times New Roman"/>
          <w:color w:val="auto"/>
          <w:lang w:val="en-US" w:eastAsia="zh-CN"/>
        </w:rPr>
        <w:t>鼓励和引导社会力量提供普惠托育服务，推进专业化、标准化、规范化发展，积极发展多种形式的婴幼儿照护服务，提高婴幼儿照护服务水平，满足婴幼儿入托的社会需求。</w:t>
      </w:r>
      <w:r>
        <w:rPr>
          <w:rFonts w:hint="eastAsia"/>
          <w:b/>
          <w:bCs/>
          <w:color w:val="auto"/>
          <w:lang w:val="en-US" w:eastAsia="zh-CN"/>
        </w:rPr>
        <w:t>构建老年健康服务体系。</w:t>
      </w:r>
      <w:r>
        <w:rPr>
          <w:rFonts w:hint="eastAsia"/>
          <w:b w:val="0"/>
          <w:bCs w:val="0"/>
          <w:lang w:val="en-US" w:eastAsia="zh-CN"/>
        </w:rPr>
        <w:t>大力发展养老服务事业，积极探索与区域发展相适宜的养老服务模式，鼓励社会资本参与养老服务事业，完善以居家为基础、社区为依托、机构为补充的社会养老服务体系，推广嵌入式养老；鼓励医疗机构与养老机构携手合作，提升医养结合服务能力，探索具有可行性的医养结合服务模式，加快打造安宁疗护病房，提升临终关怀服务品质；将养老服务融入乡村振兴战略，推广互助养老模式，引导城市养老资源向农村下沉，健全县、乡、村三级养老服务网络。</w:t>
      </w:r>
      <w:r>
        <w:rPr>
          <w:rFonts w:hint="eastAsia"/>
          <w:b/>
          <w:bCs/>
          <w:lang w:val="en-US" w:eastAsia="zh-CN"/>
        </w:rPr>
        <w:t>大力</w:t>
      </w:r>
      <w:r>
        <w:rPr>
          <w:rFonts w:hint="eastAsia" w:ascii="Times New Roman" w:hAnsi="Times New Roman"/>
          <w:b/>
          <w:bCs/>
          <w:lang w:val="en-US" w:eastAsia="zh-CN"/>
        </w:rPr>
        <w:t>发展银发经济</w:t>
      </w:r>
      <w:r>
        <w:rPr>
          <w:rFonts w:hint="eastAsia"/>
          <w:lang w:val="en-US" w:eastAsia="zh-CN"/>
        </w:rPr>
        <w:t>。积极应对人口老龄化国家战略</w:t>
      </w:r>
      <w:r>
        <w:rPr>
          <w:rFonts w:hint="eastAsia" w:ascii="Times New Roman" w:hAnsi="Times New Roman"/>
          <w:lang w:val="en-US" w:eastAsia="zh-CN"/>
        </w:rPr>
        <w:t>，大力布局发展银发经济，重点围绕‌养老服务、中医养生、休闲康养、医疗服务‌四大业态，丰富和提升养老服务供给，积极发展中医养生、休闲康养产业，大力推进医养融合发展，引进和培育一批银发经济关联企业，构建高质量发展体系和高品质生活体系。</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CD5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F1F1F1"/>
          </w:tcPr>
          <w:p w14:paraId="1359AF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firstLine="0" w:firstLineChars="0"/>
              <w:jc w:val="center"/>
              <w:textAlignment w:val="auto"/>
              <w:rPr>
                <w:rFonts w:hint="eastAsia" w:ascii="Times New Roman" w:hAnsi="Times New Roman" w:cs="宋体"/>
                <w:color w:val="000000"/>
                <w:sz w:val="28"/>
                <w:szCs w:val="28"/>
              </w:rPr>
            </w:pPr>
            <w:r>
              <w:rPr>
                <w:rFonts w:hint="eastAsia" w:ascii="Times New Roman" w:hAnsi="Times New Roman" w:cs="宋体"/>
                <w:b/>
                <w:bCs/>
                <w:color w:val="000000"/>
                <w:sz w:val="28"/>
                <w:szCs w:val="28"/>
              </w:rPr>
              <w:t>专栏</w:t>
            </w:r>
            <w:r>
              <w:rPr>
                <w:rFonts w:hint="eastAsia" w:ascii="Times New Roman" w:hAnsi="Times New Roman" w:cs="宋体"/>
                <w:b/>
                <w:bCs/>
                <w:color w:val="000000"/>
                <w:sz w:val="28"/>
                <w:szCs w:val="28"/>
                <w:lang w:val="en-US" w:eastAsia="zh-CN"/>
              </w:rPr>
              <w:t>1</w:t>
            </w:r>
            <w:r>
              <w:rPr>
                <w:rFonts w:hint="eastAsia" w:cs="宋体"/>
                <w:b/>
                <w:bCs/>
                <w:color w:val="000000"/>
                <w:sz w:val="28"/>
                <w:szCs w:val="28"/>
                <w:lang w:val="en-US" w:eastAsia="zh-CN"/>
              </w:rPr>
              <w:t>0</w:t>
            </w:r>
            <w:r>
              <w:rPr>
                <w:rFonts w:hint="eastAsia" w:ascii="Times New Roman" w:hAnsi="Times New Roman" w:cs="宋体"/>
                <w:b/>
                <w:bCs/>
                <w:color w:val="000000"/>
                <w:sz w:val="28"/>
                <w:szCs w:val="28"/>
                <w:lang w:val="en-US" w:eastAsia="zh-CN"/>
              </w:rPr>
              <w:t xml:space="preserve"> 促进人口高质量发展重点工程</w:t>
            </w:r>
          </w:p>
        </w:tc>
      </w:tr>
      <w:tr w14:paraId="45C4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4EDB2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eastAsia" w:ascii="Times New Roman" w:hAnsi="Times New Roman" w:cs="宋体"/>
                <w:b w:val="0"/>
                <w:bCs w:val="0"/>
                <w:color w:val="000000"/>
                <w:sz w:val="28"/>
                <w:szCs w:val="28"/>
                <w:lang w:val="en-US" w:eastAsia="zh-CN"/>
              </w:rPr>
            </w:pPr>
            <w:r>
              <w:rPr>
                <w:rFonts w:hint="eastAsia" w:ascii="Times New Roman" w:hAnsi="Times New Roman" w:cs="宋体"/>
                <w:b/>
                <w:bCs/>
                <w:color w:val="000000"/>
                <w:sz w:val="28"/>
                <w:szCs w:val="28"/>
                <w:lang w:val="en-US" w:eastAsia="zh-CN"/>
              </w:rPr>
              <w:t>老年健康服务体系：</w:t>
            </w:r>
            <w:r>
              <w:rPr>
                <w:rFonts w:hint="eastAsia" w:ascii="Times New Roman" w:hAnsi="Times New Roman" w:cs="宋体"/>
                <w:b w:val="0"/>
                <w:bCs w:val="0"/>
                <w:color w:val="000000"/>
                <w:sz w:val="28"/>
                <w:szCs w:val="28"/>
                <w:lang w:val="en-US" w:eastAsia="zh-CN"/>
              </w:rPr>
              <w:t>到2030年，65岁及以上老年人城乡社区规范健康管理服务率达到65%以上，家庭医生签约率不低于80%，开设老年病医学科的二级综合医院达到100%。</w:t>
            </w:r>
          </w:p>
          <w:p w14:paraId="2F778F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default" w:ascii="Times New Roman" w:hAnsi="Times New Roman" w:eastAsia="方正仿宋_GBK" w:cs="宋体"/>
                <w:b w:val="0"/>
                <w:bCs w:val="0"/>
                <w:color w:val="000000"/>
                <w:sz w:val="28"/>
                <w:szCs w:val="28"/>
                <w:lang w:val="en-US" w:eastAsia="zh-CN"/>
              </w:rPr>
            </w:pPr>
            <w:r>
              <w:rPr>
                <w:rFonts w:hint="eastAsia" w:ascii="Times New Roman" w:hAnsi="Times New Roman" w:cs="宋体"/>
                <w:b/>
                <w:bCs/>
                <w:color w:val="000000"/>
                <w:sz w:val="28"/>
                <w:szCs w:val="28"/>
                <w:lang w:val="en-US" w:eastAsia="zh-CN"/>
              </w:rPr>
              <w:t>托育服务体系建设：</w:t>
            </w:r>
            <w:r>
              <w:rPr>
                <w:rFonts w:hint="eastAsia" w:ascii="Times New Roman" w:hAnsi="Times New Roman" w:cs="宋体"/>
                <w:b w:val="0"/>
                <w:bCs w:val="0"/>
                <w:color w:val="000000"/>
                <w:sz w:val="28"/>
                <w:szCs w:val="28"/>
                <w:lang w:val="en-US" w:eastAsia="zh-CN"/>
              </w:rPr>
              <w:t>到2030年，预计新增社区托育点6个，小区配套幼儿园增设托班6个，新增家庭托育点1个，符合条件的幼儿园托班全部纳入备案管理。</w:t>
            </w:r>
          </w:p>
        </w:tc>
      </w:tr>
    </w:tbl>
    <w:p w14:paraId="03303597">
      <w:pPr>
        <w:bidi w:val="0"/>
        <w:rPr>
          <w:rFonts w:hint="eastAsia" w:ascii="Times New Roman" w:hAnsi="Times New Roman"/>
          <w:b w:val="0"/>
          <w:bCs w:val="0"/>
          <w:lang w:val="en-US" w:eastAsia="zh-CN"/>
        </w:rPr>
      </w:pPr>
      <w:r>
        <w:rPr>
          <w:rFonts w:hint="eastAsia" w:ascii="Times New Roman" w:hAnsi="Times New Roman"/>
          <w:b/>
          <w:bCs/>
          <w:lang w:val="en-US" w:eastAsia="zh-CN"/>
        </w:rPr>
        <w:t>推进健康农安建设。强化医疗服务保障能力。</w:t>
      </w:r>
      <w:r>
        <w:rPr>
          <w:rFonts w:hint="eastAsia" w:ascii="Times New Roman" w:hAnsi="Times New Roman"/>
          <w:b w:val="0"/>
          <w:bCs w:val="0"/>
          <w:lang w:val="en-US" w:eastAsia="zh-CN"/>
        </w:rPr>
        <w:t>提升县直公立医疗机构高质量发展，积极谋划“五大中心”建设，将人民医院二部打造成为长春和农安之间的次区域医疗中心。</w:t>
      </w:r>
      <w:r>
        <w:rPr>
          <w:rFonts w:hint="eastAsia"/>
          <w:b w:val="0"/>
          <w:bCs w:val="0"/>
          <w:lang w:val="en-US" w:eastAsia="zh-CN"/>
        </w:rPr>
        <w:t>提升基层卫生院、村卫生室服务能力，持续完善推进医联体建设。</w:t>
      </w:r>
      <w:r>
        <w:rPr>
          <w:rFonts w:hint="eastAsia" w:ascii="Times New Roman" w:hAnsi="Times New Roman"/>
          <w:b w:val="0"/>
          <w:bCs w:val="0"/>
          <w:lang w:val="en-US" w:eastAsia="zh-CN"/>
        </w:rPr>
        <w:t>充分发挥医共体信息化平台作用，实现县乡两级医疗机构在远程会诊、双向转诊、结果互认等医疗服务方面以及管理方面的互联互通。到2030年，实现二级综合医院（含中医医院）</w:t>
      </w:r>
      <w:r>
        <w:rPr>
          <w:rFonts w:hint="eastAsia"/>
          <w:b w:val="0"/>
          <w:bCs w:val="0"/>
          <w:lang w:val="en-US" w:eastAsia="zh-CN"/>
        </w:rPr>
        <w:t>在医疗检验、诊断等</w:t>
      </w:r>
      <w:r>
        <w:rPr>
          <w:rFonts w:hint="eastAsia" w:ascii="Times New Roman" w:hAnsi="Times New Roman"/>
          <w:b w:val="0"/>
          <w:bCs w:val="0"/>
          <w:lang w:val="en-US" w:eastAsia="zh-CN"/>
        </w:rPr>
        <w:t>全部纳入互认医疗机构范围。提升中医药服务供给能力，完善中医药在疾病预防、</w:t>
      </w:r>
      <w:r>
        <w:rPr>
          <w:rFonts w:hint="eastAsia"/>
          <w:b w:val="0"/>
          <w:bCs w:val="0"/>
          <w:lang w:val="en-US" w:eastAsia="zh-CN"/>
        </w:rPr>
        <w:t>疑难杂症</w:t>
      </w:r>
      <w:r>
        <w:rPr>
          <w:rFonts w:hint="eastAsia" w:ascii="Times New Roman" w:hAnsi="Times New Roman"/>
          <w:b w:val="0"/>
          <w:bCs w:val="0"/>
          <w:lang w:val="en-US" w:eastAsia="zh-CN"/>
        </w:rPr>
        <w:t>救治中的作用，加强中药急救制剂、针灸促醒等技术，全面提升中医医疗服务质量。</w:t>
      </w:r>
      <w:r>
        <w:rPr>
          <w:rFonts w:hint="eastAsia" w:ascii="Times New Roman" w:hAnsi="Times New Roman"/>
          <w:b/>
          <w:bCs/>
          <w:lang w:val="en-US" w:eastAsia="zh-CN"/>
        </w:rPr>
        <w:t>健全公共卫生体系。</w:t>
      </w:r>
      <w:r>
        <w:rPr>
          <w:rFonts w:hint="eastAsia" w:ascii="Times New Roman" w:hAnsi="Times New Roman"/>
          <w:b w:val="0"/>
          <w:bCs w:val="0"/>
          <w:lang w:val="en-US" w:eastAsia="zh-CN"/>
        </w:rPr>
        <w:t>构建社会共</w:t>
      </w:r>
      <w:r>
        <w:rPr>
          <w:rFonts w:hint="eastAsia"/>
          <w:b w:val="0"/>
          <w:bCs w:val="0"/>
          <w:lang w:val="en-US" w:eastAsia="zh-CN"/>
        </w:rPr>
        <w:t>防</w:t>
      </w:r>
      <w:r>
        <w:rPr>
          <w:rFonts w:hint="eastAsia" w:ascii="Times New Roman" w:hAnsi="Times New Roman"/>
          <w:b w:val="0"/>
          <w:bCs w:val="0"/>
          <w:lang w:val="en-US" w:eastAsia="zh-CN"/>
        </w:rPr>
        <w:t>、</w:t>
      </w:r>
      <w:r>
        <w:rPr>
          <w:rFonts w:hint="eastAsia"/>
          <w:b w:val="0"/>
          <w:bCs w:val="0"/>
          <w:lang w:val="en-US" w:eastAsia="zh-CN"/>
        </w:rPr>
        <w:t>医防协同、医防融合</w:t>
      </w:r>
      <w:r>
        <w:rPr>
          <w:rFonts w:hint="eastAsia" w:ascii="Times New Roman" w:hAnsi="Times New Roman"/>
          <w:b w:val="0"/>
          <w:bCs w:val="0"/>
          <w:lang w:val="en-US" w:eastAsia="zh-CN"/>
        </w:rPr>
        <w:t>机制，完善农安县疾病预防控制体系</w:t>
      </w:r>
      <w:r>
        <w:rPr>
          <w:rFonts w:hint="eastAsia"/>
          <w:b w:val="0"/>
          <w:bCs w:val="0"/>
          <w:lang w:val="en-US" w:eastAsia="zh-CN"/>
        </w:rPr>
        <w:t>，在二级医院开展预防，</w:t>
      </w:r>
      <w:r>
        <w:rPr>
          <w:rFonts w:hint="eastAsia" w:ascii="Times New Roman" w:hAnsi="Times New Roman"/>
          <w:b w:val="0"/>
          <w:bCs w:val="0"/>
          <w:lang w:val="en-US" w:eastAsia="zh-CN"/>
        </w:rPr>
        <w:t>推动医疗机构信息系统与传染病监测系统数据交换，提升卫生健康要素供给能力，强化预防接种门诊规范化管理，加快妇幼保健机构服务能力建设，完善心理健康和精神卫生服务，持续推进“体重管理年”活动。</w:t>
      </w:r>
      <w:r>
        <w:rPr>
          <w:rFonts w:hint="eastAsia" w:ascii="Times New Roman" w:hAnsi="Times New Roman"/>
          <w:b/>
          <w:bCs/>
          <w:lang w:val="en-US" w:eastAsia="zh-CN"/>
        </w:rPr>
        <w:t>构建“智慧医保”新生态。</w:t>
      </w:r>
      <w:r>
        <w:rPr>
          <w:rFonts w:hint="eastAsia" w:ascii="Times New Roman" w:hAnsi="Times New Roman"/>
          <w:b w:val="0"/>
          <w:bCs w:val="0"/>
          <w:lang w:val="en-US" w:eastAsia="zh-CN"/>
        </w:rPr>
        <w:t>建立“医保大数据驾驶舱”，通过可视化大屏实时监控基金流向，实现监管效率提升50%以上。引入区块链技术，联合县域内重点医疗机构试点“区块链+电子病历”，推动医保报销“免申即享”，减少人工审核误差，降低骗保风险。开发“农安医保AI助手”，构建智能问答系统，实现政策咨询、业务办理指引、报销进度查询“24小时在线响应”，降低人工服务压力30%以上。</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B60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F1F1F1"/>
          </w:tcPr>
          <w:p w14:paraId="4E3C33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firstLine="0" w:firstLineChars="0"/>
              <w:jc w:val="center"/>
              <w:textAlignment w:val="auto"/>
              <w:rPr>
                <w:rFonts w:hint="eastAsia" w:ascii="Times New Roman" w:hAnsi="Times New Roman" w:cs="宋体"/>
                <w:color w:val="000000"/>
                <w:sz w:val="28"/>
                <w:szCs w:val="28"/>
              </w:rPr>
            </w:pPr>
            <w:r>
              <w:rPr>
                <w:rFonts w:hint="eastAsia" w:ascii="Times New Roman" w:hAnsi="Times New Roman" w:cs="宋体"/>
                <w:b/>
                <w:bCs/>
                <w:color w:val="000000"/>
                <w:sz w:val="28"/>
                <w:szCs w:val="28"/>
              </w:rPr>
              <w:t>专栏</w:t>
            </w:r>
            <w:r>
              <w:rPr>
                <w:rFonts w:hint="eastAsia" w:cs="宋体"/>
                <w:b/>
                <w:bCs/>
                <w:color w:val="000000"/>
                <w:sz w:val="28"/>
                <w:szCs w:val="28"/>
                <w:lang w:val="en-US" w:eastAsia="zh-CN"/>
              </w:rPr>
              <w:t>11</w:t>
            </w:r>
            <w:r>
              <w:rPr>
                <w:rFonts w:hint="eastAsia" w:ascii="Times New Roman" w:hAnsi="Times New Roman" w:cs="宋体"/>
                <w:b/>
                <w:bCs/>
                <w:color w:val="000000"/>
                <w:sz w:val="28"/>
                <w:szCs w:val="28"/>
                <w:lang w:val="en-US" w:eastAsia="zh-CN"/>
              </w:rPr>
              <w:t xml:space="preserve"> 医疗服务保障重点工程</w:t>
            </w:r>
          </w:p>
        </w:tc>
      </w:tr>
      <w:tr w14:paraId="629D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27C55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eastAsia" w:ascii="Times New Roman" w:hAnsi="Times New Roman" w:cs="宋体"/>
                <w:b w:val="0"/>
                <w:bCs w:val="0"/>
                <w:color w:val="000000"/>
                <w:sz w:val="28"/>
                <w:szCs w:val="28"/>
                <w:lang w:val="en-US" w:eastAsia="zh-CN"/>
              </w:rPr>
            </w:pPr>
            <w:r>
              <w:rPr>
                <w:rFonts w:hint="eastAsia" w:ascii="Times New Roman" w:hAnsi="Times New Roman" w:cs="宋体"/>
                <w:b/>
                <w:bCs/>
                <w:color w:val="000000"/>
                <w:sz w:val="28"/>
                <w:szCs w:val="28"/>
                <w:lang w:val="en-US" w:eastAsia="zh-CN"/>
              </w:rPr>
              <w:t>中医药服务保障：</w:t>
            </w:r>
            <w:r>
              <w:rPr>
                <w:rFonts w:hint="eastAsia" w:ascii="Times New Roman" w:hAnsi="Times New Roman" w:cs="宋体"/>
                <w:b w:val="0"/>
                <w:bCs w:val="0"/>
                <w:color w:val="000000"/>
                <w:sz w:val="28"/>
                <w:szCs w:val="28"/>
                <w:lang w:val="en-US" w:eastAsia="zh-CN"/>
              </w:rPr>
              <w:t>发挥全国基层名中医工作室引领作用，打造中医院国医馆以及中医治未病中心，实现基层中医中药技术推广率达到100%。以中医馆为核心抓手，不断优化完善诊疗空间布局，为0-36个月儿童和65岁及以上老年人、慢性病患者提供中医健康管理服务。到2030年至少新建基层名老中医药专家传承工作室1个。</w:t>
            </w:r>
          </w:p>
          <w:p w14:paraId="40F3AA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default" w:ascii="Times New Roman" w:hAnsi="Times New Roman" w:eastAsia="方正仿宋_GBK" w:cs="宋体"/>
                <w:b w:val="0"/>
                <w:bCs w:val="0"/>
                <w:color w:val="000000"/>
                <w:sz w:val="28"/>
                <w:szCs w:val="28"/>
                <w:lang w:val="en-US" w:eastAsia="zh-CN"/>
              </w:rPr>
            </w:pPr>
            <w:r>
              <w:rPr>
                <w:rFonts w:hint="eastAsia" w:ascii="Times New Roman" w:hAnsi="Times New Roman" w:cs="宋体"/>
                <w:b/>
                <w:bCs/>
                <w:color w:val="000000"/>
                <w:sz w:val="28"/>
                <w:szCs w:val="28"/>
                <w:lang w:val="en-US" w:eastAsia="zh-CN"/>
              </w:rPr>
              <w:t>“智慧医保”生态建设：</w:t>
            </w:r>
            <w:r>
              <w:rPr>
                <w:rFonts w:hint="eastAsia" w:ascii="Times New Roman" w:hAnsi="Times New Roman" w:cs="宋体"/>
                <w:b w:val="0"/>
                <w:bCs w:val="0"/>
                <w:color w:val="000000"/>
                <w:sz w:val="28"/>
                <w:szCs w:val="28"/>
                <w:lang w:val="en-US" w:eastAsia="zh-CN"/>
              </w:rPr>
              <w:t>到2030年，建成覆盖定点医疗机构、药店、参保人全链条的AI智能监管平台。</w:t>
            </w:r>
          </w:p>
        </w:tc>
      </w:tr>
    </w:tbl>
    <w:p w14:paraId="6038769D">
      <w:pPr>
        <w:rPr>
          <w:rFonts w:hint="default" w:ascii="Times New Roman" w:hAnsi="Times New Roman"/>
          <w:b w:val="0"/>
          <w:bCs w:val="0"/>
          <w:lang w:val="en-US" w:eastAsia="zh-CN"/>
        </w:rPr>
      </w:pPr>
      <w:bookmarkStart w:id="174" w:name="OLE_LINK22"/>
      <w:r>
        <w:rPr>
          <w:rFonts w:hint="eastAsia" w:ascii="Times New Roman" w:hAnsi="Times New Roman"/>
          <w:b/>
          <w:bCs/>
          <w:lang w:val="en-US" w:eastAsia="zh-CN"/>
        </w:rPr>
        <w:t>推进教育高质量发展。</w:t>
      </w:r>
      <w:bookmarkEnd w:id="174"/>
      <w:r>
        <w:rPr>
          <w:rFonts w:hint="eastAsia" w:ascii="Times New Roman" w:hAnsi="Times New Roman"/>
          <w:lang w:val="en-US" w:eastAsia="zh-CN"/>
        </w:rPr>
        <w:t>立足县情教情，以立德树人为根本任务，以办好群众满意教育为根本出发点，以推动高质量发展为主题，构建具有农安特色的高质量教育体系。</w:t>
      </w:r>
      <w:r>
        <w:rPr>
          <w:rFonts w:hint="eastAsia" w:ascii="Times New Roman" w:hAnsi="Times New Roman"/>
          <w:b/>
          <w:bCs/>
          <w:lang w:val="en-US" w:eastAsia="zh-CN"/>
        </w:rPr>
        <w:t>实施立德树人铸魂工程。</w:t>
      </w:r>
      <w:r>
        <w:rPr>
          <w:rFonts w:hint="eastAsia" w:ascii="Times New Roman" w:hAnsi="Times New Roman"/>
          <w:b w:val="0"/>
          <w:bCs w:val="0"/>
          <w:lang w:val="en-US" w:eastAsia="zh-CN"/>
        </w:rPr>
        <w:t>全面贯彻党的教育方针，把立德树人融入思想道德教育、文化知识教育、社会实践教育各环节，贯穿基础教育、职业教育各领域，构建德智体美劳全面培养的教育体系。加强爱国主义教育、中华优秀传统文化教育、铸牢中华民族共同体意识教育、宪法法治教育、国防教育。</w:t>
      </w:r>
      <w:r>
        <w:rPr>
          <w:rFonts w:hint="eastAsia" w:ascii="Times New Roman" w:hAnsi="Times New Roman"/>
          <w:b/>
          <w:bCs/>
          <w:lang w:val="en-US" w:eastAsia="zh-CN"/>
        </w:rPr>
        <w:t>实施基础教育提质工程。</w:t>
      </w:r>
      <w:r>
        <w:rPr>
          <w:rFonts w:hint="eastAsia" w:ascii="Times New Roman" w:hAnsi="Times New Roman"/>
          <w:b w:val="0"/>
          <w:bCs w:val="0"/>
          <w:lang w:val="en-US" w:eastAsia="zh-CN"/>
        </w:rPr>
        <w:t>大力推进各级各类学校高质量发展，</w:t>
      </w:r>
      <w:r>
        <w:rPr>
          <w:rFonts w:hint="eastAsia"/>
          <w:b w:val="0"/>
          <w:bCs w:val="0"/>
          <w:lang w:val="en-US" w:eastAsia="zh-CN"/>
        </w:rPr>
        <w:t>聚焦学前普及普惠、义务教育优质均衡和县中振兴目标要求，</w:t>
      </w:r>
      <w:r>
        <w:rPr>
          <w:rFonts w:hint="eastAsia" w:ascii="Times New Roman" w:hAnsi="Times New Roman"/>
          <w:b w:val="0"/>
          <w:bCs w:val="0"/>
          <w:lang w:val="en-US" w:eastAsia="zh-CN"/>
        </w:rPr>
        <w:t>建成“广覆盖、保基本、高质量”的优质普惠学前教育体系、适应人口流动及其增长的义务教育学校布局结构，推动集团化办学全覆盖，实现高中阶段公办优质学校全覆盖，促进民办学校规范、有序发展。</w:t>
      </w:r>
      <w:r>
        <w:rPr>
          <w:rFonts w:hint="eastAsia" w:ascii="Times New Roman" w:hAnsi="Times New Roman"/>
          <w:b/>
          <w:bCs/>
          <w:lang w:val="en-US" w:eastAsia="zh-CN"/>
        </w:rPr>
        <w:t>加快职业教育优质创新发展。</w:t>
      </w:r>
      <w:r>
        <w:rPr>
          <w:rFonts w:hint="eastAsia" w:ascii="Times New Roman" w:hAnsi="Times New Roman"/>
          <w:b w:val="0"/>
          <w:bCs w:val="0"/>
          <w:lang w:val="en-US" w:eastAsia="zh-CN"/>
        </w:rPr>
        <w:t>优化职业学校专业结构，完善产教融合、校企合作机制，加强中等职业学校、实训基地的建设，着力培养学生的就业创业能力，逐步建立完善职业教育高质量育人体系。</w:t>
      </w:r>
      <w:r>
        <w:rPr>
          <w:rFonts w:hint="eastAsia" w:ascii="Times New Roman" w:hAnsi="Times New Roman"/>
          <w:b/>
          <w:bCs/>
          <w:lang w:val="en-US" w:eastAsia="zh-CN"/>
        </w:rPr>
        <w:t>深化教育改革创新。</w:t>
      </w:r>
      <w:r>
        <w:rPr>
          <w:rFonts w:hint="eastAsia" w:ascii="Times New Roman" w:hAnsi="Times New Roman"/>
          <w:b w:val="0"/>
          <w:bCs w:val="0"/>
          <w:lang w:val="en-US" w:eastAsia="zh-CN"/>
        </w:rPr>
        <w:t>推进</w:t>
      </w:r>
      <w:r>
        <w:rPr>
          <w:rFonts w:hint="eastAsia"/>
          <w:b w:val="0"/>
          <w:bCs w:val="0"/>
          <w:lang w:val="en-US" w:eastAsia="zh-CN"/>
        </w:rPr>
        <w:t>“县管校聘”改革，建立教师编制动态调整机制，加强高质量教师队伍建设，促进城乡师资均衡配置。推进“一乡一校”改革，加快乡村小规模学校撤并整合，实现城乡教育资源配置集约化。加快智慧教育建设，建成覆盖中小学校的教育信息化体系，推进中小学教师信息技术应用能力提升工程2.0实施。</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B94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F1F1F1"/>
          </w:tcPr>
          <w:p w14:paraId="48A3FC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firstLine="0" w:firstLineChars="0"/>
              <w:jc w:val="center"/>
              <w:textAlignment w:val="auto"/>
              <w:rPr>
                <w:rFonts w:hint="eastAsia" w:ascii="Times New Roman" w:hAnsi="Times New Roman" w:cs="宋体"/>
                <w:color w:val="000000"/>
                <w:sz w:val="28"/>
                <w:szCs w:val="28"/>
              </w:rPr>
            </w:pPr>
            <w:r>
              <w:rPr>
                <w:rFonts w:hint="eastAsia" w:ascii="Times New Roman" w:hAnsi="Times New Roman" w:cs="宋体"/>
                <w:b/>
                <w:bCs/>
                <w:color w:val="000000"/>
                <w:sz w:val="28"/>
                <w:szCs w:val="28"/>
              </w:rPr>
              <w:t>专栏</w:t>
            </w:r>
            <w:r>
              <w:rPr>
                <w:rFonts w:hint="eastAsia" w:ascii="Times New Roman" w:hAnsi="Times New Roman" w:cs="宋体"/>
                <w:b/>
                <w:bCs/>
                <w:color w:val="000000"/>
                <w:sz w:val="28"/>
                <w:szCs w:val="28"/>
                <w:lang w:val="en-US" w:eastAsia="zh-CN"/>
              </w:rPr>
              <w:t>1</w:t>
            </w:r>
            <w:r>
              <w:rPr>
                <w:rFonts w:hint="eastAsia" w:cs="宋体"/>
                <w:b/>
                <w:bCs/>
                <w:color w:val="000000"/>
                <w:sz w:val="28"/>
                <w:szCs w:val="28"/>
                <w:lang w:val="en-US" w:eastAsia="zh-CN"/>
              </w:rPr>
              <w:t>2</w:t>
            </w:r>
            <w:r>
              <w:rPr>
                <w:rFonts w:hint="eastAsia" w:ascii="Times New Roman" w:hAnsi="Times New Roman" w:cs="宋体"/>
                <w:b/>
                <w:bCs/>
                <w:color w:val="000000"/>
                <w:sz w:val="28"/>
                <w:szCs w:val="28"/>
                <w:lang w:val="en-US" w:eastAsia="zh-CN"/>
              </w:rPr>
              <w:t xml:space="preserve"> 教育保障重点工程</w:t>
            </w:r>
          </w:p>
        </w:tc>
      </w:tr>
      <w:tr w14:paraId="7FD1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BC68F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eastAsia" w:ascii="Times New Roman" w:hAnsi="Times New Roman" w:cs="宋体"/>
                <w:b w:val="0"/>
                <w:bCs w:val="0"/>
                <w:color w:val="000000"/>
                <w:sz w:val="28"/>
                <w:szCs w:val="28"/>
                <w:lang w:val="en-US" w:eastAsia="zh-CN"/>
              </w:rPr>
            </w:pPr>
            <w:r>
              <w:rPr>
                <w:rFonts w:hint="eastAsia" w:ascii="Times New Roman" w:hAnsi="Times New Roman" w:cs="宋体"/>
                <w:b/>
                <w:bCs/>
                <w:color w:val="000000"/>
                <w:sz w:val="28"/>
                <w:szCs w:val="28"/>
                <w:lang w:val="en-US" w:eastAsia="zh-CN"/>
              </w:rPr>
              <w:t>基础教育提质工程：</w:t>
            </w:r>
            <w:r>
              <w:rPr>
                <w:rFonts w:hint="eastAsia" w:ascii="Times New Roman" w:hAnsi="Times New Roman" w:cs="宋体"/>
                <w:b w:val="0"/>
                <w:bCs w:val="0"/>
                <w:color w:val="000000"/>
                <w:sz w:val="28"/>
                <w:szCs w:val="28"/>
                <w:lang w:val="en-US" w:eastAsia="zh-CN"/>
              </w:rPr>
              <w:t>新建独立公办园3所，改扩建乡镇中心园10所，学前三年毛入园率达100%，公办园在园儿童占比达65%以上；义务教育优质均衡发展和城乡一体化有效推进，流动人口义务教育安置率达100%，特殊儿童少年入学率保持98%以上；加快普及高中阶段教育，优质高中覆盖率超80%，建设特色高中1所。</w:t>
            </w:r>
          </w:p>
          <w:p w14:paraId="5991CD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eastAsia" w:ascii="Times New Roman" w:hAnsi="Times New Roman" w:cs="宋体"/>
                <w:b w:val="0"/>
                <w:bCs w:val="0"/>
                <w:color w:val="000000"/>
                <w:sz w:val="28"/>
                <w:szCs w:val="28"/>
                <w:lang w:val="en-US" w:eastAsia="zh-CN"/>
              </w:rPr>
            </w:pPr>
            <w:r>
              <w:rPr>
                <w:rFonts w:hint="eastAsia" w:ascii="Times New Roman" w:hAnsi="Times New Roman" w:cs="宋体"/>
                <w:b/>
                <w:bCs/>
                <w:color w:val="000000"/>
                <w:sz w:val="28"/>
                <w:szCs w:val="28"/>
                <w:lang w:val="en-US" w:eastAsia="zh-CN"/>
              </w:rPr>
              <w:t>职业教育提升工程：</w:t>
            </w:r>
            <w:r>
              <w:rPr>
                <w:rFonts w:hint="eastAsia" w:ascii="Times New Roman" w:hAnsi="Times New Roman" w:cs="宋体"/>
                <w:b w:val="0"/>
                <w:bCs w:val="0"/>
                <w:color w:val="000000"/>
                <w:sz w:val="28"/>
                <w:szCs w:val="28"/>
                <w:lang w:val="en-US" w:eastAsia="zh-CN"/>
              </w:rPr>
              <w:t>进一步完善职业教育体系，拓宽融通渠道，打造精品专业群1</w:t>
            </w:r>
            <w:r>
              <w:rPr>
                <w:rFonts w:hint="eastAsia" w:cs="宋体"/>
                <w:b w:val="0"/>
                <w:bCs w:val="0"/>
                <w:color w:val="000000"/>
                <w:sz w:val="28"/>
                <w:szCs w:val="28"/>
                <w:lang w:val="en-US" w:eastAsia="zh-CN"/>
              </w:rPr>
              <w:t>—</w:t>
            </w:r>
            <w:r>
              <w:rPr>
                <w:rFonts w:hint="eastAsia" w:ascii="Times New Roman" w:hAnsi="Times New Roman" w:cs="宋体"/>
                <w:b w:val="0"/>
                <w:bCs w:val="0"/>
                <w:color w:val="000000"/>
                <w:sz w:val="28"/>
                <w:szCs w:val="28"/>
                <w:lang w:val="en-US" w:eastAsia="zh-CN"/>
              </w:rPr>
              <w:t>2个，新增热门专业5个，提高职业教育人才培养规格。</w:t>
            </w:r>
          </w:p>
          <w:p w14:paraId="3B6218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default" w:ascii="Times New Roman" w:hAnsi="Times New Roman" w:eastAsia="方正仿宋_GBK" w:cs="宋体"/>
                <w:b w:val="0"/>
                <w:bCs w:val="0"/>
                <w:color w:val="000000"/>
                <w:sz w:val="28"/>
                <w:szCs w:val="28"/>
                <w:lang w:val="en-US" w:eastAsia="zh-CN"/>
              </w:rPr>
            </w:pPr>
            <w:r>
              <w:rPr>
                <w:rFonts w:hint="eastAsia" w:ascii="Times New Roman" w:hAnsi="Times New Roman" w:cs="宋体"/>
                <w:b/>
                <w:bCs/>
                <w:color w:val="000000"/>
                <w:sz w:val="28"/>
                <w:szCs w:val="28"/>
                <w:lang w:val="en-US" w:eastAsia="zh-CN"/>
              </w:rPr>
              <w:t>数字教育提标工程：</w:t>
            </w:r>
            <w:r>
              <w:rPr>
                <w:rFonts w:hint="eastAsia" w:ascii="Times New Roman" w:hAnsi="Times New Roman" w:cs="宋体"/>
                <w:b w:val="0"/>
                <w:bCs w:val="0"/>
                <w:color w:val="000000"/>
                <w:sz w:val="28"/>
                <w:szCs w:val="28"/>
                <w:lang w:val="en-US" w:eastAsia="zh-CN"/>
              </w:rPr>
              <w:t>深入实施教育数字化战略，推动优质教育资源城乡共享，升级改造学校信息化基础设施，全县中小学宽带接入速率达1000M以上，多媒体教室覆盖率保持100%，智慧教室占比达30%以上。</w:t>
            </w:r>
          </w:p>
        </w:tc>
      </w:tr>
    </w:tbl>
    <w:p w14:paraId="1DE5D46F">
      <w:pPr>
        <w:pStyle w:val="7"/>
        <w:bidi w:val="0"/>
        <w:rPr>
          <w:rFonts w:hint="eastAsia" w:ascii="Times New Roman" w:hAnsi="Times New Roman"/>
          <w:b/>
          <w:color w:val="auto"/>
          <w:lang w:val="en-US" w:eastAsia="zh-CN"/>
        </w:rPr>
      </w:pPr>
      <w:bookmarkStart w:id="175" w:name="_Toc4611"/>
      <w:bookmarkStart w:id="176" w:name="_Toc20871"/>
      <w:bookmarkStart w:id="177" w:name="_Toc28910"/>
      <w:r>
        <w:rPr>
          <w:rFonts w:hint="eastAsia" w:ascii="Times New Roman" w:hAnsi="Times New Roman"/>
          <w:b/>
          <w:color w:val="auto"/>
          <w:lang w:val="en-US" w:eastAsia="zh-CN"/>
        </w:rPr>
        <w:t>第三节  繁荣发展文体事业</w:t>
      </w:r>
      <w:bookmarkEnd w:id="175"/>
      <w:bookmarkEnd w:id="176"/>
      <w:bookmarkEnd w:id="177"/>
    </w:p>
    <w:p w14:paraId="3775E31F">
      <w:pPr>
        <w:bidi w:val="0"/>
        <w:ind w:left="0" w:leftChars="0" w:firstLine="640" w:firstLineChars="200"/>
        <w:rPr>
          <w:rFonts w:hint="eastAsia" w:ascii="Times New Roman" w:hAnsi="Times New Roman"/>
          <w:b/>
          <w:bCs/>
          <w:color w:val="auto"/>
          <w:highlight w:val="none"/>
          <w:lang w:val="en-US" w:eastAsia="zh-CN"/>
        </w:rPr>
      </w:pPr>
      <w:r>
        <w:rPr>
          <w:rFonts w:hint="eastAsia" w:ascii="Times New Roman" w:hAnsi="Times New Roman"/>
          <w:b/>
          <w:bCs/>
          <w:color w:val="auto"/>
          <w:highlight w:val="none"/>
          <w:lang w:val="en-US" w:eastAsia="zh-CN"/>
        </w:rPr>
        <w:t>开展文化遗产保护和利用。持续推进第四次全国文物普查。</w:t>
      </w:r>
      <w:r>
        <w:rPr>
          <w:rFonts w:hint="eastAsia" w:ascii="Times New Roman" w:hAnsi="Times New Roman"/>
          <w:b w:val="0"/>
          <w:bCs w:val="0"/>
          <w:color w:val="auto"/>
          <w:highlight w:val="none"/>
          <w:lang w:val="en-US" w:eastAsia="zh-CN"/>
        </w:rPr>
        <w:t>认真实施第三阶段任务，依法认定、登记并公布不可移动文物，建立不可移动文物资源目录，并向社会公布普查成果。</w:t>
      </w:r>
      <w:r>
        <w:rPr>
          <w:rFonts w:hint="eastAsia" w:ascii="Times New Roman" w:hAnsi="Times New Roman"/>
          <w:b/>
          <w:bCs/>
          <w:color w:val="auto"/>
          <w:highlight w:val="none"/>
          <w:lang w:val="en-US" w:eastAsia="zh-CN"/>
        </w:rPr>
        <w:t>全面落实“人防+技防+</w:t>
      </w:r>
      <w:r>
        <w:rPr>
          <w:rFonts w:hint="eastAsia"/>
          <w:b/>
          <w:bCs/>
          <w:color w:val="auto"/>
          <w:highlight w:val="none"/>
          <w:lang w:val="en-US" w:eastAsia="zh-CN"/>
        </w:rPr>
        <w:t>物防</w:t>
      </w:r>
      <w:r>
        <w:rPr>
          <w:rFonts w:hint="eastAsia" w:ascii="Times New Roman" w:hAnsi="Times New Roman"/>
          <w:b/>
          <w:bCs/>
          <w:color w:val="auto"/>
          <w:highlight w:val="none"/>
          <w:lang w:val="en-US" w:eastAsia="zh-CN"/>
        </w:rPr>
        <w:t>”。</w:t>
      </w:r>
      <w:r>
        <w:rPr>
          <w:rFonts w:hint="eastAsia" w:ascii="Times New Roman" w:hAnsi="Times New Roman"/>
          <w:b w:val="0"/>
          <w:bCs w:val="0"/>
          <w:color w:val="auto"/>
          <w:highlight w:val="none"/>
          <w:lang w:val="en-US" w:eastAsia="zh-CN"/>
        </w:rPr>
        <w:t>健全县、乡镇（街道）、村（社区）、小组四级文物安全网格化管理体系，强化巡查排查，实施县级以上文物保护单位安防工程，切实加强文物安全监管水平；加强博物馆运营管理，推进</w:t>
      </w:r>
      <w:r>
        <w:rPr>
          <w:rFonts w:hint="eastAsia"/>
          <w:b w:val="0"/>
          <w:bCs w:val="0"/>
          <w:color w:val="auto"/>
          <w:highlight w:val="none"/>
          <w:lang w:val="en-US" w:eastAsia="zh-CN"/>
        </w:rPr>
        <w:t>县域文化场馆</w:t>
      </w:r>
      <w:r>
        <w:rPr>
          <w:rFonts w:hint="eastAsia" w:ascii="Times New Roman" w:hAnsi="Times New Roman"/>
          <w:b w:val="0"/>
          <w:bCs w:val="0"/>
          <w:color w:val="auto"/>
          <w:highlight w:val="none"/>
          <w:lang w:val="en-US" w:eastAsia="zh-CN"/>
        </w:rPr>
        <w:t>提升工程，强化各项功能，完善藏品数据库建设，全面提升文物数字化保护和预防性保护水平。</w:t>
      </w:r>
      <w:r>
        <w:rPr>
          <w:rFonts w:hint="eastAsia" w:ascii="Times New Roman" w:hAnsi="Times New Roman"/>
          <w:b/>
          <w:bCs/>
          <w:color w:val="auto"/>
          <w:highlight w:val="none"/>
          <w:lang w:val="en-US" w:eastAsia="zh-CN"/>
        </w:rPr>
        <w:t>推进非物质文化遗产</w:t>
      </w:r>
      <w:r>
        <w:rPr>
          <w:rFonts w:hint="eastAsia"/>
          <w:b/>
          <w:bCs/>
          <w:color w:val="auto"/>
          <w:highlight w:val="none"/>
          <w:lang w:val="en-US" w:eastAsia="zh-CN"/>
        </w:rPr>
        <w:t>传承</w:t>
      </w:r>
      <w:r>
        <w:rPr>
          <w:rFonts w:hint="eastAsia" w:ascii="Times New Roman" w:hAnsi="Times New Roman"/>
          <w:b/>
          <w:bCs/>
          <w:color w:val="auto"/>
          <w:highlight w:val="none"/>
          <w:lang w:val="en-US" w:eastAsia="zh-CN"/>
        </w:rPr>
        <w:t>工作。</w:t>
      </w:r>
      <w:r>
        <w:rPr>
          <w:rFonts w:hint="eastAsia" w:ascii="Times New Roman" w:hAnsi="Times New Roman"/>
          <w:b w:val="0"/>
          <w:bCs w:val="0"/>
          <w:color w:val="auto"/>
          <w:highlight w:val="none"/>
          <w:lang w:val="en-US" w:eastAsia="zh-CN"/>
        </w:rPr>
        <w:t>充分挖掘非遗文化资源，做好国家、省、市级非遗项目及传承人申报工作，推进国家、省、市、县四级非物质文化遗产代表性项目名录体系建设。完善非遗传承人梯队建设，支持“非遗进校园”“非遗工坊”等社会化传承模式。推进黄龙艺术剧院设施升级改造项目</w:t>
      </w:r>
      <w:r>
        <w:rPr>
          <w:rFonts w:hint="eastAsia"/>
          <w:b w:val="0"/>
          <w:bCs w:val="0"/>
          <w:color w:val="auto"/>
          <w:highlight w:val="none"/>
          <w:lang w:val="en-US" w:eastAsia="zh-CN"/>
        </w:rPr>
        <w:t>，</w:t>
      </w:r>
      <w:r>
        <w:rPr>
          <w:rFonts w:hint="eastAsia" w:ascii="Times New Roman" w:hAnsi="Times New Roman"/>
          <w:b w:val="0"/>
          <w:bCs w:val="0"/>
          <w:color w:val="auto"/>
          <w:highlight w:val="none"/>
          <w:lang w:val="en-US" w:eastAsia="zh-CN"/>
        </w:rPr>
        <w:t>延续黄龙戏传习基地的授课活动，</w:t>
      </w:r>
      <w:r>
        <w:rPr>
          <w:rFonts w:hint="eastAsia"/>
          <w:b w:val="0"/>
          <w:bCs w:val="0"/>
          <w:color w:val="auto"/>
          <w:highlight w:val="none"/>
          <w:lang w:val="en-US" w:eastAsia="zh-CN"/>
        </w:rPr>
        <w:t>将</w:t>
      </w:r>
      <w:r>
        <w:rPr>
          <w:rFonts w:hint="eastAsia" w:ascii="Times New Roman" w:hAnsi="Times New Roman"/>
          <w:b w:val="0"/>
          <w:bCs w:val="0"/>
          <w:color w:val="auto"/>
          <w:highlight w:val="none"/>
          <w:lang w:val="en-US" w:eastAsia="zh-CN"/>
        </w:rPr>
        <w:t>黄龙戏</w:t>
      </w:r>
      <w:r>
        <w:rPr>
          <w:rFonts w:hint="eastAsia"/>
          <w:b w:val="0"/>
          <w:bCs w:val="0"/>
          <w:color w:val="auto"/>
          <w:highlight w:val="none"/>
          <w:lang w:val="en-US" w:eastAsia="zh-CN"/>
        </w:rPr>
        <w:t>发扬好、传承好</w:t>
      </w:r>
      <w:r>
        <w:rPr>
          <w:rFonts w:hint="eastAsia" w:ascii="Times New Roman" w:hAnsi="Times New Roman"/>
          <w:b w:val="0"/>
          <w:bCs w:val="0"/>
          <w:color w:val="auto"/>
          <w:highlight w:val="none"/>
          <w:lang w:val="en-US" w:eastAsia="zh-CN"/>
        </w:rPr>
        <w:t>。</w:t>
      </w:r>
      <w:r>
        <w:rPr>
          <w:rFonts w:hint="eastAsia" w:ascii="Times New Roman" w:hAnsi="Times New Roman"/>
          <w:b/>
          <w:bCs/>
          <w:color w:val="auto"/>
          <w:highlight w:val="none"/>
          <w:lang w:val="en-US" w:eastAsia="zh-CN"/>
        </w:rPr>
        <w:t>持续推动</w:t>
      </w:r>
      <w:r>
        <w:rPr>
          <w:rFonts w:hint="eastAsia"/>
          <w:b/>
          <w:bCs/>
          <w:color w:val="auto"/>
          <w:highlight w:val="none"/>
          <w:lang w:val="en-US" w:eastAsia="zh-CN"/>
        </w:rPr>
        <w:t>文化遗产</w:t>
      </w:r>
      <w:r>
        <w:rPr>
          <w:rFonts w:hint="eastAsia" w:ascii="Times New Roman" w:hAnsi="Times New Roman"/>
          <w:b/>
          <w:bCs/>
          <w:color w:val="auto"/>
          <w:highlight w:val="none"/>
          <w:lang w:val="en-US" w:eastAsia="zh-CN"/>
        </w:rPr>
        <w:t>活化利用。</w:t>
      </w:r>
      <w:r>
        <w:rPr>
          <w:rFonts w:hint="eastAsia" w:ascii="Times New Roman" w:hAnsi="Times New Roman"/>
          <w:b w:val="0"/>
          <w:bCs w:val="0"/>
          <w:color w:val="auto"/>
          <w:highlight w:val="none"/>
          <w:lang w:val="en-US" w:eastAsia="zh-CN"/>
        </w:rPr>
        <w:t>深度盘活古城墙遗址、左家山遗址等文物保护单位，加强红色资源的保护传承</w:t>
      </w:r>
      <w:r>
        <w:rPr>
          <w:rFonts w:hint="eastAsia"/>
          <w:b w:val="0"/>
          <w:bCs w:val="0"/>
          <w:color w:val="auto"/>
          <w:highlight w:val="none"/>
          <w:lang w:val="en-US" w:eastAsia="zh-CN"/>
        </w:rPr>
        <w:t>，</w:t>
      </w:r>
      <w:r>
        <w:rPr>
          <w:rFonts w:hint="eastAsia" w:ascii="Times New Roman" w:hAnsi="Times New Roman"/>
          <w:b w:val="0"/>
          <w:bCs w:val="0"/>
          <w:color w:val="auto"/>
          <w:highlight w:val="none"/>
          <w:lang w:val="en-US" w:eastAsia="zh-CN"/>
        </w:rPr>
        <w:t>深入挖掘红色文化中蕴含的丰富资源，让红色基因代代相传。开展“非遗进景区、进校园、进商场”等区域特色非物质文化遗产展演活动，利用模式从“静态展示”向“创新活化”升级，开发沉浸式体验项目（如数字展览、非遗工坊），推动“文化+旅游+科技”跨界融合。办好文化和自然遗产日以及节假日文化活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1C3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F1F1F1"/>
          </w:tcPr>
          <w:p w14:paraId="25A8A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firstLine="0" w:firstLineChars="0"/>
              <w:jc w:val="center"/>
              <w:textAlignment w:val="auto"/>
              <w:rPr>
                <w:rFonts w:hint="eastAsia" w:ascii="Times New Roman" w:hAnsi="Times New Roman" w:cs="宋体"/>
                <w:color w:val="auto"/>
                <w:sz w:val="28"/>
                <w:szCs w:val="28"/>
              </w:rPr>
            </w:pPr>
            <w:r>
              <w:rPr>
                <w:rFonts w:hint="eastAsia" w:ascii="Times New Roman" w:hAnsi="Times New Roman" w:cs="宋体"/>
                <w:b/>
                <w:bCs/>
                <w:color w:val="auto"/>
                <w:sz w:val="28"/>
                <w:szCs w:val="28"/>
              </w:rPr>
              <w:t>专栏</w:t>
            </w:r>
            <w:r>
              <w:rPr>
                <w:rFonts w:hint="eastAsia" w:ascii="Times New Roman" w:hAnsi="Times New Roman" w:cs="宋体"/>
                <w:b/>
                <w:bCs/>
                <w:color w:val="auto"/>
                <w:sz w:val="28"/>
                <w:szCs w:val="28"/>
                <w:lang w:val="en-US" w:eastAsia="zh-CN"/>
              </w:rPr>
              <w:t>1</w:t>
            </w:r>
            <w:r>
              <w:rPr>
                <w:rFonts w:hint="eastAsia" w:cs="宋体"/>
                <w:b/>
                <w:bCs/>
                <w:color w:val="auto"/>
                <w:sz w:val="28"/>
                <w:szCs w:val="28"/>
                <w:lang w:val="en-US" w:eastAsia="zh-CN"/>
              </w:rPr>
              <w:t>3</w:t>
            </w:r>
            <w:r>
              <w:rPr>
                <w:rFonts w:hint="eastAsia" w:ascii="Times New Roman" w:hAnsi="Times New Roman" w:cs="宋体"/>
                <w:b/>
                <w:bCs/>
                <w:color w:val="auto"/>
                <w:sz w:val="28"/>
                <w:szCs w:val="28"/>
                <w:lang w:val="en-US" w:eastAsia="zh-CN"/>
              </w:rPr>
              <w:t xml:space="preserve"> 文化遗产保护和利用重点工程</w:t>
            </w:r>
          </w:p>
        </w:tc>
      </w:tr>
      <w:tr w14:paraId="28B4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74C3A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eastAsia" w:ascii="Times New Roman" w:hAnsi="Times New Roman" w:cs="宋体"/>
                <w:b w:val="0"/>
                <w:bCs w:val="0"/>
                <w:color w:val="auto"/>
                <w:sz w:val="28"/>
                <w:szCs w:val="28"/>
                <w:highlight w:val="none"/>
                <w:lang w:val="en-US" w:eastAsia="zh-CN"/>
              </w:rPr>
            </w:pPr>
            <w:r>
              <w:rPr>
                <w:rFonts w:hint="eastAsia" w:ascii="Times New Roman" w:hAnsi="Times New Roman" w:cs="宋体"/>
                <w:b/>
                <w:bCs/>
                <w:color w:val="auto"/>
                <w:sz w:val="28"/>
                <w:szCs w:val="28"/>
                <w:highlight w:val="none"/>
                <w:lang w:val="en-US" w:eastAsia="zh-CN"/>
              </w:rPr>
              <w:t>提升博物馆的教育服务功能。</w:t>
            </w:r>
            <w:r>
              <w:rPr>
                <w:rFonts w:hint="eastAsia" w:ascii="Times New Roman" w:hAnsi="Times New Roman" w:cs="宋体"/>
                <w:b w:val="0"/>
                <w:bCs w:val="0"/>
                <w:color w:val="auto"/>
                <w:sz w:val="28"/>
                <w:szCs w:val="28"/>
                <w:highlight w:val="none"/>
                <w:lang w:val="en-US" w:eastAsia="zh-CN"/>
              </w:rPr>
              <w:t>以馆藏为基础，每年推出1</w:t>
            </w:r>
            <w:r>
              <w:rPr>
                <w:rFonts w:hint="eastAsia" w:cs="宋体"/>
                <w:b w:val="0"/>
                <w:bCs w:val="0"/>
                <w:color w:val="auto"/>
                <w:sz w:val="28"/>
                <w:szCs w:val="28"/>
                <w:highlight w:val="none"/>
                <w:lang w:val="en-US" w:eastAsia="zh-CN"/>
              </w:rPr>
              <w:t>～</w:t>
            </w:r>
            <w:r>
              <w:rPr>
                <w:rFonts w:hint="eastAsia" w:ascii="Times New Roman" w:hAnsi="Times New Roman" w:cs="宋体"/>
                <w:b w:val="0"/>
                <w:bCs w:val="0"/>
                <w:color w:val="auto"/>
                <w:sz w:val="28"/>
                <w:szCs w:val="28"/>
                <w:highlight w:val="none"/>
                <w:lang w:val="en-US" w:eastAsia="zh-CN"/>
              </w:rPr>
              <w:t>2个专题特色展览，积极从省内外引进一些高水准、高品质的文物展和艺术展。</w:t>
            </w:r>
          </w:p>
          <w:p w14:paraId="199AD0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default" w:ascii="Times New Roman" w:hAnsi="Times New Roman" w:cs="宋体"/>
                <w:b w:val="0"/>
                <w:bCs w:val="0"/>
                <w:color w:val="auto"/>
                <w:sz w:val="28"/>
                <w:szCs w:val="28"/>
                <w:highlight w:val="none"/>
                <w:lang w:val="en-US" w:eastAsia="zh-CN"/>
              </w:rPr>
            </w:pPr>
            <w:r>
              <w:rPr>
                <w:rFonts w:hint="default" w:ascii="Times New Roman" w:hAnsi="Times New Roman" w:cs="宋体"/>
                <w:b/>
                <w:bCs/>
                <w:color w:val="auto"/>
                <w:sz w:val="28"/>
                <w:szCs w:val="28"/>
                <w:highlight w:val="none"/>
                <w:lang w:val="en-US" w:eastAsia="zh-CN"/>
              </w:rPr>
              <w:t>建设人工智能科创教育基地。</w:t>
            </w:r>
            <w:r>
              <w:rPr>
                <w:rFonts w:hint="default" w:ascii="Times New Roman" w:hAnsi="Times New Roman" w:cs="宋体"/>
                <w:b w:val="0"/>
                <w:bCs w:val="0"/>
                <w:color w:val="auto"/>
                <w:sz w:val="28"/>
                <w:szCs w:val="28"/>
                <w:highlight w:val="none"/>
                <w:lang w:val="en-US" w:eastAsia="zh-CN"/>
              </w:rPr>
              <w:t>拟使用农安县博物馆3、4层，围绕人工智能、机器人等新兴技术，以沉浸式、引领性、创新性和智能化为建设思路，打造中小学生研学实践教育基地，包括未来厅、科创厅和竞赛厅</w:t>
            </w:r>
            <w:r>
              <w:rPr>
                <w:rFonts w:hint="eastAsia" w:cs="宋体"/>
                <w:b w:val="0"/>
                <w:bCs w:val="0"/>
                <w:color w:val="auto"/>
                <w:sz w:val="28"/>
                <w:szCs w:val="28"/>
                <w:highlight w:val="none"/>
                <w:lang w:val="en-US" w:eastAsia="zh-CN"/>
              </w:rPr>
              <w:t>。</w:t>
            </w:r>
          </w:p>
          <w:p w14:paraId="536030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eastAsia" w:ascii="Times New Roman" w:hAnsi="Times New Roman" w:cs="宋体"/>
                <w:b w:val="0"/>
                <w:bCs w:val="0"/>
                <w:color w:val="auto"/>
                <w:sz w:val="28"/>
                <w:szCs w:val="28"/>
                <w:highlight w:val="none"/>
                <w:lang w:val="en-US" w:eastAsia="zh-CN"/>
              </w:rPr>
            </w:pPr>
            <w:r>
              <w:rPr>
                <w:rFonts w:hint="eastAsia" w:ascii="Times New Roman" w:hAnsi="Times New Roman" w:cs="宋体"/>
                <w:b/>
                <w:bCs/>
                <w:color w:val="auto"/>
                <w:sz w:val="28"/>
                <w:szCs w:val="28"/>
                <w:highlight w:val="none"/>
                <w:lang w:val="en-US" w:eastAsia="zh-CN"/>
              </w:rPr>
              <w:t>县级以上文物保护单位安防工程。</w:t>
            </w:r>
            <w:r>
              <w:rPr>
                <w:rFonts w:hint="eastAsia" w:ascii="Times New Roman" w:hAnsi="Times New Roman" w:cs="宋体"/>
                <w:b w:val="0"/>
                <w:bCs w:val="0"/>
                <w:color w:val="auto"/>
                <w:sz w:val="28"/>
                <w:szCs w:val="28"/>
                <w:highlight w:val="none"/>
                <w:lang w:val="en-US" w:eastAsia="zh-CN"/>
              </w:rPr>
              <w:t>对老边岗长城、辽塔、古城墙遗址、左家山遗址等县级以上不可移动文物保护单位实施安防工程，增加视频监控系统、管线、视频入侵报警系统、监控中心等安防设施，以增强文物保护单位的预警防控能力，提升文物安全管理水平。</w:t>
            </w:r>
          </w:p>
          <w:p w14:paraId="7D7C93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eastAsia" w:ascii="Times New Roman" w:hAnsi="Times New Roman" w:cs="宋体"/>
                <w:b w:val="0"/>
                <w:bCs w:val="0"/>
                <w:color w:val="auto"/>
                <w:sz w:val="28"/>
                <w:szCs w:val="28"/>
                <w:highlight w:val="none"/>
                <w:lang w:val="en-US" w:eastAsia="zh-CN"/>
              </w:rPr>
            </w:pPr>
            <w:r>
              <w:rPr>
                <w:rFonts w:hint="eastAsia" w:ascii="Times New Roman" w:hAnsi="Times New Roman"/>
                <w:b/>
                <w:bCs/>
                <w:color w:val="auto"/>
                <w:highlight w:val="none"/>
                <w:lang w:val="en-US" w:eastAsia="zh-CN"/>
              </w:rPr>
              <w:t>加强红色资源的保护传承</w:t>
            </w:r>
            <w:r>
              <w:rPr>
                <w:rFonts w:hint="eastAsia"/>
                <w:b/>
                <w:bCs/>
                <w:color w:val="auto"/>
                <w:highlight w:val="none"/>
                <w:lang w:val="en-US" w:eastAsia="zh-CN"/>
              </w:rPr>
              <w:t>。</w:t>
            </w:r>
            <w:r>
              <w:rPr>
                <w:rFonts w:hint="eastAsia" w:ascii="Times New Roman" w:hAnsi="Times New Roman" w:cs="宋体"/>
                <w:b w:val="0"/>
                <w:bCs w:val="0"/>
                <w:color w:val="auto"/>
                <w:sz w:val="28"/>
                <w:szCs w:val="28"/>
                <w:highlight w:val="none"/>
                <w:lang w:val="en-US" w:eastAsia="zh-CN"/>
              </w:rPr>
              <w:t>建立红色资源名录，加强对农安县第一党小组旧址、伏龙泉镇竭家窑战斗遗址、县烈士陵园、靠山镇烈士陵园等核心红色资源的保护管理，推动红色资源与旅游产业深度融合</w:t>
            </w:r>
            <w:r>
              <w:rPr>
                <w:rFonts w:hint="eastAsia" w:cs="宋体"/>
                <w:b w:val="0"/>
                <w:bCs w:val="0"/>
                <w:color w:val="auto"/>
                <w:sz w:val="28"/>
                <w:szCs w:val="28"/>
                <w:highlight w:val="none"/>
                <w:lang w:val="en-US" w:eastAsia="zh-CN"/>
              </w:rPr>
              <w:t>。</w:t>
            </w:r>
          </w:p>
          <w:p w14:paraId="3E7EEE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eastAsia" w:ascii="Times New Roman" w:hAnsi="Times New Roman" w:cs="宋体"/>
                <w:b w:val="0"/>
                <w:bCs w:val="0"/>
                <w:color w:val="auto"/>
                <w:sz w:val="28"/>
                <w:szCs w:val="28"/>
                <w:highlight w:val="none"/>
                <w:lang w:val="en-US" w:eastAsia="zh-CN"/>
              </w:rPr>
            </w:pPr>
            <w:r>
              <w:rPr>
                <w:rFonts w:hint="eastAsia" w:ascii="Times New Roman" w:hAnsi="Times New Roman" w:cs="宋体"/>
                <w:b/>
                <w:bCs/>
                <w:color w:val="auto"/>
                <w:sz w:val="28"/>
                <w:szCs w:val="28"/>
                <w:highlight w:val="none"/>
                <w:lang w:val="en-US" w:eastAsia="zh-CN"/>
              </w:rPr>
              <w:t>非物质文化遗产保护。</w:t>
            </w:r>
            <w:r>
              <w:rPr>
                <w:rFonts w:hint="eastAsia" w:ascii="Times New Roman" w:hAnsi="Times New Roman" w:cs="宋体"/>
                <w:b w:val="0"/>
                <w:bCs w:val="0"/>
                <w:color w:val="auto"/>
                <w:sz w:val="28"/>
                <w:szCs w:val="28"/>
                <w:highlight w:val="none"/>
                <w:lang w:val="en-US" w:eastAsia="zh-CN"/>
              </w:rPr>
              <w:t>力争新增省级非遗1个、市级非遗5个、县级非遗10个。</w:t>
            </w:r>
          </w:p>
          <w:p w14:paraId="743B2E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default" w:ascii="Times New Roman" w:hAnsi="Times New Roman" w:eastAsia="方正仿宋_GBK" w:cs="宋体"/>
                <w:b w:val="0"/>
                <w:bCs w:val="0"/>
                <w:color w:val="auto"/>
                <w:sz w:val="28"/>
                <w:szCs w:val="28"/>
                <w:lang w:val="en-US" w:eastAsia="zh-CN"/>
              </w:rPr>
            </w:pPr>
            <w:r>
              <w:rPr>
                <w:rFonts w:hint="eastAsia" w:ascii="Times New Roman" w:hAnsi="Times New Roman" w:cs="宋体"/>
                <w:b/>
                <w:bCs/>
                <w:color w:val="auto"/>
                <w:sz w:val="28"/>
                <w:szCs w:val="28"/>
                <w:highlight w:val="none"/>
                <w:lang w:val="en-US" w:eastAsia="zh-CN"/>
              </w:rPr>
              <w:t>升级改造黄龙艺术剧院设施。</w:t>
            </w:r>
            <w:r>
              <w:rPr>
                <w:rFonts w:hint="eastAsia" w:ascii="Times New Roman" w:hAnsi="Times New Roman" w:cs="宋体"/>
                <w:b w:val="0"/>
                <w:bCs w:val="0"/>
                <w:color w:val="auto"/>
                <w:sz w:val="28"/>
                <w:szCs w:val="28"/>
                <w:highlight w:val="none"/>
                <w:lang w:val="en-US" w:eastAsia="zh-CN"/>
              </w:rPr>
              <w:t>改造提升类别包括：棚面整修、外墙整修、会议演出灯光升级、会议演出音响升级、观众席座椅更换、门窗维修、配电室升级、录音棚</w:t>
            </w:r>
            <w:r>
              <w:rPr>
                <w:rFonts w:hint="eastAsia" w:cs="宋体"/>
                <w:b w:val="0"/>
                <w:bCs w:val="0"/>
                <w:color w:val="auto"/>
                <w:sz w:val="28"/>
                <w:szCs w:val="28"/>
                <w:highlight w:val="none"/>
                <w:lang w:val="en-US" w:eastAsia="zh-CN"/>
              </w:rPr>
              <w:t>升级</w:t>
            </w:r>
            <w:r>
              <w:rPr>
                <w:rFonts w:hint="eastAsia" w:ascii="Times New Roman" w:hAnsi="Times New Roman" w:cs="宋体"/>
                <w:b w:val="0"/>
                <w:bCs w:val="0"/>
                <w:color w:val="auto"/>
                <w:sz w:val="28"/>
                <w:szCs w:val="28"/>
                <w:highlight w:val="none"/>
                <w:lang w:val="en-US" w:eastAsia="zh-CN"/>
              </w:rPr>
              <w:t>改造、排练厅led安装，在安全、消防、演出会议设施等方面达到使用标准。</w:t>
            </w:r>
          </w:p>
        </w:tc>
      </w:tr>
    </w:tbl>
    <w:p w14:paraId="6F9DF55A">
      <w:pPr>
        <w:rPr>
          <w:rFonts w:hint="eastAsia" w:ascii="Times New Roman" w:hAnsi="Times New Roman"/>
          <w:b w:val="0"/>
          <w:bCs w:val="0"/>
          <w:color w:val="auto"/>
          <w:highlight w:val="none"/>
          <w:lang w:val="en-US" w:eastAsia="zh-CN"/>
        </w:rPr>
      </w:pPr>
      <w:r>
        <w:rPr>
          <w:rFonts w:hint="eastAsia" w:ascii="Times New Roman" w:hAnsi="Times New Roman"/>
          <w:b/>
          <w:bCs/>
          <w:color w:val="auto"/>
          <w:highlight w:val="none"/>
          <w:lang w:val="en-US" w:eastAsia="zh-CN"/>
        </w:rPr>
        <w:t>实施“文化惠民”工程。提升公共文化设施</w:t>
      </w:r>
      <w:r>
        <w:rPr>
          <w:rFonts w:hint="eastAsia"/>
          <w:b/>
          <w:bCs/>
          <w:color w:val="auto"/>
          <w:highlight w:val="none"/>
          <w:lang w:val="en-US" w:eastAsia="zh-CN"/>
        </w:rPr>
        <w:t>服务</w:t>
      </w:r>
      <w:r>
        <w:rPr>
          <w:rFonts w:hint="eastAsia" w:ascii="Times New Roman" w:hAnsi="Times New Roman"/>
          <w:b/>
          <w:bCs/>
          <w:color w:val="auto"/>
          <w:highlight w:val="none"/>
          <w:lang w:val="en-US" w:eastAsia="zh-CN"/>
        </w:rPr>
        <w:t>水平。</w:t>
      </w:r>
      <w:r>
        <w:rPr>
          <w:rFonts w:hint="eastAsia" w:ascii="Times New Roman" w:hAnsi="Times New Roman"/>
          <w:b w:val="0"/>
          <w:bCs w:val="0"/>
          <w:color w:val="auto"/>
          <w:highlight w:val="none"/>
          <w:lang w:val="en-US" w:eastAsia="zh-CN"/>
        </w:rPr>
        <w:t>完善基层公共文化服务体系建设，持续实施“公共文化新空间建设”行动，以“互联网+”为手段，加速公共场馆的数字化转型，布局数字体验区、科技展厅、非遗工坊等专业性文化空间，实现数字电子终端体验等功能。提档升级公共文化阵地，做好公共文化场馆免费开放工作。同时，不断加强乡镇街道综合文化站建设和管理，提高利用率和社会效益。</w:t>
      </w:r>
      <w:r>
        <w:rPr>
          <w:rFonts w:hint="eastAsia"/>
          <w:b w:val="0"/>
          <w:bCs w:val="0"/>
          <w:color w:val="auto"/>
          <w:highlight w:val="none"/>
          <w:lang w:val="en-US" w:eastAsia="zh-CN"/>
        </w:rPr>
        <w:t>实施</w:t>
      </w:r>
      <w:r>
        <w:rPr>
          <w:rFonts w:hint="eastAsia" w:ascii="Times New Roman" w:hAnsi="Times New Roman"/>
          <w:b w:val="0"/>
          <w:bCs w:val="0"/>
          <w:color w:val="auto"/>
          <w:highlight w:val="none"/>
          <w:lang w:val="en-US" w:eastAsia="zh-CN"/>
        </w:rPr>
        <w:t>农安县融媒体中心广播电台</w:t>
      </w:r>
      <w:r>
        <w:rPr>
          <w:rFonts w:hint="eastAsia"/>
          <w:b w:val="0"/>
          <w:bCs w:val="0"/>
          <w:color w:val="auto"/>
          <w:highlight w:val="none"/>
          <w:lang w:val="en-US" w:eastAsia="zh-CN"/>
        </w:rPr>
        <w:t>数字化升级，全面实现广播电台制播、传输、运营全链路数字化，达成100%数字化制播覆盖。</w:t>
      </w:r>
      <w:r>
        <w:rPr>
          <w:rFonts w:hint="eastAsia" w:ascii="Times New Roman" w:hAnsi="Times New Roman"/>
          <w:b w:val="0"/>
          <w:bCs w:val="0"/>
          <w:color w:val="auto"/>
          <w:highlight w:val="none"/>
          <w:lang w:val="en-US" w:eastAsia="zh-CN"/>
        </w:rPr>
        <w:t>更新改造电视台演播厅</w:t>
      </w:r>
      <w:r>
        <w:rPr>
          <w:rFonts w:hint="eastAsia"/>
          <w:b w:val="0"/>
          <w:bCs w:val="0"/>
          <w:color w:val="auto"/>
          <w:highlight w:val="none"/>
          <w:lang w:val="en-US" w:eastAsia="zh-CN"/>
        </w:rPr>
        <w:t>，</w:t>
      </w:r>
      <w:r>
        <w:rPr>
          <w:rFonts w:hint="eastAsia" w:ascii="Times New Roman" w:hAnsi="Times New Roman"/>
          <w:b w:val="0"/>
          <w:bCs w:val="0"/>
          <w:color w:val="auto"/>
          <w:highlight w:val="none"/>
          <w:lang w:val="en-US" w:eastAsia="zh-CN"/>
        </w:rPr>
        <w:t>实现与省市媒体进行同步直播。</w:t>
      </w:r>
      <w:r>
        <w:rPr>
          <w:rFonts w:hint="eastAsia" w:ascii="Times New Roman" w:hAnsi="Times New Roman"/>
          <w:b/>
          <w:bCs/>
          <w:color w:val="auto"/>
          <w:highlight w:val="none"/>
          <w:lang w:val="en-US" w:eastAsia="zh-CN"/>
        </w:rPr>
        <w:t>丰富城乡公共文化供给。</w:t>
      </w:r>
      <w:r>
        <w:rPr>
          <w:rFonts w:hint="default" w:ascii="Times New Roman" w:hAnsi="Times New Roman"/>
          <w:b w:val="0"/>
          <w:bCs w:val="0"/>
          <w:color w:val="auto"/>
          <w:highlight w:val="none"/>
          <w:lang w:val="en-US" w:eastAsia="zh-CN"/>
        </w:rPr>
        <w:t>常态化举办“送文化下基层”“送演出下基层”“濒危剧种公益性演出”等文化惠民活动</w:t>
      </w:r>
      <w:r>
        <w:rPr>
          <w:rFonts w:hint="eastAsia" w:ascii="Times New Roman" w:hAnsi="Times New Roman"/>
          <w:b w:val="0"/>
          <w:bCs w:val="0"/>
          <w:color w:val="auto"/>
          <w:highlight w:val="none"/>
          <w:lang w:val="en-US" w:eastAsia="zh-CN"/>
        </w:rPr>
        <w:t>，促进优质文化资源向基层下沉；结合重要时间节点，开展历史文化、红色文化、现代文化等作品创作，组织开展“喜迎二十一大”“庆祝中华人民共和国成立80周年”等一系列主题文艺创作活动，创作一批包括刘德彪等抗战英模人物题材、改革开放题材的优秀黄龙戏作品并进行演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EED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F1F1F1"/>
          </w:tcPr>
          <w:p w14:paraId="1B5FB0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firstLine="0" w:firstLineChars="0"/>
              <w:jc w:val="center"/>
              <w:textAlignment w:val="auto"/>
              <w:rPr>
                <w:rFonts w:hint="eastAsia" w:ascii="Times New Roman" w:hAnsi="Times New Roman" w:cs="宋体"/>
                <w:color w:val="auto"/>
                <w:sz w:val="28"/>
                <w:szCs w:val="28"/>
              </w:rPr>
            </w:pPr>
            <w:r>
              <w:rPr>
                <w:rFonts w:hint="eastAsia" w:ascii="Times New Roman" w:hAnsi="Times New Roman" w:cs="宋体"/>
                <w:b/>
                <w:bCs/>
                <w:color w:val="auto"/>
                <w:sz w:val="28"/>
                <w:szCs w:val="28"/>
              </w:rPr>
              <w:t>专栏</w:t>
            </w:r>
            <w:r>
              <w:rPr>
                <w:rFonts w:hint="eastAsia" w:ascii="Times New Roman" w:hAnsi="Times New Roman" w:cs="宋体"/>
                <w:b/>
                <w:bCs/>
                <w:color w:val="auto"/>
                <w:sz w:val="28"/>
                <w:szCs w:val="28"/>
                <w:lang w:val="en-US" w:eastAsia="zh-CN"/>
              </w:rPr>
              <w:t>1</w:t>
            </w:r>
            <w:r>
              <w:rPr>
                <w:rFonts w:hint="eastAsia" w:cs="宋体"/>
                <w:b/>
                <w:bCs/>
                <w:color w:val="auto"/>
                <w:sz w:val="28"/>
                <w:szCs w:val="28"/>
                <w:lang w:val="en-US" w:eastAsia="zh-CN"/>
              </w:rPr>
              <w:t>4</w:t>
            </w:r>
            <w:r>
              <w:rPr>
                <w:rFonts w:hint="eastAsia" w:ascii="Times New Roman" w:hAnsi="Times New Roman" w:cs="宋体"/>
                <w:b/>
                <w:bCs/>
                <w:color w:val="auto"/>
                <w:sz w:val="28"/>
                <w:szCs w:val="28"/>
                <w:lang w:val="en-US" w:eastAsia="zh-CN"/>
              </w:rPr>
              <w:t xml:space="preserve"> 文化惠民重点工程</w:t>
            </w:r>
          </w:p>
        </w:tc>
      </w:tr>
      <w:tr w14:paraId="7E1E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EFC80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default" w:ascii="Times New Roman" w:hAnsi="Times New Roman" w:eastAsia="方正仿宋_GBK" w:cs="宋体"/>
                <w:b w:val="0"/>
                <w:bCs w:val="0"/>
                <w:color w:val="auto"/>
                <w:sz w:val="28"/>
                <w:szCs w:val="28"/>
                <w:highlight w:val="none"/>
                <w:lang w:val="en-US" w:eastAsia="zh-CN"/>
              </w:rPr>
            </w:pPr>
            <w:r>
              <w:rPr>
                <w:rFonts w:hint="default" w:ascii="Times New Roman" w:hAnsi="Times New Roman" w:eastAsia="方正仿宋_GBK" w:cs="宋体"/>
                <w:b/>
                <w:bCs/>
                <w:color w:val="auto"/>
                <w:sz w:val="28"/>
                <w:szCs w:val="28"/>
                <w:highlight w:val="none"/>
                <w:lang w:val="en-US" w:eastAsia="zh-CN"/>
              </w:rPr>
              <w:t>公共文化体系建设。</w:t>
            </w:r>
            <w:r>
              <w:rPr>
                <w:rFonts w:hint="default" w:ascii="Times New Roman" w:hAnsi="Times New Roman" w:eastAsia="方正仿宋_GBK" w:cs="宋体"/>
                <w:b w:val="0"/>
                <w:bCs w:val="0"/>
                <w:color w:val="auto"/>
                <w:sz w:val="28"/>
                <w:szCs w:val="28"/>
                <w:highlight w:val="none"/>
                <w:lang w:val="en-US" w:eastAsia="zh-CN"/>
              </w:rPr>
              <w:t>推动县域文化场馆景区化提升改造，新开设3</w:t>
            </w:r>
            <w:r>
              <w:rPr>
                <w:rFonts w:hint="eastAsia" w:cs="宋体"/>
                <w:b w:val="0"/>
                <w:bCs w:val="0"/>
                <w:color w:val="auto"/>
                <w:sz w:val="28"/>
                <w:szCs w:val="28"/>
                <w:highlight w:val="none"/>
                <w:lang w:val="en-US" w:eastAsia="zh-CN"/>
              </w:rPr>
              <w:t>～</w:t>
            </w:r>
            <w:r>
              <w:rPr>
                <w:rFonts w:hint="default" w:ascii="Times New Roman" w:hAnsi="Times New Roman" w:eastAsia="方正仿宋_GBK" w:cs="宋体"/>
                <w:b w:val="0"/>
                <w:bCs w:val="0"/>
                <w:color w:val="auto"/>
                <w:sz w:val="28"/>
                <w:szCs w:val="28"/>
                <w:highlight w:val="none"/>
                <w:lang w:val="en-US" w:eastAsia="zh-CN"/>
              </w:rPr>
              <w:t>4个活动室，新建设图书分馆10家，持续打造</w:t>
            </w:r>
            <w:r>
              <w:rPr>
                <w:rFonts w:hint="eastAsia" w:cs="宋体"/>
                <w:b w:val="0"/>
                <w:bCs w:val="0"/>
                <w:color w:val="auto"/>
                <w:sz w:val="28"/>
                <w:szCs w:val="28"/>
                <w:highlight w:val="none"/>
                <w:lang w:val="en-US" w:eastAsia="zh-CN"/>
              </w:rPr>
              <w:t>“</w:t>
            </w:r>
            <w:r>
              <w:rPr>
                <w:rFonts w:hint="default" w:ascii="Times New Roman" w:hAnsi="Times New Roman" w:eastAsia="方正仿宋_GBK" w:cs="宋体"/>
                <w:b w:val="0"/>
                <w:bCs w:val="0"/>
                <w:color w:val="auto"/>
                <w:sz w:val="28"/>
                <w:szCs w:val="28"/>
                <w:highlight w:val="none"/>
                <w:lang w:val="en-US" w:eastAsia="zh-CN"/>
              </w:rPr>
              <w:t>特级综合文化站</w:t>
            </w:r>
            <w:r>
              <w:rPr>
                <w:rFonts w:hint="eastAsia" w:cs="宋体"/>
                <w:b w:val="0"/>
                <w:bCs w:val="0"/>
                <w:color w:val="auto"/>
                <w:sz w:val="28"/>
                <w:szCs w:val="28"/>
                <w:highlight w:val="none"/>
                <w:lang w:val="en-US" w:eastAsia="zh-CN"/>
              </w:rPr>
              <w:t>”</w:t>
            </w:r>
            <w:r>
              <w:rPr>
                <w:rFonts w:hint="default" w:ascii="Times New Roman" w:hAnsi="Times New Roman" w:eastAsia="方正仿宋_GBK" w:cs="宋体"/>
                <w:b w:val="0"/>
                <w:bCs w:val="0"/>
                <w:color w:val="auto"/>
                <w:sz w:val="28"/>
                <w:szCs w:val="28"/>
                <w:highlight w:val="none"/>
                <w:lang w:val="en-US" w:eastAsia="zh-CN"/>
              </w:rPr>
              <w:t>2个，</w:t>
            </w:r>
            <w:r>
              <w:rPr>
                <w:rFonts w:hint="eastAsia" w:cs="宋体"/>
                <w:b w:val="0"/>
                <w:bCs w:val="0"/>
                <w:color w:val="auto"/>
                <w:sz w:val="28"/>
                <w:szCs w:val="28"/>
                <w:highlight w:val="none"/>
                <w:lang w:val="en-US" w:eastAsia="zh-CN"/>
              </w:rPr>
              <w:t>“</w:t>
            </w:r>
            <w:r>
              <w:rPr>
                <w:rFonts w:hint="default" w:ascii="Times New Roman" w:hAnsi="Times New Roman" w:eastAsia="方正仿宋_GBK" w:cs="宋体"/>
                <w:b w:val="0"/>
                <w:bCs w:val="0"/>
                <w:color w:val="auto"/>
                <w:sz w:val="28"/>
                <w:szCs w:val="28"/>
                <w:highlight w:val="none"/>
                <w:lang w:val="en-US" w:eastAsia="zh-CN"/>
              </w:rPr>
              <w:t>一级综合文化站</w:t>
            </w:r>
            <w:r>
              <w:rPr>
                <w:rFonts w:hint="eastAsia" w:cs="宋体"/>
                <w:b w:val="0"/>
                <w:bCs w:val="0"/>
                <w:color w:val="auto"/>
                <w:sz w:val="28"/>
                <w:szCs w:val="28"/>
                <w:highlight w:val="none"/>
                <w:lang w:val="en-US" w:eastAsia="zh-CN"/>
              </w:rPr>
              <w:t>”</w:t>
            </w:r>
            <w:r>
              <w:rPr>
                <w:rFonts w:hint="default" w:ascii="Times New Roman" w:hAnsi="Times New Roman" w:eastAsia="方正仿宋_GBK" w:cs="宋体"/>
                <w:b w:val="0"/>
                <w:bCs w:val="0"/>
                <w:color w:val="auto"/>
                <w:sz w:val="28"/>
                <w:szCs w:val="28"/>
                <w:highlight w:val="none"/>
                <w:lang w:val="en-US" w:eastAsia="zh-CN"/>
              </w:rPr>
              <w:t>4个，</w:t>
            </w:r>
            <w:r>
              <w:rPr>
                <w:rFonts w:hint="eastAsia" w:cs="宋体"/>
                <w:b w:val="0"/>
                <w:bCs w:val="0"/>
                <w:color w:val="auto"/>
                <w:sz w:val="28"/>
                <w:szCs w:val="28"/>
                <w:highlight w:val="none"/>
                <w:lang w:val="en-US" w:eastAsia="zh-CN"/>
              </w:rPr>
              <w:t>“</w:t>
            </w:r>
            <w:r>
              <w:rPr>
                <w:rFonts w:hint="default" w:ascii="Times New Roman" w:hAnsi="Times New Roman" w:eastAsia="方正仿宋_GBK" w:cs="宋体"/>
                <w:b w:val="0"/>
                <w:bCs w:val="0"/>
                <w:color w:val="auto"/>
                <w:sz w:val="28"/>
                <w:szCs w:val="28"/>
                <w:highlight w:val="none"/>
                <w:lang w:val="en-US" w:eastAsia="zh-CN"/>
              </w:rPr>
              <w:t>二级综合文化站</w:t>
            </w:r>
            <w:r>
              <w:rPr>
                <w:rFonts w:hint="eastAsia" w:cs="宋体"/>
                <w:b w:val="0"/>
                <w:bCs w:val="0"/>
                <w:color w:val="auto"/>
                <w:sz w:val="28"/>
                <w:szCs w:val="28"/>
                <w:highlight w:val="none"/>
                <w:lang w:val="en-US" w:eastAsia="zh-CN"/>
              </w:rPr>
              <w:t>”</w:t>
            </w:r>
            <w:r>
              <w:rPr>
                <w:rFonts w:hint="default" w:ascii="Times New Roman" w:hAnsi="Times New Roman" w:eastAsia="方正仿宋_GBK" w:cs="宋体"/>
                <w:b w:val="0"/>
                <w:bCs w:val="0"/>
                <w:color w:val="auto"/>
                <w:sz w:val="28"/>
                <w:szCs w:val="28"/>
                <w:highlight w:val="none"/>
                <w:lang w:val="en-US" w:eastAsia="zh-CN"/>
              </w:rPr>
              <w:t>4个，</w:t>
            </w:r>
            <w:r>
              <w:rPr>
                <w:rFonts w:hint="eastAsia" w:cs="宋体"/>
                <w:b w:val="0"/>
                <w:bCs w:val="0"/>
                <w:color w:val="auto"/>
                <w:sz w:val="28"/>
                <w:szCs w:val="28"/>
                <w:highlight w:val="none"/>
                <w:lang w:val="en-US" w:eastAsia="zh-CN"/>
              </w:rPr>
              <w:t>“</w:t>
            </w:r>
            <w:r>
              <w:rPr>
                <w:rFonts w:hint="default" w:ascii="Times New Roman" w:hAnsi="Times New Roman" w:eastAsia="方正仿宋_GBK" w:cs="宋体"/>
                <w:b w:val="0"/>
                <w:bCs w:val="0"/>
                <w:color w:val="auto"/>
                <w:sz w:val="28"/>
                <w:szCs w:val="28"/>
                <w:highlight w:val="none"/>
                <w:lang w:val="en-US" w:eastAsia="zh-CN"/>
              </w:rPr>
              <w:t>三级综合文化站</w:t>
            </w:r>
            <w:r>
              <w:rPr>
                <w:rFonts w:hint="eastAsia" w:cs="宋体"/>
                <w:b w:val="0"/>
                <w:bCs w:val="0"/>
                <w:color w:val="auto"/>
                <w:sz w:val="28"/>
                <w:szCs w:val="28"/>
                <w:highlight w:val="none"/>
                <w:lang w:val="en-US" w:eastAsia="zh-CN"/>
              </w:rPr>
              <w:t>”</w:t>
            </w:r>
            <w:r>
              <w:rPr>
                <w:rFonts w:hint="default" w:ascii="Times New Roman" w:hAnsi="Times New Roman" w:eastAsia="方正仿宋_GBK" w:cs="宋体"/>
                <w:b w:val="0"/>
                <w:bCs w:val="0"/>
                <w:color w:val="auto"/>
                <w:sz w:val="28"/>
                <w:szCs w:val="28"/>
                <w:highlight w:val="none"/>
                <w:lang w:val="en-US" w:eastAsia="zh-CN"/>
              </w:rPr>
              <w:t>9个。</w:t>
            </w:r>
          </w:p>
          <w:p w14:paraId="5A7481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default" w:ascii="Times New Roman" w:hAnsi="Times New Roman" w:eastAsia="方正仿宋_GBK" w:cs="宋体"/>
                <w:b w:val="0"/>
                <w:bCs w:val="0"/>
                <w:color w:val="auto"/>
                <w:sz w:val="28"/>
                <w:szCs w:val="28"/>
                <w:highlight w:val="none"/>
                <w:lang w:val="en-US" w:eastAsia="zh-CN"/>
              </w:rPr>
            </w:pPr>
            <w:r>
              <w:rPr>
                <w:rFonts w:hint="default" w:ascii="Times New Roman" w:hAnsi="Times New Roman" w:eastAsia="方正仿宋_GBK" w:cs="宋体"/>
                <w:b/>
                <w:bCs/>
                <w:color w:val="auto"/>
                <w:sz w:val="28"/>
                <w:szCs w:val="28"/>
                <w:highlight w:val="none"/>
                <w:lang w:val="en-US" w:eastAsia="zh-CN"/>
              </w:rPr>
              <w:t>新型文化空间建设。</w:t>
            </w:r>
            <w:r>
              <w:rPr>
                <w:rFonts w:hint="default" w:ascii="Times New Roman" w:hAnsi="Times New Roman" w:eastAsia="方正仿宋_GBK" w:cs="宋体"/>
                <w:b w:val="0"/>
                <w:bCs w:val="0"/>
                <w:color w:val="auto"/>
                <w:sz w:val="28"/>
                <w:szCs w:val="28"/>
                <w:highlight w:val="none"/>
                <w:lang w:val="en-US" w:eastAsia="zh-CN"/>
              </w:rPr>
              <w:t>为更好地提供优质的公共文化服务和产品，</w:t>
            </w:r>
            <w:r>
              <w:rPr>
                <w:rFonts w:hint="eastAsia" w:ascii="Times New Roman" w:hAnsi="Times New Roman" w:eastAsia="方正仿宋_GBK" w:cs="宋体"/>
                <w:b w:val="0"/>
                <w:bCs w:val="0"/>
                <w:color w:val="auto"/>
                <w:sz w:val="28"/>
                <w:szCs w:val="28"/>
                <w:highlight w:val="none"/>
                <w:lang w:val="en-US" w:eastAsia="zh-CN"/>
              </w:rPr>
              <w:t>打造非遗工坊1个，</w:t>
            </w:r>
            <w:r>
              <w:rPr>
                <w:rFonts w:hint="default" w:ascii="Times New Roman" w:hAnsi="Times New Roman" w:eastAsia="方正仿宋_GBK" w:cs="宋体"/>
                <w:b w:val="0"/>
                <w:bCs w:val="0"/>
                <w:color w:val="auto"/>
                <w:sz w:val="28"/>
                <w:szCs w:val="28"/>
                <w:highlight w:val="none"/>
                <w:lang w:val="en-US" w:eastAsia="zh-CN"/>
              </w:rPr>
              <w:t>在巴吉垒镇、合隆镇、开安镇打造独具特色、功能完备的文化驿站和书房。</w:t>
            </w:r>
          </w:p>
          <w:p w14:paraId="5361A1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default" w:ascii="Times New Roman" w:hAnsi="Times New Roman" w:eastAsia="方正仿宋_GBK" w:cs="宋体"/>
                <w:b w:val="0"/>
                <w:bCs w:val="0"/>
                <w:color w:val="auto"/>
                <w:sz w:val="28"/>
                <w:szCs w:val="28"/>
                <w:highlight w:val="none"/>
                <w:lang w:val="en-US" w:eastAsia="zh-CN"/>
              </w:rPr>
            </w:pPr>
            <w:r>
              <w:rPr>
                <w:rFonts w:hint="default" w:ascii="Times New Roman" w:hAnsi="Times New Roman" w:eastAsia="方正仿宋_GBK" w:cs="宋体"/>
                <w:b/>
                <w:bCs/>
                <w:color w:val="auto"/>
                <w:sz w:val="28"/>
                <w:szCs w:val="28"/>
                <w:highlight w:val="none"/>
                <w:lang w:val="en-US" w:eastAsia="zh-CN"/>
              </w:rPr>
              <w:t>文艺精品创作。</w:t>
            </w:r>
            <w:r>
              <w:rPr>
                <w:rFonts w:hint="default" w:ascii="Times New Roman" w:hAnsi="Times New Roman" w:eastAsia="方正仿宋_GBK" w:cs="宋体"/>
                <w:b w:val="0"/>
                <w:bCs w:val="0"/>
                <w:color w:val="auto"/>
                <w:sz w:val="28"/>
                <w:szCs w:val="28"/>
                <w:highlight w:val="none"/>
                <w:lang w:val="en-US" w:eastAsia="zh-CN"/>
              </w:rPr>
              <w:t>创作历史文化、红色文化、现代文化等好作品5个；</w:t>
            </w:r>
            <w:r>
              <w:rPr>
                <w:rFonts w:hint="eastAsia" w:cs="宋体"/>
                <w:b w:val="0"/>
                <w:bCs w:val="0"/>
                <w:color w:val="auto"/>
                <w:sz w:val="28"/>
                <w:szCs w:val="28"/>
                <w:highlight w:val="none"/>
                <w:lang w:val="en-US" w:eastAsia="zh-CN"/>
              </w:rPr>
              <w:t>“</w:t>
            </w:r>
            <w:r>
              <w:rPr>
                <w:rFonts w:hint="default" w:ascii="Times New Roman" w:hAnsi="Times New Roman" w:eastAsia="方正仿宋_GBK" w:cs="宋体"/>
                <w:b w:val="0"/>
                <w:bCs w:val="0"/>
                <w:color w:val="auto"/>
                <w:sz w:val="28"/>
                <w:szCs w:val="28"/>
                <w:highlight w:val="none"/>
                <w:lang w:val="en-US" w:eastAsia="zh-CN"/>
              </w:rPr>
              <w:t>十五五</w:t>
            </w:r>
            <w:r>
              <w:rPr>
                <w:rFonts w:hint="eastAsia" w:cs="宋体"/>
                <w:b w:val="0"/>
                <w:bCs w:val="0"/>
                <w:color w:val="auto"/>
                <w:sz w:val="28"/>
                <w:szCs w:val="28"/>
                <w:highlight w:val="none"/>
                <w:lang w:val="en-US" w:eastAsia="zh-CN"/>
              </w:rPr>
              <w:t>”</w:t>
            </w:r>
            <w:r>
              <w:rPr>
                <w:rFonts w:hint="default" w:ascii="Times New Roman" w:hAnsi="Times New Roman" w:eastAsia="方正仿宋_GBK" w:cs="宋体"/>
                <w:b w:val="0"/>
                <w:bCs w:val="0"/>
                <w:color w:val="auto"/>
                <w:sz w:val="28"/>
                <w:szCs w:val="28"/>
                <w:highlight w:val="none"/>
                <w:lang w:val="en-US" w:eastAsia="zh-CN"/>
              </w:rPr>
              <w:t>期间</w:t>
            </w:r>
            <w:r>
              <w:rPr>
                <w:rFonts w:hint="eastAsia" w:ascii="Times New Roman" w:hAnsi="Times New Roman" w:cs="宋体"/>
                <w:b w:val="0"/>
                <w:bCs w:val="0"/>
                <w:color w:val="auto"/>
                <w:sz w:val="28"/>
                <w:szCs w:val="28"/>
                <w:highlight w:val="none"/>
                <w:lang w:val="en-US" w:eastAsia="zh-CN"/>
              </w:rPr>
              <w:t>，力争每年</w:t>
            </w:r>
            <w:r>
              <w:rPr>
                <w:rFonts w:hint="default" w:ascii="Times New Roman" w:hAnsi="Times New Roman" w:eastAsia="方正仿宋_GBK" w:cs="宋体"/>
                <w:b w:val="0"/>
                <w:bCs w:val="0"/>
                <w:color w:val="auto"/>
                <w:sz w:val="28"/>
                <w:szCs w:val="28"/>
                <w:highlight w:val="none"/>
                <w:lang w:val="en-US" w:eastAsia="zh-CN"/>
              </w:rPr>
              <w:t>组织开展主题文艺创作</w:t>
            </w:r>
            <w:r>
              <w:rPr>
                <w:rFonts w:hint="eastAsia" w:ascii="Times New Roman" w:hAnsi="Times New Roman" w:cs="宋体"/>
                <w:b w:val="0"/>
                <w:bCs w:val="0"/>
                <w:color w:val="auto"/>
                <w:sz w:val="28"/>
                <w:szCs w:val="28"/>
                <w:highlight w:val="none"/>
                <w:lang w:val="en-US" w:eastAsia="zh-CN"/>
              </w:rPr>
              <w:t>活动1场，</w:t>
            </w:r>
            <w:r>
              <w:rPr>
                <w:rFonts w:hint="default" w:ascii="Times New Roman" w:hAnsi="Times New Roman" w:eastAsia="方正仿宋_GBK" w:cs="宋体"/>
                <w:b w:val="0"/>
                <w:bCs w:val="0"/>
                <w:color w:val="auto"/>
                <w:sz w:val="28"/>
                <w:szCs w:val="28"/>
                <w:highlight w:val="none"/>
                <w:lang w:val="en-US" w:eastAsia="zh-CN"/>
              </w:rPr>
              <w:t>推出黄龙戏大戏1-2部</w:t>
            </w:r>
            <w:r>
              <w:rPr>
                <w:rFonts w:hint="eastAsia" w:ascii="Times New Roman" w:hAnsi="Times New Roman" w:cs="宋体"/>
                <w:b w:val="0"/>
                <w:bCs w:val="0"/>
                <w:color w:val="auto"/>
                <w:sz w:val="28"/>
                <w:szCs w:val="28"/>
                <w:highlight w:val="none"/>
                <w:lang w:val="en-US" w:eastAsia="zh-CN"/>
              </w:rPr>
              <w:t>、</w:t>
            </w:r>
            <w:r>
              <w:rPr>
                <w:rFonts w:hint="default" w:ascii="Times New Roman" w:hAnsi="Times New Roman" w:eastAsia="方正仿宋_GBK" w:cs="宋体"/>
                <w:b w:val="0"/>
                <w:bCs w:val="0"/>
                <w:color w:val="auto"/>
                <w:sz w:val="28"/>
                <w:szCs w:val="28"/>
                <w:highlight w:val="none"/>
                <w:lang w:val="en-US" w:eastAsia="zh-CN"/>
              </w:rPr>
              <w:t>小戏5部。</w:t>
            </w:r>
          </w:p>
          <w:p w14:paraId="73CDF5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default" w:ascii="Times New Roman" w:hAnsi="Times New Roman" w:eastAsia="方正仿宋_GBK" w:cs="宋体"/>
                <w:b w:val="0"/>
                <w:bCs w:val="0"/>
                <w:color w:val="auto"/>
                <w:sz w:val="28"/>
                <w:szCs w:val="28"/>
                <w:highlight w:val="none"/>
                <w:lang w:val="en-US" w:eastAsia="zh-CN"/>
              </w:rPr>
            </w:pPr>
            <w:r>
              <w:rPr>
                <w:rFonts w:hint="default" w:ascii="Times New Roman" w:hAnsi="Times New Roman" w:eastAsia="方正仿宋_GBK" w:cs="宋体"/>
                <w:b/>
                <w:bCs/>
                <w:color w:val="auto"/>
                <w:sz w:val="28"/>
                <w:szCs w:val="28"/>
                <w:highlight w:val="none"/>
                <w:lang w:val="en-US" w:eastAsia="zh-CN"/>
              </w:rPr>
              <w:t>开展文化惠民活动。</w:t>
            </w:r>
            <w:r>
              <w:rPr>
                <w:rFonts w:hint="default" w:ascii="Times New Roman" w:hAnsi="Times New Roman" w:eastAsia="方正仿宋_GBK" w:cs="宋体"/>
                <w:b w:val="0"/>
                <w:bCs w:val="0"/>
                <w:color w:val="auto"/>
                <w:sz w:val="28"/>
                <w:szCs w:val="28"/>
                <w:highlight w:val="none"/>
                <w:lang w:val="en-US" w:eastAsia="zh-CN"/>
              </w:rPr>
              <w:t>每年开展“送文化下基层”10场以上，每年开展黄龙戏公益演出20余场，每年举办读书会、讲座等线上线下阅读活动100场以上，每年乡镇开展“四季村晚”活动22 场以上。</w:t>
            </w:r>
          </w:p>
          <w:p w14:paraId="3B03F5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default" w:ascii="Times New Roman" w:hAnsi="Times New Roman" w:eastAsia="方正仿宋_GBK" w:cs="宋体"/>
                <w:b w:val="0"/>
                <w:bCs w:val="0"/>
                <w:color w:val="auto"/>
                <w:sz w:val="28"/>
                <w:szCs w:val="28"/>
                <w:lang w:val="en-US" w:eastAsia="zh-CN"/>
              </w:rPr>
            </w:pPr>
            <w:r>
              <w:rPr>
                <w:rFonts w:hint="default" w:ascii="Times New Roman" w:hAnsi="Times New Roman" w:eastAsia="方正仿宋_GBK" w:cs="宋体"/>
                <w:b/>
                <w:bCs/>
                <w:color w:val="auto"/>
                <w:sz w:val="28"/>
                <w:szCs w:val="28"/>
                <w:highlight w:val="none"/>
                <w:lang w:val="en-US" w:eastAsia="zh-CN"/>
              </w:rPr>
              <w:t>强化文化队伍多层次建设。</w:t>
            </w:r>
            <w:r>
              <w:rPr>
                <w:rFonts w:hint="default" w:ascii="Times New Roman" w:hAnsi="Times New Roman" w:eastAsia="方正仿宋_GBK" w:cs="宋体"/>
                <w:b w:val="0"/>
                <w:bCs w:val="0"/>
                <w:color w:val="auto"/>
                <w:sz w:val="28"/>
                <w:szCs w:val="28"/>
                <w:highlight w:val="none"/>
                <w:lang w:val="en-US" w:eastAsia="zh-CN"/>
              </w:rPr>
              <w:t>依托省市优质文化资源，每年开展基层文化骨干业务能力提升培训不少于1次，重点推进广场舞、秧歌舞、合唱等专项培训项目；积极指导26个乡镇街道开展文艺队伍建设工作，因地制宜推动“一乡、一品、一特色”文艺项目的培育与发展，以特色文化品牌赋能乡村文化振兴，丰富基层群众的精神文化生活。</w:t>
            </w:r>
          </w:p>
        </w:tc>
      </w:tr>
    </w:tbl>
    <w:p w14:paraId="1EA47742">
      <w:pPr>
        <w:rPr>
          <w:rFonts w:hint="eastAsia" w:ascii="Times New Roman" w:hAnsi="Times New Roman"/>
          <w:color w:val="auto"/>
          <w:highlight w:val="none"/>
          <w:lang w:val="en-US" w:eastAsia="zh-CN"/>
        </w:rPr>
      </w:pPr>
      <w:r>
        <w:rPr>
          <w:rFonts w:hint="eastAsia" w:ascii="Times New Roman" w:hAnsi="Times New Roman"/>
          <w:b/>
          <w:bCs/>
          <w:color w:val="auto"/>
          <w:highlight w:val="none"/>
          <w:lang w:val="en-US" w:eastAsia="zh-CN"/>
        </w:rPr>
        <w:t>实施体育事业推进工程。完善体育公共资源。</w:t>
      </w:r>
      <w:r>
        <w:rPr>
          <w:rFonts w:hint="eastAsia" w:ascii="Times New Roman" w:hAnsi="Times New Roman"/>
          <w:color w:val="auto"/>
          <w:highlight w:val="none"/>
          <w:lang w:val="en-US" w:eastAsia="zh-CN"/>
        </w:rPr>
        <w:t>统筹建设全民健身场地设施，推动城市全民健身中心、体育健身公园、社区健身广场和足球、冰雪等户外运动场地建设，打造城市居民“15分钟健身圈”。推进全民健身服务资源向农村倾斜，推动基本公共体育服务城乡均等化。</w:t>
      </w:r>
      <w:r>
        <w:rPr>
          <w:rFonts w:hint="eastAsia" w:ascii="Times New Roman" w:hAnsi="Times New Roman"/>
          <w:b/>
          <w:bCs/>
          <w:color w:val="auto"/>
          <w:highlight w:val="none"/>
          <w:lang w:val="en-US" w:eastAsia="zh-CN"/>
        </w:rPr>
        <w:t>积极开展体育赛事活动。</w:t>
      </w:r>
      <w:r>
        <w:rPr>
          <w:rFonts w:hint="eastAsia" w:ascii="Times New Roman" w:hAnsi="Times New Roman"/>
          <w:color w:val="auto"/>
          <w:highlight w:val="none"/>
          <w:lang w:val="en-US" w:eastAsia="zh-CN"/>
        </w:rPr>
        <w:t>大力发展“足球、篮球、排球”三大球及健身跑、广场舞、自行车、冰雪运动等群众体育项目，鼓励开展田径、摔跤、自行车等特色竞技体育项目，持续打造“一县一品”赛事活动，以场馆为依托，积极承办各类体育赛事，拉动农安县体育竞赛市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693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F1F1F1"/>
          </w:tcPr>
          <w:p w14:paraId="6BFC15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firstLine="0" w:firstLineChars="0"/>
              <w:jc w:val="center"/>
              <w:textAlignment w:val="auto"/>
              <w:rPr>
                <w:rFonts w:hint="eastAsia" w:ascii="Times New Roman" w:hAnsi="Times New Roman" w:cs="宋体"/>
                <w:color w:val="auto"/>
                <w:sz w:val="28"/>
                <w:szCs w:val="28"/>
              </w:rPr>
            </w:pPr>
            <w:r>
              <w:rPr>
                <w:rFonts w:hint="eastAsia" w:ascii="Times New Roman" w:hAnsi="Times New Roman" w:cs="宋体"/>
                <w:b/>
                <w:bCs/>
                <w:color w:val="auto"/>
                <w:sz w:val="28"/>
                <w:szCs w:val="28"/>
              </w:rPr>
              <w:t>专栏</w:t>
            </w:r>
            <w:r>
              <w:rPr>
                <w:rFonts w:hint="eastAsia" w:ascii="Times New Roman" w:hAnsi="Times New Roman" w:cs="宋体"/>
                <w:b/>
                <w:bCs/>
                <w:color w:val="auto"/>
                <w:sz w:val="28"/>
                <w:szCs w:val="28"/>
                <w:lang w:val="en-US" w:eastAsia="zh-CN"/>
              </w:rPr>
              <w:t>1</w:t>
            </w:r>
            <w:r>
              <w:rPr>
                <w:rFonts w:hint="eastAsia" w:cs="宋体"/>
                <w:b/>
                <w:bCs/>
                <w:color w:val="auto"/>
                <w:sz w:val="28"/>
                <w:szCs w:val="28"/>
                <w:lang w:val="en-US" w:eastAsia="zh-CN"/>
              </w:rPr>
              <w:t>5</w:t>
            </w:r>
            <w:r>
              <w:rPr>
                <w:rFonts w:hint="eastAsia" w:ascii="Times New Roman" w:hAnsi="Times New Roman" w:cs="宋体"/>
                <w:b/>
                <w:bCs/>
                <w:color w:val="auto"/>
                <w:sz w:val="28"/>
                <w:szCs w:val="28"/>
                <w:lang w:val="en-US" w:eastAsia="zh-CN"/>
              </w:rPr>
              <w:t xml:space="preserve"> 体育事业重点工程</w:t>
            </w:r>
          </w:p>
        </w:tc>
      </w:tr>
      <w:tr w14:paraId="056D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3C5BB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default" w:ascii="Times New Roman" w:hAnsi="Times New Roman" w:eastAsia="方正仿宋_GBK" w:cs="宋体"/>
                <w:b w:val="0"/>
                <w:bCs w:val="0"/>
                <w:color w:val="auto"/>
                <w:sz w:val="28"/>
                <w:szCs w:val="28"/>
                <w:lang w:val="en-US" w:eastAsia="zh-CN"/>
              </w:rPr>
            </w:pPr>
            <w:r>
              <w:rPr>
                <w:rFonts w:hint="default" w:ascii="Times New Roman" w:hAnsi="Times New Roman"/>
                <w:b w:val="0"/>
                <w:bCs w:val="0"/>
                <w:color w:val="auto"/>
                <w:highlight w:val="none"/>
                <w:lang w:val="en-US" w:eastAsia="zh-CN"/>
              </w:rPr>
              <w:t>到2030年，实现377 个行政村健身设施全覆盖，新增4个笼式足球场，4个多功能运动场，40</w:t>
            </w:r>
            <w:r>
              <w:rPr>
                <w:rFonts w:hint="eastAsia" w:ascii="Times New Roman" w:hAnsi="Times New Roman"/>
                <w:b w:val="0"/>
                <w:bCs w:val="0"/>
                <w:color w:val="auto"/>
                <w:highlight w:val="none"/>
                <w:lang w:val="en-US" w:eastAsia="zh-CN"/>
              </w:rPr>
              <w:t>套</w:t>
            </w:r>
            <w:r>
              <w:rPr>
                <w:rFonts w:hint="default" w:ascii="Times New Roman" w:hAnsi="Times New Roman"/>
                <w:b w:val="0"/>
                <w:bCs w:val="0"/>
                <w:color w:val="auto"/>
                <w:highlight w:val="none"/>
                <w:lang w:val="en-US" w:eastAsia="zh-CN"/>
              </w:rPr>
              <w:t>健身路径等设施，全民健身群众赛事不低于50余场，到2030年全县每千人拥有社会体育指导员2.9名。</w:t>
            </w:r>
          </w:p>
        </w:tc>
      </w:tr>
    </w:tbl>
    <w:p w14:paraId="4CEDE67E">
      <w:pPr>
        <w:pStyle w:val="7"/>
        <w:bidi w:val="0"/>
        <w:rPr>
          <w:rFonts w:hint="eastAsia" w:ascii="Times New Roman" w:hAnsi="Times New Roman"/>
          <w:b/>
          <w:lang w:val="en-US" w:eastAsia="zh-CN"/>
        </w:rPr>
      </w:pPr>
      <w:bookmarkStart w:id="178" w:name="_Toc6019"/>
      <w:bookmarkStart w:id="179" w:name="_Toc20080"/>
      <w:bookmarkStart w:id="180" w:name="_Toc20102"/>
      <w:r>
        <w:rPr>
          <w:rFonts w:hint="eastAsia" w:ascii="Times New Roman" w:hAnsi="Times New Roman"/>
          <w:b/>
          <w:lang w:val="en-US" w:eastAsia="zh-CN"/>
        </w:rPr>
        <w:t>第四节  完善基础设施建设</w:t>
      </w:r>
      <w:bookmarkEnd w:id="178"/>
      <w:bookmarkEnd w:id="179"/>
      <w:bookmarkEnd w:id="180"/>
    </w:p>
    <w:p w14:paraId="02E8E1AF">
      <w:pPr>
        <w:bidi w:val="0"/>
        <w:ind w:firstLine="640" w:firstLineChars="200"/>
        <w:rPr>
          <w:rFonts w:hint="eastAsia" w:ascii="Times New Roman" w:hAnsi="Times New Roman" w:cs="宋体"/>
          <w:lang w:val="en-US" w:eastAsia="zh-CN"/>
        </w:rPr>
      </w:pPr>
      <w:r>
        <w:rPr>
          <w:rFonts w:hint="eastAsia" w:ascii="Times New Roman" w:hAnsi="Times New Roman"/>
          <w:b/>
          <w:bCs/>
          <w:lang w:val="en-US" w:eastAsia="zh-CN"/>
        </w:rPr>
        <w:t>推进公路交通提档升级。</w:t>
      </w:r>
      <w:r>
        <w:rPr>
          <w:rFonts w:hint="eastAsia" w:ascii="Times New Roman" w:hAnsi="Times New Roman" w:cs="宋体"/>
          <w:b/>
          <w:bCs/>
          <w:lang w:val="en-US" w:eastAsia="zh-CN"/>
        </w:rPr>
        <w:t>增强国省干线公路承载能力。</w:t>
      </w:r>
      <w:r>
        <w:rPr>
          <w:rFonts w:hint="eastAsia" w:ascii="Times New Roman" w:hAnsi="Times New Roman" w:cs="宋体"/>
          <w:lang w:val="en-US" w:eastAsia="zh-CN"/>
        </w:rPr>
        <w:t>以打造国道（G334）龙东线“旅游大通道”、长春都市圈建设为契机，加快推动国省干线公路建设，全面提升国省干线服务能力和服务水平，强化农安与周边县市互联互通，实施连接线道路升级，实现与周边农村公路无缝衔接，提高路网连通水平。</w:t>
      </w:r>
      <w:r>
        <w:rPr>
          <w:rFonts w:hint="eastAsia" w:ascii="Times New Roman" w:hAnsi="Times New Roman" w:cs="宋体"/>
          <w:b/>
          <w:bCs/>
          <w:lang w:val="en-US" w:eastAsia="zh-CN"/>
        </w:rPr>
        <w:t>全力推进“四好农村路”建设。</w:t>
      </w:r>
      <w:r>
        <w:rPr>
          <w:rFonts w:hint="eastAsia" w:ascii="Times New Roman" w:hAnsi="Times New Roman" w:cs="宋体"/>
          <w:lang w:val="en-US" w:eastAsia="zh-CN"/>
        </w:rPr>
        <w:t>围绕乡村振兴战略，结合区域产业发展、旅游开发、资源利用等方面，以联通城区、乡镇的县级公路升级改造为重点，继续改善农村公路基础设施条件，集中整治解决“破损路”，新建一批</w:t>
      </w:r>
      <w:r>
        <w:rPr>
          <w:rFonts w:hint="eastAsia" w:cs="宋体"/>
          <w:lang w:val="en-US" w:eastAsia="zh-CN"/>
        </w:rPr>
        <w:t>长安公路等</w:t>
      </w:r>
      <w:r>
        <w:rPr>
          <w:rFonts w:hint="eastAsia" w:ascii="Times New Roman" w:hAnsi="Times New Roman" w:cs="宋体"/>
          <w:lang w:val="en-US" w:eastAsia="zh-CN"/>
        </w:rPr>
        <w:t>连接道路，打造“美丽农村路”，结合县道改造完善农村公路网络，实现“改造一条、带动一片”。</w:t>
      </w:r>
      <w:r>
        <w:rPr>
          <w:rFonts w:hint="eastAsia" w:ascii="Times New Roman" w:hAnsi="Times New Roman" w:cs="宋体"/>
          <w:b/>
          <w:bCs/>
          <w:lang w:val="en-US" w:eastAsia="zh-CN"/>
        </w:rPr>
        <w:t>强化全域公路养护管理。</w:t>
      </w:r>
      <w:r>
        <w:rPr>
          <w:rFonts w:hint="eastAsia" w:ascii="Times New Roman" w:hAnsi="Times New Roman" w:cs="宋体"/>
          <w:lang w:val="en-US" w:eastAsia="zh-CN"/>
        </w:rPr>
        <w:t>按照“有路必养、养必到位”的原则，建立公路养护长效机制，实行公路养护市场化。重点加快对农村公路安全设施严重损坏、缺失、存在较大的安全隐患路段的安防工程建设，确保公路安全运营。</w:t>
      </w:r>
      <w:r>
        <w:rPr>
          <w:rFonts w:hint="eastAsia" w:ascii="Times New Roman" w:hAnsi="Times New Roman" w:cs="宋体"/>
          <w:b/>
          <w:bCs/>
          <w:lang w:val="en-US" w:eastAsia="zh-CN"/>
        </w:rPr>
        <w:t>加快智慧交通网络建设。</w:t>
      </w:r>
      <w:r>
        <w:rPr>
          <w:rFonts w:hint="eastAsia" w:ascii="Times New Roman" w:hAnsi="Times New Roman" w:cs="宋体"/>
          <w:lang w:val="en-US" w:eastAsia="zh-CN"/>
        </w:rPr>
        <w:t>拓展“智慧交通”平台功能，提高对各类运输工具、场站和执法的监管智能化水平，实现实时监测、智能预警和精准执法。升级农村公路智慧管理系统，增加数据分析、智能决策功能，提升农村公路资产管理、养护管理、项目建设管理和路长管理的科学性与效率。</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3B1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F1F1F1"/>
          </w:tcPr>
          <w:p w14:paraId="229FA1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firstLine="0" w:firstLineChars="0"/>
              <w:jc w:val="center"/>
              <w:textAlignment w:val="auto"/>
              <w:rPr>
                <w:rFonts w:hint="default" w:ascii="Times New Roman" w:hAnsi="Times New Roman" w:cs="宋体"/>
                <w:color w:val="000000"/>
                <w:sz w:val="28"/>
                <w:szCs w:val="28"/>
                <w:lang w:val="en-US"/>
              </w:rPr>
            </w:pPr>
            <w:r>
              <w:rPr>
                <w:rFonts w:hint="eastAsia" w:ascii="Times New Roman" w:hAnsi="Times New Roman" w:cs="宋体"/>
                <w:b/>
                <w:bCs/>
                <w:color w:val="000000"/>
                <w:sz w:val="28"/>
                <w:szCs w:val="28"/>
              </w:rPr>
              <w:t>专栏</w:t>
            </w:r>
            <w:r>
              <w:rPr>
                <w:rFonts w:hint="eastAsia" w:ascii="Times New Roman" w:hAnsi="Times New Roman" w:cs="宋体"/>
                <w:b/>
                <w:bCs/>
                <w:color w:val="000000"/>
                <w:sz w:val="28"/>
                <w:szCs w:val="28"/>
                <w:lang w:val="en-US" w:eastAsia="zh-CN"/>
              </w:rPr>
              <w:t>1</w:t>
            </w:r>
            <w:r>
              <w:rPr>
                <w:rFonts w:hint="eastAsia" w:cs="宋体"/>
                <w:b/>
                <w:bCs/>
                <w:color w:val="000000"/>
                <w:sz w:val="28"/>
                <w:szCs w:val="28"/>
                <w:lang w:val="en-US" w:eastAsia="zh-CN"/>
              </w:rPr>
              <w:t>6</w:t>
            </w:r>
            <w:r>
              <w:rPr>
                <w:rFonts w:hint="eastAsia" w:ascii="Times New Roman" w:hAnsi="Times New Roman" w:cs="宋体"/>
                <w:b/>
                <w:bCs/>
                <w:color w:val="000000"/>
                <w:sz w:val="28"/>
                <w:szCs w:val="28"/>
                <w:lang w:val="en-US" w:eastAsia="zh-CN"/>
              </w:rPr>
              <w:t xml:space="preserve"> 公路交通提档升级重点工程</w:t>
            </w:r>
          </w:p>
        </w:tc>
      </w:tr>
      <w:tr w14:paraId="05D4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DE1E280">
            <w:pPr>
              <w:keepNext w:val="0"/>
              <w:keepLines w:val="0"/>
              <w:widowControl/>
              <w:suppressLineNumbers w:val="0"/>
              <w:ind w:firstLine="560" w:firstLineChars="200"/>
              <w:jc w:val="left"/>
              <w:rPr>
                <w:rFonts w:hint="default" w:ascii="Times New Roman" w:hAnsi="Times New Roman" w:cs="宋体"/>
                <w:b w:val="0"/>
                <w:bCs w:val="0"/>
                <w:color w:val="000000"/>
                <w:sz w:val="28"/>
                <w:szCs w:val="28"/>
                <w:lang w:val="en-US" w:eastAsia="zh-CN"/>
              </w:rPr>
            </w:pPr>
            <w:r>
              <w:rPr>
                <w:rFonts w:hint="default" w:ascii="Times New Roman" w:hAnsi="Times New Roman" w:cs="宋体"/>
                <w:b/>
                <w:bCs/>
                <w:color w:val="000000"/>
                <w:sz w:val="28"/>
                <w:szCs w:val="28"/>
                <w:lang w:val="en-US" w:eastAsia="zh-CN"/>
              </w:rPr>
              <w:t>增强国省干线公路承载能力：</w:t>
            </w:r>
            <w:r>
              <w:rPr>
                <w:rFonts w:hint="eastAsia" w:ascii="Times New Roman" w:hAnsi="Times New Roman" w:cs="宋体"/>
                <w:b w:val="0"/>
                <w:bCs w:val="0"/>
                <w:color w:val="000000"/>
                <w:sz w:val="28"/>
                <w:szCs w:val="28"/>
                <w:lang w:val="en-US" w:eastAsia="zh-CN"/>
              </w:rPr>
              <w:t>加快推进国道珲阿公路（G302）合隆至龙翔立交桥段，国道龙东线（G334）全线改造；新建省道（S302）王新公路，升级改造长春经济圈公路省道（S001）农安至巴吉垒至黄金段、省道（S610）农安西绕越线、省道（S303）山太公路。国省干线二级及以上公路占比达到60%。省道（S302）、 经济圈公路省道（S001）、省道（S303）同步下一个五年计划完成升级改造，国省干线二级及以上公路占比可达到100%。</w:t>
            </w:r>
          </w:p>
          <w:p w14:paraId="58336CA2">
            <w:pPr>
              <w:keepNext w:val="0"/>
              <w:keepLines w:val="0"/>
              <w:widowControl/>
              <w:suppressLineNumbers w:val="0"/>
              <w:ind w:firstLine="560" w:firstLineChars="200"/>
              <w:jc w:val="left"/>
              <w:rPr>
                <w:rFonts w:hint="default" w:ascii="Times New Roman" w:hAnsi="Times New Roman" w:cs="宋体"/>
                <w:b w:val="0"/>
                <w:bCs w:val="0"/>
                <w:color w:val="000000"/>
                <w:sz w:val="28"/>
                <w:szCs w:val="28"/>
                <w:lang w:val="en-US" w:eastAsia="zh-CN"/>
              </w:rPr>
            </w:pPr>
            <w:r>
              <w:rPr>
                <w:rFonts w:hint="default" w:ascii="Times New Roman" w:hAnsi="Times New Roman" w:cs="宋体"/>
                <w:b/>
                <w:bCs/>
                <w:color w:val="000000"/>
                <w:sz w:val="28"/>
                <w:szCs w:val="28"/>
                <w:lang w:val="en-US" w:eastAsia="zh-CN"/>
              </w:rPr>
              <w:t>优化农村公路服务水平：</w:t>
            </w:r>
            <w:r>
              <w:rPr>
                <w:rFonts w:hint="eastAsia" w:ascii="Times New Roman" w:hAnsi="Times New Roman" w:cs="宋体"/>
                <w:b w:val="0"/>
                <w:bCs w:val="0"/>
                <w:color w:val="000000"/>
                <w:sz w:val="28"/>
                <w:szCs w:val="28"/>
                <w:lang w:val="en-US" w:eastAsia="zh-CN"/>
              </w:rPr>
              <w:t>加快县道新建及升级改造任务。到2030 年，全县县级三级及以上公路占比达100%，县级二级及以上公路占比达到25%；持续改造农村公路及危险桥梁、新建跨伊通河大桥、跨松花江大桥，同步实施连接线道路升级改造；畅通旅游路、产业路、资源路；乡村“破损路”全面提质升级，农村公路通达、通畅水平显著提升，通畅率保持100%。</w:t>
            </w:r>
          </w:p>
        </w:tc>
      </w:tr>
    </w:tbl>
    <w:p w14:paraId="05B4B52C">
      <w:pPr>
        <w:pStyle w:val="6"/>
        <w:rPr>
          <w:rFonts w:hint="eastAsia" w:ascii="Times New Roman" w:hAnsi="Times New Roman" w:eastAsia="方正仿宋_GBK" w:cs="宋体"/>
          <w:b w:val="0"/>
          <w:bCs w:val="0"/>
          <w:kern w:val="2"/>
          <w:sz w:val="32"/>
          <w:szCs w:val="22"/>
          <w:highlight w:val="none"/>
          <w:lang w:val="en-US" w:eastAsia="zh-CN" w:bidi="ar-SA"/>
          <w14:ligatures w14:val="standardContextual"/>
        </w:rPr>
      </w:pPr>
      <w:r>
        <w:rPr>
          <w:rFonts w:hint="eastAsia" w:ascii="Times New Roman" w:hAnsi="Times New Roman" w:cs="宋体"/>
          <w:b/>
          <w:bCs/>
          <w:kern w:val="2"/>
          <w:sz w:val="32"/>
          <w:szCs w:val="22"/>
          <w:highlight w:val="none"/>
          <w:lang w:val="en-US" w:eastAsia="zh-CN" w:bidi="ar-SA"/>
          <w14:ligatures w14:val="standardContextual"/>
        </w:rPr>
        <w:t>强化水利基础设施保障。构建城乡一体的供水保障网。</w:t>
      </w:r>
      <w:r>
        <w:rPr>
          <w:rFonts w:hint="eastAsia" w:ascii="Times New Roman" w:hAnsi="Times New Roman" w:eastAsia="方正仿宋_GBK" w:cs="宋体"/>
          <w:b w:val="0"/>
          <w:bCs w:val="0"/>
          <w:kern w:val="2"/>
          <w:sz w:val="32"/>
          <w:szCs w:val="22"/>
          <w:highlight w:val="none"/>
          <w:lang w:val="en-US" w:eastAsia="zh-CN" w:bidi="ar-SA"/>
          <w14:ligatures w14:val="standardContextual"/>
        </w:rPr>
        <w:t>依托吉林中部城市引松供水农科支线、应急支线和吉林大“水网”长岭支线，利用农安第三净水厂、合隆镇净水厂，规划</w:t>
      </w:r>
      <w:r>
        <w:rPr>
          <w:rFonts w:hint="eastAsia" w:ascii="Times New Roman" w:hAnsi="Times New Roman" w:cs="宋体"/>
          <w:b w:val="0"/>
          <w:bCs w:val="0"/>
          <w:kern w:val="2"/>
          <w:sz w:val="32"/>
          <w:szCs w:val="22"/>
          <w:highlight w:val="none"/>
          <w:lang w:val="en-US" w:eastAsia="zh-CN" w:bidi="ar-SA"/>
          <w14:ligatures w14:val="standardContextual"/>
        </w:rPr>
        <w:t>建设</w:t>
      </w:r>
      <w:r>
        <w:rPr>
          <w:rFonts w:hint="eastAsia" w:ascii="Times New Roman" w:hAnsi="Times New Roman" w:eastAsia="方正仿宋_GBK" w:cs="宋体"/>
          <w:b w:val="0"/>
          <w:bCs w:val="0"/>
          <w:kern w:val="2"/>
          <w:sz w:val="32"/>
          <w:szCs w:val="22"/>
          <w:highlight w:val="none"/>
          <w:lang w:val="en-US" w:eastAsia="zh-CN" w:bidi="ar-SA"/>
          <w14:ligatures w14:val="standardContextual"/>
        </w:rPr>
        <w:t>华家净水厂、高家店净水厂和伏龙泉净水厂，</w:t>
      </w:r>
      <w:r>
        <w:rPr>
          <w:rFonts w:hint="eastAsia" w:ascii="Times New Roman" w:hAnsi="Times New Roman" w:cs="宋体"/>
          <w:b w:val="0"/>
          <w:bCs w:val="0"/>
          <w:kern w:val="2"/>
          <w:sz w:val="32"/>
          <w:szCs w:val="22"/>
          <w:highlight w:val="none"/>
          <w:lang w:val="en-US" w:eastAsia="zh-CN" w:bidi="ar-SA"/>
          <w14:ligatures w14:val="standardContextual"/>
        </w:rPr>
        <w:t>打造</w:t>
      </w:r>
      <w:r>
        <w:rPr>
          <w:rFonts w:hint="eastAsia" w:ascii="Times New Roman" w:hAnsi="Times New Roman" w:eastAsia="方正仿宋_GBK" w:cs="宋体"/>
          <w:b w:val="0"/>
          <w:bCs w:val="0"/>
          <w:kern w:val="2"/>
          <w:sz w:val="32"/>
          <w:szCs w:val="22"/>
          <w:highlight w:val="none"/>
          <w:lang w:val="en-US" w:eastAsia="zh-CN" w:bidi="ar-SA"/>
          <w14:ligatures w14:val="standardContextual"/>
        </w:rPr>
        <w:t>农安城乡供水一体化水资源配置网。</w:t>
      </w:r>
      <w:r>
        <w:rPr>
          <w:rFonts w:hint="eastAsia" w:ascii="Times New Roman" w:hAnsi="Times New Roman" w:cs="宋体"/>
          <w:b/>
          <w:bCs/>
          <w:kern w:val="2"/>
          <w:sz w:val="32"/>
          <w:szCs w:val="22"/>
          <w:highlight w:val="none"/>
          <w:lang w:val="en-US" w:eastAsia="zh-CN" w:bidi="ar-SA"/>
          <w14:ligatures w14:val="standardContextual"/>
        </w:rPr>
        <w:t>构建城乡</w:t>
      </w:r>
      <w:r>
        <w:rPr>
          <w:rFonts w:hint="eastAsia" w:ascii="Times New Roman" w:hAnsi="Times New Roman" w:eastAsia="方正仿宋_GBK" w:cs="宋体"/>
          <w:b/>
          <w:bCs/>
          <w:kern w:val="2"/>
          <w:sz w:val="32"/>
          <w:szCs w:val="22"/>
          <w:highlight w:val="none"/>
          <w:lang w:val="en-US" w:eastAsia="zh-CN" w:bidi="ar-SA"/>
          <w14:ligatures w14:val="standardContextual"/>
        </w:rPr>
        <w:t>防洪排涝保安网</w:t>
      </w:r>
      <w:r>
        <w:rPr>
          <w:rFonts w:hint="eastAsia" w:ascii="Times New Roman" w:hAnsi="Times New Roman" w:cs="宋体"/>
          <w:b/>
          <w:bCs/>
          <w:kern w:val="2"/>
          <w:sz w:val="32"/>
          <w:szCs w:val="22"/>
          <w:highlight w:val="none"/>
          <w:lang w:val="en-US" w:eastAsia="zh-CN" w:bidi="ar-SA"/>
          <w14:ligatures w14:val="standardContextual"/>
        </w:rPr>
        <w:t>。</w:t>
      </w:r>
      <w:r>
        <w:rPr>
          <w:rFonts w:hint="eastAsia" w:ascii="Times New Roman" w:hAnsi="Times New Roman" w:eastAsia="方正仿宋_GBK" w:cs="宋体"/>
          <w:b w:val="0"/>
          <w:bCs w:val="0"/>
          <w:kern w:val="2"/>
          <w:sz w:val="32"/>
          <w:szCs w:val="22"/>
          <w:highlight w:val="none"/>
          <w:lang w:val="en-US" w:eastAsia="zh-CN" w:bidi="ar-SA"/>
          <w14:ligatures w14:val="standardContextual"/>
        </w:rPr>
        <w:t>以大江大河、主要支流、中小河流系统治理为框架，以城市防洪安全为重点，进一步完善城乡防洪排涝基础设施网络，建设波罗湖水患治理工程，持续推进小型水库溢洪道、泄洪洞新建</w:t>
      </w:r>
      <w:r>
        <w:rPr>
          <w:rFonts w:hint="eastAsia" w:ascii="Times New Roman" w:hAnsi="Times New Roman" w:cs="宋体"/>
          <w:b w:val="0"/>
          <w:bCs w:val="0"/>
          <w:kern w:val="2"/>
          <w:sz w:val="32"/>
          <w:szCs w:val="22"/>
          <w:highlight w:val="none"/>
          <w:lang w:val="en-US" w:eastAsia="zh-CN" w:bidi="ar-SA"/>
          <w14:ligatures w14:val="standardContextual"/>
        </w:rPr>
        <w:t>工程</w:t>
      </w:r>
      <w:r>
        <w:rPr>
          <w:rFonts w:hint="eastAsia" w:ascii="Times New Roman" w:hAnsi="Times New Roman" w:eastAsia="方正仿宋_GBK" w:cs="宋体"/>
          <w:b w:val="0"/>
          <w:bCs w:val="0"/>
          <w:kern w:val="2"/>
          <w:sz w:val="32"/>
          <w:szCs w:val="22"/>
          <w:highlight w:val="none"/>
          <w:lang w:val="en-US" w:eastAsia="zh-CN" w:bidi="ar-SA"/>
          <w14:ligatures w14:val="standardContextual"/>
        </w:rPr>
        <w:t>，全面提升区域防洪排涝能力。新建波罗湖水患治理工程解决湖区周边生态和耕地淹没问题，治理开安、华家、鲍家、万金塔、顺海、洼中高、烧锅、波罗湖等八大涝区，有效缓解农田内涝问题</w:t>
      </w:r>
      <w:r>
        <w:rPr>
          <w:rFonts w:hint="eastAsia" w:cs="宋体"/>
          <w:b w:val="0"/>
          <w:bCs w:val="0"/>
          <w:kern w:val="2"/>
          <w:sz w:val="32"/>
          <w:szCs w:val="22"/>
          <w:highlight w:val="none"/>
          <w:lang w:val="en-US" w:eastAsia="zh-CN" w:bidi="ar-SA"/>
          <w14:ligatures w14:val="standardContextual"/>
        </w:rPr>
        <w:t>。</w:t>
      </w:r>
      <w:r>
        <w:rPr>
          <w:rFonts w:hint="eastAsia" w:ascii="Times New Roman" w:hAnsi="Times New Roman" w:eastAsia="方正仿宋_GBK" w:cs="宋体"/>
          <w:b/>
          <w:bCs/>
          <w:kern w:val="2"/>
          <w:sz w:val="32"/>
          <w:szCs w:val="22"/>
          <w:highlight w:val="none"/>
          <w:lang w:val="en-US" w:eastAsia="zh-CN" w:bidi="ar-SA"/>
          <w14:ligatures w14:val="standardContextual"/>
        </w:rPr>
        <w:t>构建水利</w:t>
      </w:r>
      <w:r>
        <w:rPr>
          <w:rFonts w:hint="eastAsia" w:ascii="Times New Roman" w:hAnsi="Times New Roman" w:cs="宋体"/>
          <w:b/>
          <w:bCs/>
          <w:kern w:val="2"/>
          <w:sz w:val="32"/>
          <w:szCs w:val="22"/>
          <w:highlight w:val="none"/>
          <w:lang w:val="en-US" w:eastAsia="zh-CN" w:bidi="ar-SA"/>
          <w14:ligatures w14:val="standardContextual"/>
        </w:rPr>
        <w:t>高效管理</w:t>
      </w:r>
      <w:r>
        <w:rPr>
          <w:rFonts w:hint="eastAsia" w:ascii="Times New Roman" w:hAnsi="Times New Roman" w:eastAsia="方正仿宋_GBK" w:cs="宋体"/>
          <w:b/>
          <w:bCs/>
          <w:kern w:val="2"/>
          <w:sz w:val="32"/>
          <w:szCs w:val="22"/>
          <w:highlight w:val="none"/>
          <w:lang w:val="en-US" w:eastAsia="zh-CN" w:bidi="ar-SA"/>
          <w14:ligatures w14:val="standardContextual"/>
        </w:rPr>
        <w:t>智慧网。</w:t>
      </w:r>
      <w:r>
        <w:rPr>
          <w:rFonts w:hint="eastAsia" w:ascii="Times New Roman" w:hAnsi="Times New Roman" w:eastAsia="方正仿宋_GBK" w:cs="宋体"/>
          <w:b w:val="0"/>
          <w:bCs w:val="0"/>
          <w:kern w:val="2"/>
          <w:sz w:val="32"/>
          <w:szCs w:val="22"/>
          <w:highlight w:val="none"/>
          <w:lang w:val="en-US" w:eastAsia="zh-CN" w:bidi="ar-SA"/>
          <w14:ligatures w14:val="standardContextual"/>
        </w:rPr>
        <w:t>围绕水旱灾害防御、河湖管理、水资源管理、水土保持、水利工程建设与管理等主要领域，利用5G、北斗、人工智能、云计算、大数据等先进技术和通信手段</w:t>
      </w:r>
      <w:r>
        <w:rPr>
          <w:rFonts w:hint="eastAsia" w:ascii="Times New Roman" w:hAnsi="Times New Roman" w:cs="宋体"/>
          <w:b w:val="0"/>
          <w:bCs w:val="0"/>
          <w:kern w:val="2"/>
          <w:sz w:val="32"/>
          <w:szCs w:val="22"/>
          <w:highlight w:val="none"/>
          <w:lang w:val="en-US" w:eastAsia="zh-CN" w:bidi="ar-SA"/>
          <w14:ligatures w14:val="standardContextual"/>
        </w:rPr>
        <w:t>，</w:t>
      </w:r>
      <w:r>
        <w:rPr>
          <w:rFonts w:hint="eastAsia" w:ascii="Times New Roman" w:hAnsi="Times New Roman" w:eastAsia="方正仿宋_GBK" w:cs="宋体"/>
          <w:b w:val="0"/>
          <w:bCs w:val="0"/>
          <w:kern w:val="2"/>
          <w:sz w:val="32"/>
          <w:szCs w:val="22"/>
          <w:highlight w:val="none"/>
          <w:lang w:val="en-US" w:eastAsia="zh-CN" w:bidi="ar-SA"/>
          <w14:ligatures w14:val="standardContextual"/>
        </w:rPr>
        <w:t>建设“智慧水利”管理综合应用平台，提升水利</w:t>
      </w:r>
      <w:r>
        <w:rPr>
          <w:rFonts w:hint="eastAsia" w:ascii="Times New Roman" w:hAnsi="Times New Roman" w:cs="宋体"/>
          <w:b w:val="0"/>
          <w:bCs w:val="0"/>
          <w:kern w:val="2"/>
          <w:sz w:val="32"/>
          <w:szCs w:val="22"/>
          <w:highlight w:val="none"/>
          <w:lang w:val="en-US" w:eastAsia="zh-CN" w:bidi="ar-SA"/>
          <w14:ligatures w14:val="standardContextual"/>
        </w:rPr>
        <w:t>管理</w:t>
      </w:r>
      <w:r>
        <w:rPr>
          <w:rFonts w:hint="eastAsia" w:ascii="Times New Roman" w:hAnsi="Times New Roman" w:eastAsia="方正仿宋_GBK" w:cs="宋体"/>
          <w:b w:val="0"/>
          <w:bCs w:val="0"/>
          <w:kern w:val="2"/>
          <w:sz w:val="32"/>
          <w:szCs w:val="22"/>
          <w:highlight w:val="none"/>
          <w:lang w:val="en-US" w:eastAsia="zh-CN" w:bidi="ar-SA"/>
          <w14:ligatures w14:val="standardContextual"/>
        </w:rPr>
        <w:t>信息化水平。</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619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F1F1F1"/>
          </w:tcPr>
          <w:p w14:paraId="3C2839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firstLine="0" w:firstLineChars="0"/>
              <w:jc w:val="center"/>
              <w:textAlignment w:val="auto"/>
              <w:rPr>
                <w:rFonts w:hint="default" w:ascii="Times New Roman" w:hAnsi="Times New Roman" w:cs="宋体"/>
                <w:color w:val="000000"/>
                <w:sz w:val="28"/>
                <w:szCs w:val="28"/>
                <w:lang w:val="en-US"/>
              </w:rPr>
            </w:pPr>
            <w:r>
              <w:rPr>
                <w:rFonts w:hint="eastAsia" w:ascii="Times New Roman" w:hAnsi="Times New Roman" w:cs="宋体"/>
                <w:b/>
                <w:bCs/>
                <w:color w:val="000000"/>
                <w:sz w:val="28"/>
                <w:szCs w:val="28"/>
              </w:rPr>
              <w:t>专栏</w:t>
            </w:r>
            <w:r>
              <w:rPr>
                <w:rFonts w:hint="eastAsia" w:ascii="Times New Roman" w:hAnsi="Times New Roman" w:cs="宋体"/>
                <w:b/>
                <w:bCs/>
                <w:color w:val="000000"/>
                <w:sz w:val="28"/>
                <w:szCs w:val="28"/>
                <w:lang w:val="en-US" w:eastAsia="zh-CN"/>
              </w:rPr>
              <w:t>1</w:t>
            </w:r>
            <w:r>
              <w:rPr>
                <w:rFonts w:hint="eastAsia" w:cs="宋体"/>
                <w:b/>
                <w:bCs/>
                <w:color w:val="000000"/>
                <w:sz w:val="28"/>
                <w:szCs w:val="28"/>
                <w:lang w:val="en-US" w:eastAsia="zh-CN"/>
              </w:rPr>
              <w:t>7</w:t>
            </w:r>
            <w:r>
              <w:rPr>
                <w:rFonts w:hint="eastAsia" w:ascii="Times New Roman" w:hAnsi="Times New Roman" w:cs="宋体"/>
                <w:b/>
                <w:bCs/>
                <w:color w:val="000000"/>
                <w:sz w:val="28"/>
                <w:szCs w:val="28"/>
                <w:lang w:val="en-US" w:eastAsia="zh-CN"/>
              </w:rPr>
              <w:t xml:space="preserve"> 水利基础设施保障重点工程</w:t>
            </w:r>
          </w:p>
        </w:tc>
      </w:tr>
      <w:tr w14:paraId="6573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3076F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eastAsia" w:ascii="Times New Roman" w:hAnsi="Times New Roman" w:cs="宋体"/>
                <w:b w:val="0"/>
                <w:bCs w:val="0"/>
                <w:color w:val="000000"/>
                <w:sz w:val="28"/>
                <w:szCs w:val="28"/>
                <w:lang w:val="en-US" w:eastAsia="zh-CN"/>
              </w:rPr>
            </w:pPr>
            <w:r>
              <w:rPr>
                <w:rFonts w:hint="eastAsia" w:ascii="Times New Roman" w:hAnsi="Times New Roman" w:cs="宋体"/>
                <w:b/>
                <w:bCs/>
                <w:color w:val="000000"/>
                <w:sz w:val="28"/>
                <w:szCs w:val="28"/>
                <w:lang w:val="en-US" w:eastAsia="zh-CN"/>
              </w:rPr>
              <w:t>城乡一体的供水保障网：</w:t>
            </w:r>
            <w:r>
              <w:rPr>
                <w:rFonts w:hint="eastAsia" w:ascii="Times New Roman" w:hAnsi="Times New Roman" w:cs="宋体"/>
                <w:b w:val="0"/>
                <w:bCs w:val="0"/>
                <w:color w:val="000000"/>
                <w:sz w:val="28"/>
                <w:szCs w:val="28"/>
                <w:lang w:val="en-US" w:eastAsia="zh-CN"/>
              </w:rPr>
              <w:t>到2030年，农村自来水普及率100%，城乡供水一体化率85%。</w:t>
            </w:r>
          </w:p>
          <w:p w14:paraId="721195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default" w:ascii="Times New Roman" w:hAnsi="Times New Roman" w:eastAsia="方正仿宋_GBK" w:cs="宋体"/>
                <w:b w:val="0"/>
                <w:bCs w:val="0"/>
                <w:color w:val="000000"/>
                <w:sz w:val="28"/>
                <w:szCs w:val="28"/>
                <w:lang w:val="en-US" w:eastAsia="zh-CN"/>
              </w:rPr>
            </w:pPr>
            <w:r>
              <w:rPr>
                <w:rFonts w:hint="eastAsia" w:ascii="Times New Roman" w:hAnsi="Times New Roman" w:cs="宋体"/>
                <w:b/>
                <w:bCs/>
                <w:color w:val="000000"/>
                <w:sz w:val="28"/>
                <w:szCs w:val="28"/>
                <w:lang w:val="en-US" w:eastAsia="zh-CN"/>
              </w:rPr>
              <w:t>城乡防洪排涝保安网：</w:t>
            </w:r>
            <w:r>
              <w:rPr>
                <w:rFonts w:hint="eastAsia" w:ascii="Times New Roman" w:hAnsi="Times New Roman" w:cs="宋体"/>
                <w:b w:val="0"/>
                <w:bCs w:val="0"/>
                <w:color w:val="000000"/>
                <w:sz w:val="28"/>
                <w:szCs w:val="28"/>
                <w:lang w:val="en-US" w:eastAsia="zh-CN"/>
              </w:rPr>
              <w:t>重要河湖防洪减灾体系进一步完善，全面提升松花江、伊通河、饮马河干流堤防防洪能力，农安南沟、新凯河、翁克河等中小河流治理河段全部达到规划的防洪标准。</w:t>
            </w:r>
          </w:p>
        </w:tc>
      </w:tr>
    </w:tbl>
    <w:p w14:paraId="041D392E">
      <w:pPr>
        <w:bidi w:val="0"/>
        <w:rPr>
          <w:rFonts w:hint="default" w:ascii="Times New Roman" w:hAnsi="Times New Roman"/>
          <w:b w:val="0"/>
          <w:bCs w:val="0"/>
          <w:color w:val="C00000"/>
          <w:lang w:val="en-US" w:eastAsia="zh-CN"/>
        </w:rPr>
      </w:pPr>
      <w:r>
        <w:rPr>
          <w:rFonts w:hint="eastAsia"/>
          <w:b/>
          <w:bCs/>
          <w:lang w:val="en-US" w:eastAsia="zh-CN"/>
        </w:rPr>
        <w:t>优化升级气象基础设施。实施高标准农田智慧气象保障工程。</w:t>
      </w:r>
      <w:r>
        <w:rPr>
          <w:rFonts w:hint="eastAsia"/>
          <w:b w:val="0"/>
          <w:bCs w:val="0"/>
          <w:lang w:val="en-US" w:eastAsia="zh-CN"/>
        </w:rPr>
        <w:t>在全县百万亩高标准农田核心区，建设农田小气候观测站和农业气象作物自动观测站，安装农田生态多要素传感器，购买无人机及图像处理系统，推进农业气象自动化、精准化、智能化观测。开发基于卫星遥感与地面观测相结合的干旱、低温冷害、作物病虫害发生发展气象条件等级监测预警模型，研发高标准农田气象信息服务展示系统，实现基于位置的高标准农田气象信息推送和个性化定制。</w:t>
      </w:r>
      <w:r>
        <w:rPr>
          <w:rFonts w:hint="eastAsia"/>
          <w:b/>
          <w:bCs/>
          <w:color w:val="000000"/>
          <w:lang w:val="en-US" w:eastAsia="zh-CN"/>
        </w:rPr>
        <w:t>实施黑土地保护气象服务建设工程。</w:t>
      </w:r>
      <w:r>
        <w:rPr>
          <w:rFonts w:hint="eastAsia"/>
          <w:b w:val="0"/>
          <w:bCs w:val="0"/>
          <w:color w:val="000000"/>
          <w:lang w:val="en-US" w:eastAsia="zh-CN"/>
        </w:rPr>
        <w:t>建设黑土地“耕层”气象监测系统，建设专门针对0-50厘米黑土耕层的温、湿、盐度监测点，评估不同气象条件下土壤质量变化；建设保护性耕作气象效应评估系统，研究秸秆覆盖、免耕播种等保护性耕作模式下的农田小气候效应，为推广该技术提供气象学依据。建设“天气—土壤—作物”一体化服务平台，面向农机合作社和种植大户，提供基于天气的适宜耕作、播种、收获期预报服务。</w:t>
      </w:r>
      <w:r>
        <w:rPr>
          <w:rFonts w:hint="eastAsia"/>
          <w:b/>
          <w:bCs/>
          <w:color w:val="000000"/>
          <w:lang w:val="en-US" w:eastAsia="zh-CN"/>
        </w:rPr>
        <w:t>完善低空经济气象服务体系。</w:t>
      </w:r>
      <w:r>
        <w:rPr>
          <w:rFonts w:hint="eastAsia"/>
          <w:b w:val="0"/>
          <w:bCs w:val="0"/>
          <w:color w:val="000000"/>
          <w:lang w:val="en-US" w:eastAsia="zh-CN"/>
        </w:rPr>
        <w:t>在规划的物流产业园、临空经济产业园等低空经济核心区域，以及主要农业飞行作业区，加密布设低空风、温、湍流等气象观测设备，构建低空气象监测网；研发并提供面向无人机物流、农业植保等场景的定制化气象服务产品，如航路天气实况、短临预警、飞行适宜度预报等。</w:t>
      </w:r>
    </w:p>
    <w:p w14:paraId="091EACE9">
      <w:pPr>
        <w:bidi w:val="0"/>
        <w:rPr>
          <w:rFonts w:hint="eastAsia" w:ascii="Times New Roman" w:hAnsi="Times New Roman" w:eastAsia="方正仿宋_GBK"/>
          <w:lang w:eastAsia="zh-CN"/>
        </w:rPr>
      </w:pPr>
      <w:r>
        <w:rPr>
          <w:rFonts w:hint="eastAsia" w:ascii="Times New Roman" w:hAnsi="Times New Roman"/>
          <w:b/>
          <w:bCs/>
          <w:lang w:val="en-US" w:eastAsia="zh-CN"/>
        </w:rPr>
        <w:t>加快新型基础设施建设。完善信息基础设施建设。</w:t>
      </w:r>
      <w:r>
        <w:rPr>
          <w:rFonts w:hint="eastAsia" w:ascii="Times New Roman" w:hAnsi="Times New Roman"/>
          <w:b w:val="0"/>
          <w:bCs w:val="0"/>
          <w:lang w:val="en-US" w:eastAsia="zh-CN"/>
        </w:rPr>
        <w:t>加快5G网络规模部署和商业应用，推进车站、社区、商场等重点区域5G基站和配套网络建设，实现全县5G基础设施全覆盖和重点区域深覆盖。加快“光纤到户”建设，持续推动有线网络向有需求、有条件的乡镇农村延伸，有序推进农村家庭宽带网络建设，扩大千兆平台覆盖范围。</w:t>
      </w:r>
      <w:r>
        <w:rPr>
          <w:rFonts w:hint="eastAsia" w:ascii="Times New Roman" w:hAnsi="Times New Roman"/>
          <w:b/>
          <w:bCs/>
          <w:lang w:val="en-US" w:eastAsia="zh-CN"/>
        </w:rPr>
        <w:t>加快算力基础设施布局。</w:t>
      </w:r>
      <w:r>
        <w:rPr>
          <w:rFonts w:hint="eastAsia" w:ascii="Times New Roman" w:hAnsi="Times New Roman"/>
          <w:b w:val="0"/>
          <w:bCs w:val="0"/>
          <w:lang w:val="en-US" w:eastAsia="zh-CN"/>
        </w:rPr>
        <w:t>发挥农安绿电园区优势，对接长春市“智算中心”，聚焦分布式推理需求，适度超前、科学布局智能算力资源，引进分算力中心或算力节点项目。</w:t>
      </w:r>
      <w:r>
        <w:rPr>
          <w:rFonts w:hint="eastAsia" w:ascii="Times New Roman" w:hAnsi="Times New Roman"/>
          <w:b/>
          <w:bCs/>
          <w:lang w:val="en-US" w:eastAsia="zh-CN"/>
        </w:rPr>
        <w:t>加快新型城市基础设施建设。</w:t>
      </w:r>
      <w:r>
        <w:rPr>
          <w:rFonts w:hint="eastAsia" w:ascii="Times New Roman" w:hAnsi="Times New Roman"/>
        </w:rPr>
        <w:t>加快推进基于信息化、数字化、智能化的新型城市基础设施建设和改造，加快推进城市信息模型</w:t>
      </w:r>
      <w:r>
        <w:rPr>
          <w:rFonts w:hint="eastAsia" w:ascii="Times New Roman" w:hAnsi="Times New Roman"/>
          <w:lang w:eastAsia="zh-CN"/>
        </w:rPr>
        <w:t>（</w:t>
      </w:r>
      <w:r>
        <w:rPr>
          <w:rFonts w:hint="eastAsia" w:ascii="Times New Roman" w:hAnsi="Times New Roman"/>
          <w:lang w:val="en-US" w:eastAsia="zh-CN"/>
        </w:rPr>
        <w:t>CIM</w:t>
      </w:r>
      <w:r>
        <w:rPr>
          <w:rFonts w:hint="eastAsia" w:ascii="Times New Roman" w:hAnsi="Times New Roman"/>
          <w:lang w:eastAsia="zh-CN"/>
        </w:rPr>
        <w:t>）</w:t>
      </w:r>
      <w:r>
        <w:rPr>
          <w:rFonts w:hint="eastAsia" w:ascii="Times New Roman" w:hAnsi="Times New Roman"/>
        </w:rPr>
        <w:t>平台建设，打造智慧城市的基础操作平台，实施智能化市政基础设施建设和改造，推进智慧社区建设，实现社区智能化管理。</w:t>
      </w:r>
      <w:r>
        <w:rPr>
          <w:rFonts w:hint="eastAsia" w:ascii="Times New Roman" w:hAnsi="Times New Roman"/>
          <w:b/>
          <w:bCs/>
          <w:lang w:val="en-US" w:eastAsia="zh-CN"/>
        </w:rPr>
        <w:t>加快</w:t>
      </w:r>
      <w:r>
        <w:rPr>
          <w:rFonts w:hint="eastAsia" w:ascii="Times New Roman" w:hAnsi="Times New Roman"/>
          <w:b/>
          <w:bCs/>
        </w:rPr>
        <w:t>电动汽车充电基础设施建设</w:t>
      </w:r>
      <w:r>
        <w:rPr>
          <w:rFonts w:hint="eastAsia" w:ascii="Times New Roman" w:hAnsi="Times New Roman"/>
          <w:b/>
          <w:bCs/>
          <w:lang w:eastAsia="zh-CN"/>
        </w:rPr>
        <w:t>。</w:t>
      </w:r>
      <w:r>
        <w:rPr>
          <w:rFonts w:hint="eastAsia" w:ascii="Times New Roman" w:hAnsi="Times New Roman"/>
        </w:rPr>
        <w:t>依托公交站场、停车场、高速公路服务区等场所，构建车桩相随、智能高效的充电基础设施体系</w:t>
      </w:r>
      <w:r>
        <w:rPr>
          <w:rFonts w:hint="eastAsia" w:ascii="Times New Roman" w:hAnsi="Times New Roman"/>
          <w:lang w:eastAsia="zh-CN"/>
        </w:rPr>
        <w:t>，</w:t>
      </w:r>
      <w:r>
        <w:rPr>
          <w:rFonts w:hint="eastAsia" w:ascii="Times New Roman" w:hAnsi="Times New Roman"/>
        </w:rPr>
        <w:t>建成全</w:t>
      </w:r>
      <w:r>
        <w:rPr>
          <w:rFonts w:hint="eastAsia" w:ascii="Times New Roman" w:hAnsi="Times New Roman"/>
          <w:lang w:val="en-US" w:eastAsia="zh-CN"/>
        </w:rPr>
        <w:t>县</w:t>
      </w:r>
      <w:r>
        <w:rPr>
          <w:rFonts w:hint="eastAsia" w:ascii="Times New Roman" w:hAnsi="Times New Roman"/>
        </w:rPr>
        <w:t>统一的充电设施运营管理平台</w:t>
      </w:r>
      <w:r>
        <w:rPr>
          <w:rFonts w:hint="eastAsia" w:ascii="Times New Roman" w:hAnsi="Times New Roman"/>
          <w:lang w:eastAsia="zh-CN"/>
        </w:rPr>
        <w:t>。</w:t>
      </w:r>
    </w:p>
    <w:p w14:paraId="559F68EB">
      <w:pPr>
        <w:pStyle w:val="5"/>
        <w:bidi w:val="0"/>
        <w:rPr>
          <w:rFonts w:hint="eastAsia" w:ascii="Times New Roman" w:hAnsi="Times New Roman"/>
        </w:rPr>
      </w:pPr>
      <w:bookmarkStart w:id="181" w:name="_Toc7093"/>
      <w:bookmarkStart w:id="182" w:name="_Toc30720"/>
      <w:bookmarkStart w:id="183" w:name="_Toc23243"/>
      <w:bookmarkStart w:id="184" w:name="_Toc2192"/>
      <w:r>
        <w:rPr>
          <w:rFonts w:hint="eastAsia" w:ascii="Times New Roman" w:hAnsi="Times New Roman"/>
        </w:rPr>
        <w:t>第十二章 创新社会治理模式</w:t>
      </w:r>
      <w:r>
        <w:rPr>
          <w:rFonts w:hint="eastAsia" w:ascii="Times New Roman" w:hAnsi="Times New Roman"/>
          <w:lang w:eastAsia="zh-CN"/>
        </w:rPr>
        <w:t>，</w:t>
      </w:r>
      <w:r>
        <w:rPr>
          <w:rFonts w:hint="eastAsia" w:ascii="Times New Roman" w:hAnsi="Times New Roman"/>
        </w:rPr>
        <w:t>筑牢安全发展屏障</w:t>
      </w:r>
      <w:bookmarkEnd w:id="181"/>
      <w:bookmarkEnd w:id="182"/>
      <w:bookmarkEnd w:id="183"/>
      <w:bookmarkEnd w:id="184"/>
    </w:p>
    <w:p w14:paraId="6FE3C4B6">
      <w:pPr>
        <w:pStyle w:val="7"/>
        <w:bidi w:val="0"/>
        <w:rPr>
          <w:rFonts w:hint="eastAsia" w:ascii="Times New Roman" w:hAnsi="Times New Roman"/>
          <w:b/>
          <w:lang w:val="en-US" w:eastAsia="zh-CN"/>
        </w:rPr>
      </w:pPr>
      <w:bookmarkStart w:id="185" w:name="_Toc27947"/>
      <w:bookmarkStart w:id="186" w:name="_Toc22751"/>
      <w:bookmarkStart w:id="187" w:name="_Toc1025"/>
      <w:r>
        <w:rPr>
          <w:rFonts w:hint="eastAsia" w:ascii="Times New Roman" w:hAnsi="Times New Roman"/>
          <w:b/>
          <w:lang w:val="en-US" w:eastAsia="zh-CN"/>
        </w:rPr>
        <w:t>第一节  完善社会治理体系</w:t>
      </w:r>
      <w:bookmarkEnd w:id="185"/>
      <w:bookmarkEnd w:id="186"/>
      <w:bookmarkEnd w:id="187"/>
    </w:p>
    <w:p w14:paraId="1E1C3D1B">
      <w:pPr>
        <w:rPr>
          <w:rFonts w:hint="eastAsia" w:ascii="Times New Roman" w:hAnsi="Times New Roman"/>
          <w:b w:val="0"/>
          <w:bCs w:val="0"/>
          <w:lang w:val="en-US" w:eastAsia="zh-CN"/>
        </w:rPr>
      </w:pPr>
      <w:r>
        <w:rPr>
          <w:rFonts w:hint="eastAsia" w:ascii="Times New Roman" w:hAnsi="Times New Roman"/>
          <w:b/>
          <w:bCs/>
          <w:lang w:val="en-US" w:eastAsia="zh-CN"/>
        </w:rPr>
        <w:t>优化社会治理结构。</w:t>
      </w:r>
      <w:r>
        <w:rPr>
          <w:rFonts w:hint="eastAsia" w:ascii="Times New Roman" w:hAnsi="Times New Roman"/>
          <w:b w:val="0"/>
          <w:bCs w:val="0"/>
          <w:lang w:val="en-US" w:eastAsia="zh-CN"/>
        </w:rPr>
        <w:t>以农安县“党建引领+”工程为核心，坚持党委会定期研究社会治理工作，构建多元主体协同共治格局。发挥基层党组织战斗堡垒作用，强化党委领导下政府、合作社、企业、社会组织及群众的联动协作。</w:t>
      </w:r>
    </w:p>
    <w:p w14:paraId="168F8F9D">
      <w:pPr>
        <w:rPr>
          <w:rFonts w:hint="eastAsia" w:ascii="Times New Roman" w:hAnsi="Times New Roman"/>
          <w:b/>
          <w:bCs/>
          <w:lang w:val="en-US" w:eastAsia="zh-CN"/>
        </w:rPr>
      </w:pPr>
      <w:r>
        <w:rPr>
          <w:rFonts w:hint="eastAsia" w:ascii="Times New Roman" w:hAnsi="Times New Roman"/>
          <w:b/>
          <w:bCs/>
          <w:lang w:val="en-US" w:eastAsia="zh-CN"/>
        </w:rPr>
        <w:t>创新基层治理新模式。</w:t>
      </w:r>
      <w:r>
        <w:rPr>
          <w:rFonts w:hint="eastAsia" w:ascii="Times New Roman" w:hAnsi="Times New Roman"/>
          <w:b w:val="0"/>
          <w:bCs w:val="0"/>
          <w:lang w:val="en-US" w:eastAsia="zh-CN"/>
        </w:rPr>
        <w:t>推进基层治理精细化，推动社会治理和服务资源向农安城乡社区下沉，完善“社区—网格—楼栋”三级治理体系。结合农安县农业大县特点，将秸秆禁烧、土地流转等工作纳入网格化管理，实现农村人居环境整治、惠民政策落实等服务精细化。培育社会德治教化榜样，以自治、法治、德治相结合，广泛开展道德模范宣传学习。培育发展社工队伍，提高志愿者在居民人口中的比例。推进乡村“法律明白人”选育培训建设，加强人民调解员队伍建设。</w:t>
      </w:r>
    </w:p>
    <w:p w14:paraId="6C3D1AD3">
      <w:pPr>
        <w:rPr>
          <w:rFonts w:hint="eastAsia" w:ascii="Times New Roman" w:hAnsi="Times New Roman"/>
          <w:lang w:val="en-US" w:eastAsia="zh-CN"/>
        </w:rPr>
      </w:pPr>
      <w:r>
        <w:rPr>
          <w:rFonts w:hint="eastAsia" w:ascii="Times New Roman" w:hAnsi="Times New Roman"/>
          <w:b/>
          <w:bCs/>
          <w:lang w:val="en-US" w:eastAsia="zh-CN"/>
        </w:rPr>
        <w:t>完善社会矛盾预防和化解机制。</w:t>
      </w:r>
      <w:r>
        <w:rPr>
          <w:rFonts w:hint="eastAsia" w:ascii="Times New Roman" w:hAnsi="Times New Roman"/>
          <w:lang w:val="en-US" w:eastAsia="zh-CN"/>
        </w:rPr>
        <w:t>完善社会矛盾纠纷多元预防调处化解综合机制，设立“三农”矛盾调解专区，针对土地承包、征地拆迁等涉农纠纷，整合司法、农业、信访等部门力量，建立“调解+仲裁+诉讼”衔接机制。</w:t>
      </w:r>
      <w:r>
        <w:rPr>
          <w:rFonts w:hint="eastAsia" w:ascii="Times New Roman" w:hAnsi="Times New Roman"/>
          <w:highlight w:val="none"/>
          <w:lang w:val="en-US" w:eastAsia="zh-CN"/>
        </w:rPr>
        <w:t>建立镇村层级的矛盾纠纷排查调处分析研判机制，定期对各辖区内矛盾纠纷排查化解工作进行系统性分析，针对复杂矛盾纠纷、重点信访事项、重大群体性事件做到信息共享，落实重大问题领导包抓制度，提升预防和化解矛盾纠纷的能力和水平。</w:t>
      </w:r>
    </w:p>
    <w:p w14:paraId="54A72E91">
      <w:pPr>
        <w:pStyle w:val="7"/>
        <w:bidi w:val="0"/>
        <w:rPr>
          <w:rFonts w:hint="eastAsia" w:ascii="Times New Roman" w:hAnsi="Times New Roman"/>
          <w:b/>
          <w:lang w:val="en-US" w:eastAsia="zh-CN"/>
        </w:rPr>
      </w:pPr>
      <w:bookmarkStart w:id="188" w:name="_Toc8917"/>
      <w:bookmarkStart w:id="189" w:name="_Toc9913"/>
      <w:bookmarkStart w:id="190" w:name="_Toc8079"/>
      <w:r>
        <w:rPr>
          <w:rFonts w:hint="eastAsia" w:ascii="Times New Roman" w:hAnsi="Times New Roman"/>
          <w:b/>
          <w:lang w:val="en-US" w:eastAsia="zh-CN"/>
        </w:rPr>
        <w:t>第二节  维护社会稳定安全</w:t>
      </w:r>
      <w:bookmarkEnd w:id="188"/>
      <w:bookmarkEnd w:id="189"/>
      <w:bookmarkEnd w:id="190"/>
    </w:p>
    <w:p w14:paraId="11401E0C">
      <w:pPr>
        <w:rPr>
          <w:rFonts w:hint="default" w:ascii="Times New Roman" w:hAnsi="Times New Roman"/>
          <w:b w:val="0"/>
          <w:bCs w:val="0"/>
          <w:highlight w:val="none"/>
          <w:lang w:val="en-US" w:eastAsia="zh-CN"/>
        </w:rPr>
      </w:pPr>
      <w:r>
        <w:rPr>
          <w:rFonts w:hint="eastAsia" w:ascii="Times New Roman" w:hAnsi="Times New Roman"/>
          <w:b/>
          <w:bCs/>
          <w:lang w:val="en-US" w:eastAsia="zh-CN"/>
        </w:rPr>
        <w:t>防范化解重大安全风险。</w:t>
      </w:r>
      <w:r>
        <w:rPr>
          <w:rFonts w:hint="eastAsia" w:ascii="Times New Roman" w:hAnsi="Times New Roman"/>
          <w:b/>
          <w:bCs/>
          <w:highlight w:val="none"/>
          <w:lang w:val="en-US" w:eastAsia="zh-CN"/>
        </w:rPr>
        <w:t>健全安全风险防控体系。</w:t>
      </w:r>
      <w:r>
        <w:rPr>
          <w:rFonts w:hint="eastAsia" w:ascii="Times New Roman" w:hAnsi="Times New Roman"/>
          <w:b w:val="0"/>
          <w:bCs w:val="0"/>
          <w:highlight w:val="none"/>
          <w:lang w:val="en-US" w:eastAsia="zh-CN"/>
        </w:rPr>
        <w:t>建立完善安全风险评估、监测、预警、管控机制，加强对重点行业、重点领域、重点部位的安全风险排查治理，实现安全风险全过程管控。</w:t>
      </w:r>
      <w:r>
        <w:rPr>
          <w:rFonts w:hint="eastAsia" w:ascii="Times New Roman" w:hAnsi="Times New Roman"/>
          <w:b/>
          <w:bCs/>
          <w:highlight w:val="none"/>
          <w:lang w:val="en-US" w:eastAsia="zh-CN"/>
        </w:rPr>
        <w:t>深化安全生产专项整治。</w:t>
      </w:r>
      <w:r>
        <w:rPr>
          <w:rFonts w:hint="eastAsia" w:ascii="Times New Roman" w:hAnsi="Times New Roman"/>
          <w:b w:val="0"/>
          <w:bCs w:val="0"/>
          <w:highlight w:val="none"/>
          <w:lang w:val="en-US" w:eastAsia="zh-CN"/>
        </w:rPr>
        <w:t>持续开展危险化学品、消防、交通运输、建筑施工、特种设备等重点行业领域安全生产专项整治行动，加大安全监管执法力度，严厉打击各类违法违规行为，有效防范和遏制重特大生产安全事故发生。</w:t>
      </w:r>
      <w:bookmarkStart w:id="191" w:name="OLE_LINK23"/>
      <w:r>
        <w:rPr>
          <w:rFonts w:hint="eastAsia" w:ascii="Times New Roman" w:hAnsi="Times New Roman"/>
          <w:b/>
          <w:bCs/>
          <w:highlight w:val="none"/>
          <w:lang w:val="en-US" w:eastAsia="zh-CN"/>
        </w:rPr>
        <w:t>筑牢“三农”</w:t>
      </w:r>
      <w:bookmarkEnd w:id="191"/>
      <w:r>
        <w:rPr>
          <w:rFonts w:hint="eastAsia" w:ascii="Times New Roman" w:hAnsi="Times New Roman"/>
          <w:b/>
          <w:bCs/>
          <w:highlight w:val="none"/>
          <w:lang w:val="en-US" w:eastAsia="zh-CN"/>
        </w:rPr>
        <w:t>安全防线。</w:t>
      </w:r>
      <w:r>
        <w:rPr>
          <w:rFonts w:hint="eastAsia" w:ascii="Times New Roman" w:hAnsi="Times New Roman"/>
          <w:b w:val="0"/>
          <w:bCs w:val="0"/>
          <w:highlight w:val="none"/>
          <w:lang w:val="en-US" w:eastAsia="zh-CN"/>
        </w:rPr>
        <w:t>聚焦粮食生产安全、畜牧业养殖风险、农村金融信贷等领域，建立风险预警监测平台，重点开展针对农产品价格波动、农资质量纠纷等问题的专项排查，提升风险预警和处置能力。</w:t>
      </w:r>
    </w:p>
    <w:p w14:paraId="52BD17BC">
      <w:pPr>
        <w:rPr>
          <w:rFonts w:hint="eastAsia" w:ascii="Times New Roman" w:hAnsi="Times New Roman"/>
          <w:b w:val="0"/>
          <w:bCs w:val="0"/>
          <w:highlight w:val="yellow"/>
          <w:lang w:val="en-US" w:eastAsia="zh-CN"/>
        </w:rPr>
      </w:pPr>
      <w:r>
        <w:rPr>
          <w:rFonts w:hint="eastAsia" w:ascii="Times New Roman" w:hAnsi="Times New Roman"/>
          <w:b/>
          <w:bCs/>
          <w:lang w:val="en-US" w:eastAsia="zh-CN"/>
        </w:rPr>
        <w:t>建设更高水平的平安农安。加强社会治安防控体系建设。</w:t>
      </w:r>
      <w:r>
        <w:rPr>
          <w:rFonts w:hint="eastAsia" w:ascii="Times New Roman" w:hAnsi="Times New Roman"/>
          <w:b w:val="0"/>
          <w:bCs w:val="0"/>
          <w:lang w:val="en-US" w:eastAsia="zh-CN"/>
        </w:rPr>
        <w:t>完善街面警务工作站布局建设，</w:t>
      </w:r>
      <w:r>
        <w:rPr>
          <w:rFonts w:hint="eastAsia" w:ascii="Times New Roman" w:hAnsi="Times New Roman"/>
          <w:lang w:val="en-US" w:eastAsia="zh-CN"/>
        </w:rPr>
        <w:t>在农安县城及重点乡镇安装智能监控设备，积极探索构建立体巡逻防控，织密“天网”“地网”，</w:t>
      </w:r>
      <w:r>
        <w:rPr>
          <w:rFonts w:hint="eastAsia" w:ascii="Times New Roman" w:hAnsi="Times New Roman"/>
          <w:b w:val="0"/>
          <w:bCs w:val="0"/>
          <w:highlight w:val="none"/>
          <w:lang w:val="en-US" w:eastAsia="zh-CN"/>
        </w:rPr>
        <w:t>严密防范、依法惩治违法犯罪活动，维护社会秩序</w:t>
      </w:r>
      <w:r>
        <w:rPr>
          <w:rFonts w:hint="eastAsia" w:ascii="Times New Roman" w:hAnsi="Times New Roman"/>
          <w:lang w:val="en-US" w:eastAsia="zh-CN"/>
        </w:rPr>
        <w:t>。</w:t>
      </w:r>
      <w:r>
        <w:rPr>
          <w:rFonts w:hint="eastAsia" w:ascii="Times New Roman" w:hAnsi="Times New Roman"/>
          <w:b/>
          <w:bCs/>
          <w:lang w:val="en-US" w:eastAsia="zh-CN"/>
        </w:rPr>
        <w:t>强力打击各类违法犯罪。</w:t>
      </w:r>
      <w:r>
        <w:rPr>
          <w:rFonts w:hint="eastAsia" w:ascii="Times New Roman" w:hAnsi="Times New Roman"/>
          <w:b w:val="0"/>
          <w:bCs w:val="0"/>
          <w:lang w:val="en-US" w:eastAsia="zh-CN"/>
        </w:rPr>
        <w:t>严厉打击、严密防范各类违法犯罪活动，坚决捍卫国家政治安全，常态化推进扫黑除恶，持续加强治安秩序整治，切实维护人民群众的财产和生命安全。坚持“小案必侦、小案必破、盗案多破、有赃即追”，提升刑事犯罪案件的侦破率，严惩违法犯罪分子，营造安全稳定和谐的社会治安环境。</w:t>
      </w:r>
    </w:p>
    <w:p w14:paraId="06A6C32E">
      <w:pPr>
        <w:pStyle w:val="7"/>
        <w:bidi w:val="0"/>
        <w:rPr>
          <w:rFonts w:hint="eastAsia" w:ascii="Times New Roman" w:hAnsi="Times New Roman"/>
          <w:b/>
          <w:lang w:val="en-US" w:eastAsia="zh-CN"/>
        </w:rPr>
      </w:pPr>
      <w:bookmarkStart w:id="192" w:name="_Toc16918"/>
      <w:bookmarkStart w:id="193" w:name="_Toc2612"/>
      <w:bookmarkStart w:id="194" w:name="_Toc32416"/>
      <w:r>
        <w:rPr>
          <w:rFonts w:hint="eastAsia" w:ascii="Times New Roman" w:hAnsi="Times New Roman"/>
          <w:b/>
          <w:lang w:val="en-US" w:eastAsia="zh-CN"/>
        </w:rPr>
        <w:t>第三节  加强法治社会建设</w:t>
      </w:r>
      <w:bookmarkEnd w:id="192"/>
      <w:bookmarkEnd w:id="193"/>
      <w:bookmarkEnd w:id="194"/>
    </w:p>
    <w:p w14:paraId="434DFFCF">
      <w:pPr>
        <w:rPr>
          <w:rFonts w:hint="eastAsia" w:ascii="Times New Roman" w:hAnsi="Times New Roman"/>
          <w:b w:val="0"/>
          <w:bCs w:val="0"/>
          <w:lang w:val="en-US" w:eastAsia="zh-CN"/>
        </w:rPr>
      </w:pPr>
      <w:r>
        <w:rPr>
          <w:rFonts w:hint="eastAsia" w:ascii="Times New Roman" w:hAnsi="Times New Roman"/>
          <w:b/>
          <w:bCs/>
          <w:lang w:val="en-US" w:eastAsia="zh-CN"/>
        </w:rPr>
        <w:t>坚持一体推进。</w:t>
      </w:r>
      <w:r>
        <w:rPr>
          <w:rFonts w:hint="eastAsia" w:ascii="Times New Roman" w:hAnsi="Times New Roman"/>
          <w:b w:val="0"/>
          <w:bCs w:val="0"/>
          <w:lang w:val="en-US" w:eastAsia="zh-CN"/>
        </w:rPr>
        <w:t>把《习近平法治思想学习纲要》作为党委（党组）理论学习中心组学习、干部培训、党员学习的重要内容。强化法治政府建设，进一步深化行政执法体制改革，全面落实行政规范性文件备案审查，健全规范涉企执法长效机制，深化行政执法监督体系建设，规范行政复议与应诉工作。用法治规范政府和市场的边界，优化公共法律服务体系，落实公证“减证便民”政策，强化法援保障，常态化开展“法治体检”。在法治轨道上依法化解各类矛盾纠纷，创新法治宣传形式，营造尊法学法守法用法的良好氛围。</w:t>
      </w:r>
    </w:p>
    <w:p w14:paraId="22AEF507">
      <w:pPr>
        <w:pStyle w:val="7"/>
        <w:bidi w:val="0"/>
        <w:rPr>
          <w:rFonts w:hint="eastAsia" w:ascii="Times New Roman" w:hAnsi="Times New Roman"/>
          <w:b/>
          <w:highlight w:val="none"/>
          <w:lang w:val="en-US" w:eastAsia="zh-CN"/>
        </w:rPr>
      </w:pPr>
      <w:bookmarkStart w:id="195" w:name="_Toc32506"/>
      <w:bookmarkStart w:id="196" w:name="_Toc9094"/>
      <w:bookmarkStart w:id="197" w:name="_Toc18636"/>
      <w:r>
        <w:rPr>
          <w:rFonts w:hint="eastAsia" w:ascii="Times New Roman" w:hAnsi="Times New Roman"/>
          <w:b/>
          <w:highlight w:val="none"/>
          <w:lang w:val="en-US" w:eastAsia="zh-CN"/>
        </w:rPr>
        <w:t>第四节  提升应急管理能力</w:t>
      </w:r>
      <w:bookmarkEnd w:id="195"/>
      <w:bookmarkEnd w:id="196"/>
      <w:bookmarkEnd w:id="197"/>
    </w:p>
    <w:p w14:paraId="2BEEA5B0">
      <w:pPr>
        <w:rPr>
          <w:rFonts w:hint="eastAsia" w:ascii="Times New Roman" w:hAnsi="Times New Roman"/>
          <w:b w:val="0"/>
          <w:bCs w:val="0"/>
          <w:lang w:val="en-US" w:eastAsia="zh-CN"/>
        </w:rPr>
      </w:pPr>
      <w:r>
        <w:rPr>
          <w:rFonts w:hint="eastAsia" w:ascii="Times New Roman" w:hAnsi="Times New Roman"/>
          <w:b/>
          <w:bCs/>
          <w:lang w:val="en-US" w:eastAsia="zh-CN"/>
        </w:rPr>
        <w:t>加快完善应急管理体制机制。</w:t>
      </w:r>
      <w:r>
        <w:rPr>
          <w:rFonts w:hint="eastAsia" w:ascii="Times New Roman" w:hAnsi="Times New Roman"/>
          <w:b w:val="0"/>
          <w:bCs w:val="0"/>
          <w:lang w:val="en-US" w:eastAsia="zh-CN"/>
        </w:rPr>
        <w:t>建立健全协调高效的应急管理组织协调机构，正确处理好“统”与“分”“防”和“救”的关系。着力在综合管理、统筹协调机制上下功夫，发挥减灾委员会对防灾减灾救灾工作的统筹指导和综合协调作用，优化监测预警机制，完善公共安全风险监测预警工作，完善社会治安防控体系等。加强基层应急管理机构建设，明确职责定位，充实人员力量，提高基层应急管理能力。</w:t>
      </w:r>
    </w:p>
    <w:p w14:paraId="3A86EC62">
      <w:pPr>
        <w:rPr>
          <w:rFonts w:hint="eastAsia" w:ascii="Times New Roman" w:hAnsi="Times New Roman"/>
          <w:b w:val="0"/>
          <w:bCs w:val="0"/>
          <w:lang w:val="en-US" w:eastAsia="zh-CN"/>
        </w:rPr>
      </w:pPr>
      <w:r>
        <w:rPr>
          <w:rFonts w:hint="eastAsia" w:ascii="Times New Roman" w:hAnsi="Times New Roman"/>
          <w:b/>
          <w:bCs/>
          <w:lang w:val="en-US" w:eastAsia="zh-CN"/>
        </w:rPr>
        <w:t>切实加强应急预案管理。</w:t>
      </w:r>
      <w:r>
        <w:rPr>
          <w:rFonts w:hint="eastAsia" w:ascii="Times New Roman" w:hAnsi="Times New Roman"/>
          <w:b w:val="0"/>
          <w:bCs w:val="0"/>
          <w:lang w:val="en-US" w:eastAsia="zh-CN"/>
        </w:rPr>
        <w:t>在新颁布的《农安县突发事件总体应急预案》等基础上，认真修订各级各部门突发事件应急预案，在风险评估和资源普查的基础上，借助情景构建等手段，持续动态优化应急预案，规范应急响应标准与流程，不断提高预案的针对性与操作性。在县应急管理局设立指挥中心，整合气象、水利、消防等部门资源，制定《农安县重大自然灾害应急预案》，提升重大突发公共事件处置保障能力。高度重视应急预案演练，针对应急预案演练频次不足，演练标准化、规范化水平较低，预案演练内容不完整，关键环节体现不充分，演练流于形式等问题，加大应急预案演练力度，真正发挥预案的应有作用。</w:t>
      </w:r>
    </w:p>
    <w:p w14:paraId="146E4DAD">
      <w:pPr>
        <w:rPr>
          <w:rFonts w:hint="eastAsia" w:ascii="Times New Roman" w:hAnsi="Times New Roman"/>
          <w:b w:val="0"/>
          <w:bCs w:val="0"/>
          <w:lang w:val="en-US" w:eastAsia="zh-CN"/>
        </w:rPr>
      </w:pPr>
      <w:r>
        <w:rPr>
          <w:rFonts w:hint="eastAsia" w:ascii="Times New Roman" w:hAnsi="Times New Roman"/>
          <w:b/>
          <w:bCs/>
          <w:lang w:val="en-US" w:eastAsia="zh-CN"/>
        </w:rPr>
        <w:t>提升</w:t>
      </w:r>
      <w:bookmarkStart w:id="198" w:name="OLE_LINK24"/>
      <w:r>
        <w:rPr>
          <w:rFonts w:hint="eastAsia" w:ascii="Times New Roman" w:hAnsi="Times New Roman"/>
          <w:b/>
          <w:bCs/>
          <w:lang w:val="en-US" w:eastAsia="zh-CN"/>
        </w:rPr>
        <w:t>防灾减灾救灾</w:t>
      </w:r>
      <w:bookmarkEnd w:id="198"/>
      <w:r>
        <w:rPr>
          <w:rFonts w:hint="eastAsia" w:ascii="Times New Roman" w:hAnsi="Times New Roman"/>
          <w:b/>
          <w:bCs/>
          <w:lang w:val="en-US" w:eastAsia="zh-CN"/>
        </w:rPr>
        <w:t>能力。</w:t>
      </w:r>
      <w:r>
        <w:rPr>
          <w:rFonts w:hint="default" w:ascii="Times New Roman" w:hAnsi="Times New Roman"/>
          <w:b/>
          <w:bCs/>
          <w:lang w:val="en-US" w:eastAsia="zh-CN"/>
        </w:rPr>
        <w:t>强化</w:t>
      </w:r>
      <w:r>
        <w:rPr>
          <w:rFonts w:hint="eastAsia" w:ascii="Times New Roman" w:hAnsi="Times New Roman"/>
          <w:b/>
          <w:bCs/>
          <w:lang w:val="en-US" w:eastAsia="zh-CN"/>
        </w:rPr>
        <w:t>自然灾害防治</w:t>
      </w:r>
      <w:r>
        <w:rPr>
          <w:rFonts w:hint="default" w:ascii="Times New Roman" w:hAnsi="Times New Roman"/>
          <w:b/>
          <w:bCs/>
          <w:lang w:val="en-US" w:eastAsia="zh-CN"/>
        </w:rPr>
        <w:t>责任体系</w:t>
      </w:r>
      <w:r>
        <w:rPr>
          <w:rFonts w:hint="eastAsia" w:ascii="Times New Roman" w:hAnsi="Times New Roman"/>
          <w:b/>
          <w:bCs/>
          <w:lang w:val="en-US" w:eastAsia="zh-CN"/>
        </w:rPr>
        <w:t>。</w:t>
      </w:r>
      <w:r>
        <w:rPr>
          <w:rFonts w:hint="eastAsia" w:ascii="Times New Roman" w:hAnsi="Times New Roman"/>
          <w:b w:val="0"/>
          <w:bCs w:val="0"/>
          <w:lang w:val="en-US" w:eastAsia="zh-CN"/>
        </w:rPr>
        <w:t>推动自然灾害防治责任细化，完善县、乡、村三级责任清单，将自然灾害防治纳入党政领导干部政绩考核。</w:t>
      </w:r>
      <w:r>
        <w:rPr>
          <w:rFonts w:hint="eastAsia" w:ascii="Times New Roman" w:hAnsi="Times New Roman"/>
          <w:b/>
          <w:bCs/>
          <w:lang w:val="en-US" w:eastAsia="zh-CN"/>
        </w:rPr>
        <w:t>完善自然灾害防治体系。</w:t>
      </w:r>
      <w:r>
        <w:rPr>
          <w:rFonts w:hint="eastAsia" w:ascii="Times New Roman" w:hAnsi="Times New Roman"/>
          <w:b w:val="0"/>
          <w:bCs w:val="0"/>
          <w:lang w:val="en-US" w:eastAsia="zh-CN"/>
        </w:rPr>
        <w:t>推动自然灾害综合风险普查成果应用，绘制风险“五色图”，建立灾害风险数据库，强化基层防汛防台体系标准化建设。</w:t>
      </w:r>
      <w:r>
        <w:rPr>
          <w:rFonts w:hint="eastAsia" w:ascii="Times New Roman" w:hAnsi="Times New Roman"/>
          <w:b/>
          <w:bCs/>
          <w:lang w:val="en-US" w:eastAsia="zh-CN"/>
        </w:rPr>
        <w:t>加强应急物资储备与救援能力。</w:t>
      </w:r>
      <w:r>
        <w:rPr>
          <w:rFonts w:hint="eastAsia" w:ascii="Times New Roman" w:hAnsi="Times New Roman"/>
          <w:b w:val="0"/>
          <w:bCs w:val="0"/>
          <w:lang w:val="en-US" w:eastAsia="zh-CN"/>
        </w:rPr>
        <w:t>构建政府、企业、第三方联动物资储备体系，规范物资调配流程，推进避灾安置场所规范化建设及应急物资仓库全覆盖；强化综合性救援队伍建设，整合专职消防队、社会救援力量，并推动跨区域应急救援互助机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007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F1F1F1"/>
          </w:tcPr>
          <w:p w14:paraId="47B85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firstLine="0" w:firstLineChars="0"/>
              <w:jc w:val="center"/>
              <w:textAlignment w:val="auto"/>
              <w:rPr>
                <w:rFonts w:hint="default" w:ascii="Times New Roman" w:hAnsi="Times New Roman" w:cs="宋体"/>
                <w:color w:val="000000"/>
                <w:sz w:val="28"/>
                <w:szCs w:val="28"/>
                <w:lang w:val="en-US"/>
              </w:rPr>
            </w:pPr>
            <w:r>
              <w:rPr>
                <w:rFonts w:hint="eastAsia" w:ascii="Times New Roman" w:hAnsi="Times New Roman" w:cs="宋体"/>
                <w:b/>
                <w:bCs/>
                <w:color w:val="000000"/>
                <w:sz w:val="28"/>
                <w:szCs w:val="28"/>
              </w:rPr>
              <w:t>专栏</w:t>
            </w:r>
            <w:r>
              <w:rPr>
                <w:rFonts w:hint="eastAsia" w:ascii="Times New Roman" w:hAnsi="Times New Roman" w:cs="宋体"/>
                <w:b/>
                <w:bCs/>
                <w:color w:val="000000"/>
                <w:sz w:val="28"/>
                <w:szCs w:val="28"/>
                <w:lang w:val="en-US" w:eastAsia="zh-CN"/>
              </w:rPr>
              <w:t>1</w:t>
            </w:r>
            <w:r>
              <w:rPr>
                <w:rFonts w:hint="eastAsia" w:cs="宋体"/>
                <w:b/>
                <w:bCs/>
                <w:color w:val="000000"/>
                <w:sz w:val="28"/>
                <w:szCs w:val="28"/>
                <w:lang w:val="en-US" w:eastAsia="zh-CN"/>
              </w:rPr>
              <w:t>8</w:t>
            </w:r>
            <w:r>
              <w:rPr>
                <w:rFonts w:hint="eastAsia" w:ascii="Times New Roman" w:hAnsi="Times New Roman" w:cs="宋体"/>
                <w:b/>
                <w:bCs/>
                <w:color w:val="000000"/>
                <w:sz w:val="28"/>
                <w:szCs w:val="28"/>
                <w:lang w:val="en-US" w:eastAsia="zh-CN"/>
              </w:rPr>
              <w:t xml:space="preserve"> 提升防灾减灾救灾能力重点工程</w:t>
            </w:r>
          </w:p>
        </w:tc>
      </w:tr>
      <w:tr w14:paraId="6784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CE386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default" w:ascii="Times New Roman" w:hAnsi="Times New Roman" w:eastAsia="方正仿宋_GBK" w:cs="宋体"/>
                <w:b w:val="0"/>
                <w:bCs w:val="0"/>
                <w:color w:val="000000"/>
                <w:sz w:val="28"/>
                <w:szCs w:val="28"/>
                <w:lang w:val="en-US" w:eastAsia="zh-CN"/>
              </w:rPr>
            </w:pPr>
            <w:r>
              <w:rPr>
                <w:rFonts w:hint="eastAsia" w:ascii="Times New Roman" w:hAnsi="Times New Roman" w:cs="宋体"/>
                <w:b/>
                <w:bCs/>
                <w:color w:val="000000"/>
                <w:sz w:val="28"/>
                <w:szCs w:val="28"/>
                <w:lang w:val="en-US" w:eastAsia="zh-CN"/>
              </w:rPr>
              <w:t>防灾减灾救灾能力建设：</w:t>
            </w:r>
            <w:r>
              <w:rPr>
                <w:rFonts w:hint="eastAsia" w:ascii="Times New Roman" w:hAnsi="Times New Roman" w:cs="宋体"/>
                <w:b w:val="0"/>
                <w:bCs w:val="0"/>
                <w:color w:val="000000"/>
                <w:sz w:val="28"/>
                <w:szCs w:val="28"/>
                <w:lang w:val="en-US" w:eastAsia="zh-CN"/>
              </w:rPr>
              <w:t>灾害发生10小时之内受灾群众基本生活得到有效救助，年均因灾直接经济损失占国内生产总值的比例控制在1%以内，年均每百万人口因灾死亡率控制在1以内，年均每十万人受灾人次在1.5以内。</w:t>
            </w:r>
          </w:p>
        </w:tc>
      </w:tr>
    </w:tbl>
    <w:p w14:paraId="0ABACCE8">
      <w:pPr>
        <w:pStyle w:val="5"/>
        <w:bidi w:val="0"/>
        <w:rPr>
          <w:rFonts w:hint="eastAsia" w:ascii="Times New Roman" w:hAnsi="Times New Roman"/>
          <w:lang w:val="en-US" w:eastAsia="zh-CN"/>
        </w:rPr>
      </w:pPr>
      <w:bookmarkStart w:id="199" w:name="_Toc2979"/>
      <w:bookmarkStart w:id="200" w:name="_Toc11801"/>
      <w:bookmarkStart w:id="201" w:name="_Toc16501"/>
      <w:bookmarkStart w:id="202" w:name="_Toc462"/>
      <w:r>
        <w:rPr>
          <w:rFonts w:hint="eastAsia" w:ascii="Times New Roman" w:hAnsi="Times New Roman"/>
          <w:lang w:val="en-US" w:eastAsia="zh-CN"/>
        </w:rPr>
        <w:t>第十三章 厚植绿色生态底色，提升生态治理效能</w:t>
      </w:r>
      <w:bookmarkEnd w:id="199"/>
      <w:bookmarkEnd w:id="200"/>
      <w:bookmarkEnd w:id="201"/>
      <w:bookmarkEnd w:id="202"/>
    </w:p>
    <w:p w14:paraId="70EE1D8B">
      <w:pPr>
        <w:rPr>
          <w:rFonts w:ascii="Times New Roman" w:hAnsi="Times New Roman" w:cs="Times New Roman"/>
          <w:szCs w:val="21"/>
        </w:rPr>
      </w:pPr>
      <w:r>
        <w:rPr>
          <w:rFonts w:ascii="Times New Roman" w:hAnsi="Times New Roman" w:cs="Times New Roman"/>
          <w:szCs w:val="21"/>
        </w:rPr>
        <w:t>深入践行习近平生态文明思想，落实吉林省生态强省战略部署，坚决打好污染防治攻坚战，大力推动绿色低碳循环发展，全面提升环境监管能力，为高质量发展提供坚实生态支撑。</w:t>
      </w:r>
    </w:p>
    <w:p w14:paraId="3025AA47">
      <w:pPr>
        <w:pStyle w:val="7"/>
        <w:bidi w:val="0"/>
        <w:rPr>
          <w:rFonts w:hint="eastAsia" w:ascii="Times New Roman" w:hAnsi="Times New Roman"/>
          <w:b/>
          <w:highlight w:val="none"/>
          <w:lang w:val="en-US" w:eastAsia="zh-CN"/>
        </w:rPr>
      </w:pPr>
      <w:bookmarkStart w:id="203" w:name="_Toc24218"/>
      <w:bookmarkStart w:id="204" w:name="_Toc6927"/>
      <w:bookmarkStart w:id="205" w:name="_Toc18021"/>
      <w:bookmarkStart w:id="206" w:name="_Toc8922"/>
      <w:r>
        <w:rPr>
          <w:rFonts w:hint="eastAsia" w:ascii="Times New Roman" w:hAnsi="Times New Roman"/>
          <w:b/>
          <w:highlight w:val="none"/>
          <w:lang w:val="en-US" w:eastAsia="zh-CN"/>
        </w:rPr>
        <w:t>第一节  打好污染防治攻坚战</w:t>
      </w:r>
      <w:bookmarkEnd w:id="203"/>
      <w:bookmarkEnd w:id="204"/>
      <w:bookmarkEnd w:id="205"/>
      <w:bookmarkEnd w:id="206"/>
    </w:p>
    <w:p w14:paraId="5C90BF83">
      <w:pPr>
        <w:ind w:firstLine="643"/>
        <w:rPr>
          <w:rFonts w:ascii="Times New Roman" w:hAnsi="Times New Roman" w:cs="Times New Roman"/>
          <w:b/>
          <w:bCs/>
          <w:szCs w:val="21"/>
        </w:rPr>
      </w:pPr>
      <w:r>
        <w:rPr>
          <w:rFonts w:ascii="Times New Roman" w:hAnsi="Times New Roman" w:cs="Times New Roman"/>
          <w:b/>
          <w:bCs/>
          <w:szCs w:val="21"/>
        </w:rPr>
        <w:t>大气污染防治。</w:t>
      </w:r>
      <w:r>
        <w:rPr>
          <w:rFonts w:hint="eastAsia" w:ascii="Times New Roman" w:hAnsi="Times New Roman" w:cs="Times New Roman"/>
          <w:szCs w:val="21"/>
        </w:rPr>
        <w:t>坚持精准施策与系统治理相结合，推进大气污染防治。</w:t>
      </w:r>
      <w:r>
        <w:rPr>
          <w:rFonts w:ascii="Times New Roman" w:hAnsi="Times New Roman" w:cs="Times New Roman"/>
          <w:b/>
          <w:bCs/>
          <w:szCs w:val="21"/>
        </w:rPr>
        <w:t>持续推进秸秆禁烧与综合利用</w:t>
      </w:r>
      <w:r>
        <w:rPr>
          <w:rFonts w:hint="eastAsia" w:ascii="Times New Roman" w:hAnsi="Times New Roman" w:cs="Times New Roman"/>
          <w:b/>
          <w:bCs/>
          <w:szCs w:val="21"/>
        </w:rPr>
        <w:t>。</w:t>
      </w:r>
      <w:r>
        <w:rPr>
          <w:rFonts w:ascii="Times New Roman" w:hAnsi="Times New Roman" w:cs="Times New Roman"/>
          <w:szCs w:val="21"/>
        </w:rPr>
        <w:t>通过压实网格监管责任、聚焦重点区域离田管控及加大政策科技投入，力争2030年综合利用率达95%以上。</w:t>
      </w:r>
      <w:r>
        <w:rPr>
          <w:rFonts w:ascii="Times New Roman" w:hAnsi="Times New Roman" w:cs="Times New Roman"/>
          <w:b/>
          <w:bCs/>
          <w:szCs w:val="21"/>
        </w:rPr>
        <w:t>深化挥发性有机物综合治理</w:t>
      </w:r>
      <w:r>
        <w:rPr>
          <w:rFonts w:hint="eastAsia" w:ascii="Times New Roman" w:hAnsi="Times New Roman" w:cs="Times New Roman"/>
          <w:b/>
          <w:bCs/>
          <w:szCs w:val="21"/>
        </w:rPr>
        <w:t>。</w:t>
      </w:r>
      <w:r>
        <w:rPr>
          <w:rFonts w:ascii="Times New Roman" w:hAnsi="Times New Roman" w:cs="Times New Roman"/>
          <w:szCs w:val="21"/>
        </w:rPr>
        <w:t>针对石化、表面涂装等重点行业全链条管控，完成油气回收治理和“一厂一策”应急方案编制。</w:t>
      </w:r>
      <w:r>
        <w:rPr>
          <w:rFonts w:hint="eastAsia" w:ascii="Times New Roman" w:hAnsi="Times New Roman" w:cs="Times New Roman"/>
          <w:b/>
          <w:bCs/>
          <w:szCs w:val="21"/>
        </w:rPr>
        <w:t>加速移动源低碳清洁转型。</w:t>
      </w:r>
      <w:r>
        <w:rPr>
          <w:rFonts w:ascii="Times New Roman" w:hAnsi="Times New Roman" w:cs="Times New Roman"/>
          <w:szCs w:val="21"/>
        </w:rPr>
        <w:t>扩大公交、环卫等公共服务领域新能源车应用，推进老旧车“油改气/电”改造。</w:t>
      </w:r>
      <w:r>
        <w:rPr>
          <w:rFonts w:ascii="Times New Roman" w:hAnsi="Times New Roman" w:cs="Times New Roman"/>
          <w:b/>
          <w:bCs/>
          <w:szCs w:val="21"/>
        </w:rPr>
        <w:t>全面抑制扬尘污染</w:t>
      </w:r>
      <w:r>
        <w:rPr>
          <w:rFonts w:hint="eastAsia" w:ascii="Times New Roman" w:hAnsi="Times New Roman" w:cs="Times New Roman"/>
          <w:b/>
          <w:bCs/>
          <w:szCs w:val="21"/>
        </w:rPr>
        <w:t>。</w:t>
      </w:r>
      <w:r>
        <w:rPr>
          <w:rFonts w:ascii="Times New Roman" w:hAnsi="Times New Roman" w:cs="Times New Roman"/>
          <w:szCs w:val="21"/>
        </w:rPr>
        <w:t>从严管控堆场、工地、道路及裸露地面。</w:t>
      </w:r>
      <w:r>
        <w:rPr>
          <w:rFonts w:ascii="Times New Roman" w:hAnsi="Times New Roman" w:cs="Times New Roman"/>
          <w:b/>
          <w:bCs/>
          <w:szCs w:val="21"/>
        </w:rPr>
        <w:t>实施燃气锅炉低氮改造</w:t>
      </w:r>
      <w:r>
        <w:rPr>
          <w:rFonts w:hint="eastAsia" w:ascii="Times New Roman" w:hAnsi="Times New Roman" w:cs="Times New Roman"/>
          <w:b/>
          <w:bCs/>
          <w:szCs w:val="21"/>
        </w:rPr>
        <w:t>。</w:t>
      </w:r>
      <w:r>
        <w:rPr>
          <w:rFonts w:hint="eastAsia" w:ascii="Times New Roman" w:hAnsi="Times New Roman" w:cs="Times New Roman"/>
          <w:szCs w:val="21"/>
        </w:rPr>
        <w:t>确保氮氧化物排放稳定低于50毫克/立方米，全面落实上级考核要求</w:t>
      </w:r>
      <w:r>
        <w:rPr>
          <w:rFonts w:ascii="Times New Roman" w:hAnsi="Times New Roman" w:cs="Times New Roman"/>
          <w:szCs w:val="21"/>
        </w:rPr>
        <w:t>。</w:t>
      </w:r>
    </w:p>
    <w:p w14:paraId="26B9044A">
      <w:pPr>
        <w:ind w:firstLine="643"/>
        <w:rPr>
          <w:rFonts w:ascii="Times New Roman" w:hAnsi="Times New Roman" w:cs="Times New Roman"/>
          <w:szCs w:val="21"/>
        </w:rPr>
      </w:pPr>
      <w:r>
        <w:rPr>
          <w:rFonts w:ascii="Times New Roman" w:hAnsi="Times New Roman" w:cs="Times New Roman"/>
          <w:b/>
          <w:bCs/>
          <w:szCs w:val="21"/>
        </w:rPr>
        <w:t>水污染防治。</w:t>
      </w:r>
      <w:r>
        <w:rPr>
          <w:rFonts w:ascii="Times New Roman" w:hAnsi="Times New Roman" w:cs="Times New Roman"/>
          <w:szCs w:val="21"/>
        </w:rPr>
        <w:t>以“一江两湿三河”为生态治理核心，系统推进全县河湖环境整治。</w:t>
      </w:r>
      <w:r>
        <w:rPr>
          <w:rFonts w:hint="eastAsia" w:ascii="Times New Roman" w:hAnsi="Times New Roman" w:cs="Times New Roman"/>
          <w:b/>
          <w:bCs/>
          <w:szCs w:val="21"/>
        </w:rPr>
        <w:t>健全工作机制，强化统筹治理。</w:t>
      </w:r>
      <w:r>
        <w:rPr>
          <w:rFonts w:ascii="Times New Roman" w:hAnsi="Times New Roman" w:cs="Times New Roman"/>
          <w:szCs w:val="21"/>
        </w:rPr>
        <w:t>坚持统筹规划、综合治理原则，强化责任落实，健全工作机制，扎实推进水污染防治各项工作。严格落实河湖长制，加强部门协同联动，形成齐抓共管工作格局。加大执法监管力度，严厉打击各类涉水违法行为，保持高压态势。</w:t>
      </w:r>
      <w:r>
        <w:rPr>
          <w:rFonts w:hint="eastAsia" w:ascii="Times New Roman" w:hAnsi="Times New Roman" w:cs="Times New Roman"/>
          <w:b/>
          <w:bCs/>
          <w:szCs w:val="21"/>
        </w:rPr>
        <w:t>推进系统治污，提升水质基础。</w:t>
      </w:r>
      <w:r>
        <w:rPr>
          <w:rFonts w:hint="eastAsia" w:ascii="Times New Roman" w:hAnsi="Times New Roman" w:cs="Times New Roman"/>
          <w:szCs w:val="21"/>
          <w:lang w:val="en-US" w:eastAsia="zh-CN"/>
        </w:rPr>
        <w:t>实施伊通河流域全域生态环境保护治理工程，</w:t>
      </w:r>
      <w:r>
        <w:rPr>
          <w:rFonts w:ascii="Times New Roman" w:hAnsi="Times New Roman" w:cs="Times New Roman"/>
          <w:szCs w:val="21"/>
        </w:rPr>
        <w:t>持续推进城乡污水治理，强化污水处理厂（站）运行监管，完善污水收集管网体系。加强农业面源污染防控，</w:t>
      </w:r>
      <w:r>
        <w:rPr>
          <w:rFonts w:hint="eastAsia" w:cs="Times New Roman"/>
          <w:szCs w:val="21"/>
          <w:lang w:val="en-US" w:eastAsia="zh-CN"/>
        </w:rPr>
        <w:t>推进烧锅镇、华家镇、哈拉海镇、龙王乡、三岗乡、万金塔乡等重点乡镇污水、垃圾收集处理设施建设，</w:t>
      </w:r>
      <w:r>
        <w:rPr>
          <w:rFonts w:ascii="Times New Roman" w:hAnsi="Times New Roman" w:cs="Times New Roman"/>
          <w:szCs w:val="21"/>
        </w:rPr>
        <w:t>推广绿色生产方式，规范畜禽养殖废弃物处置。</w:t>
      </w:r>
      <w:r>
        <w:rPr>
          <w:rStyle w:val="22"/>
          <w:rFonts w:ascii="Times New Roman" w:hAnsi="Times New Roman" w:cs="Segoe UI"/>
          <w:color w:val="0F1115"/>
          <w:shd w:val="clear" w:color="auto" w:fill="FFFFFF"/>
        </w:rPr>
        <w:t>强化水源保护，保障饮水安全</w:t>
      </w:r>
      <w:r>
        <w:rPr>
          <w:rStyle w:val="22"/>
          <w:rFonts w:hint="eastAsia" w:ascii="Times New Roman" w:hAnsi="Times New Roman" w:cs="Segoe UI"/>
          <w:color w:val="0F1115"/>
          <w:shd w:val="clear" w:color="auto" w:fill="FFFFFF"/>
        </w:rPr>
        <w:t>。</w:t>
      </w:r>
      <w:r>
        <w:rPr>
          <w:rFonts w:ascii="Times New Roman" w:hAnsi="Times New Roman" w:cs="Times New Roman"/>
          <w:szCs w:val="21"/>
        </w:rPr>
        <w:t>深化饮用水水源地保护，优化巡查管护机制，强化风险防范，切实保障饮</w:t>
      </w:r>
      <w:r>
        <w:rPr>
          <w:rFonts w:hint="eastAsia" w:cs="Times New Roman"/>
          <w:szCs w:val="21"/>
          <w:lang w:val="en-US" w:eastAsia="zh-CN"/>
        </w:rPr>
        <w:t>用</w:t>
      </w:r>
      <w:r>
        <w:rPr>
          <w:rFonts w:ascii="Times New Roman" w:hAnsi="Times New Roman" w:cs="Times New Roman"/>
          <w:szCs w:val="21"/>
        </w:rPr>
        <w:t>水安全。</w:t>
      </w:r>
    </w:p>
    <w:p w14:paraId="7A02161B">
      <w:pPr>
        <w:ind w:firstLine="643"/>
        <w:rPr>
          <w:rFonts w:ascii="Times New Roman" w:hAnsi="Times New Roman" w:cs="Times New Roman"/>
          <w:szCs w:val="21"/>
        </w:rPr>
      </w:pPr>
      <w:r>
        <w:rPr>
          <w:rFonts w:ascii="Times New Roman" w:hAnsi="Times New Roman" w:cs="Times New Roman"/>
          <w:b/>
          <w:bCs/>
          <w:szCs w:val="21"/>
        </w:rPr>
        <w:t>土壤污染源头防控。</w:t>
      </w:r>
      <w:r>
        <w:rPr>
          <w:rFonts w:ascii="Times New Roman" w:hAnsi="Times New Roman" w:cs="Times New Roman"/>
          <w:szCs w:val="21"/>
        </w:rPr>
        <w:t>聚焦国家考核任务，统筹推进土壤污染源头防控与农村环境治理。</w:t>
      </w:r>
      <w:r>
        <w:rPr>
          <w:rFonts w:hint="eastAsia" w:ascii="Times New Roman" w:hAnsi="Times New Roman" w:cs="Times New Roman"/>
          <w:b/>
          <w:bCs/>
          <w:szCs w:val="21"/>
        </w:rPr>
        <w:t>强化土壤污染源头监管。</w:t>
      </w:r>
      <w:r>
        <w:rPr>
          <w:rFonts w:ascii="Times New Roman" w:hAnsi="Times New Roman" w:cs="Times New Roman"/>
          <w:szCs w:val="21"/>
        </w:rPr>
        <w:t>通过加密土壤监测频次、强化日常巡查，严厉打击非法排污、违规倾倒等行为。指导县域土壤重点监管企业落实自行监测、隐患排查责任，实现土壤污染风险源头管控。</w:t>
      </w:r>
      <w:r>
        <w:rPr>
          <w:rFonts w:hint="eastAsia" w:ascii="Times New Roman" w:hAnsi="Times New Roman" w:cs="Times New Roman"/>
          <w:b/>
          <w:bCs/>
          <w:szCs w:val="21"/>
        </w:rPr>
        <w:t>系统推进农村环境综合治理。</w:t>
      </w:r>
      <w:r>
        <w:rPr>
          <w:rFonts w:ascii="Times New Roman" w:hAnsi="Times New Roman" w:cs="Times New Roman"/>
          <w:szCs w:val="21"/>
        </w:rPr>
        <w:t>依托政府EOD项目团队，加速推进农村生活污水治理，确保2028年前全面完成国家考核任务</w:t>
      </w:r>
      <w:r>
        <w:rPr>
          <w:rFonts w:hint="eastAsia" w:ascii="Times New Roman" w:hAnsi="Times New Roman" w:cs="Times New Roman"/>
          <w:szCs w:val="21"/>
        </w:rPr>
        <w:t>；</w:t>
      </w:r>
      <w:r>
        <w:rPr>
          <w:rFonts w:ascii="Times New Roman" w:hAnsi="Times New Roman" w:cs="Times New Roman"/>
          <w:szCs w:val="21"/>
        </w:rPr>
        <w:t>对农村黑臭水体严格管控，建立常态化排查与长效管护机制，坚决杜绝新增与反弹。</w:t>
      </w:r>
    </w:p>
    <w:p w14:paraId="59028486">
      <w:pPr>
        <w:ind w:firstLine="643"/>
        <w:rPr>
          <w:rFonts w:ascii="Times New Roman" w:hAnsi="Times New Roman" w:cs="Times New Roman"/>
          <w:szCs w:val="21"/>
        </w:rPr>
      </w:pPr>
      <w:r>
        <w:rPr>
          <w:rFonts w:ascii="Times New Roman" w:hAnsi="Times New Roman" w:cs="Times New Roman"/>
          <w:b/>
          <w:bCs/>
          <w:szCs w:val="21"/>
        </w:rPr>
        <w:t>强化粪污处理。</w:t>
      </w:r>
      <w:r>
        <w:rPr>
          <w:rFonts w:hint="eastAsia" w:ascii="Times New Roman" w:hAnsi="Times New Roman" w:cs="Times New Roman"/>
          <w:szCs w:val="21"/>
        </w:rPr>
        <w:t>坚持严格监管与资源化利用并重，全面推进畜禽养殖污染治理。</w:t>
      </w:r>
      <w:r>
        <w:rPr>
          <w:rFonts w:hint="eastAsia" w:ascii="Times New Roman" w:hAnsi="Times New Roman" w:cs="Times New Roman"/>
          <w:b/>
          <w:bCs/>
          <w:szCs w:val="21"/>
        </w:rPr>
        <w:t>落实污染防治责任。</w:t>
      </w:r>
      <w:r>
        <w:rPr>
          <w:rFonts w:ascii="Times New Roman" w:hAnsi="Times New Roman" w:cs="Times New Roman"/>
          <w:szCs w:val="21"/>
        </w:rPr>
        <w:t>严格执行畜禽养殖污染防治相关法律法规，加强对养殖场（户）的环境监管，督促养殖场（户）建设配套的粪污处理设施，采用先进的处理技术，实现粪污达标排放或资源化利用。</w:t>
      </w:r>
      <w:r>
        <w:rPr>
          <w:rFonts w:hint="eastAsia" w:ascii="Times New Roman" w:hAnsi="Times New Roman" w:cs="Times New Roman"/>
          <w:b/>
          <w:bCs/>
          <w:szCs w:val="21"/>
        </w:rPr>
        <w:t>引导粪肥就近利用。</w:t>
      </w:r>
      <w:r>
        <w:rPr>
          <w:rFonts w:ascii="Times New Roman" w:hAnsi="Times New Roman" w:cs="Times New Roman"/>
          <w:szCs w:val="21"/>
        </w:rPr>
        <w:t>遵循“以地定畜、种养结合”的原则，引导养殖场（户）与种植户建立紧密的合作关系，畅通粪肥就近还田渠道</w:t>
      </w:r>
      <w:r>
        <w:rPr>
          <w:rFonts w:hint="eastAsia" w:cs="Times New Roman"/>
          <w:szCs w:val="21"/>
          <w:lang w:eastAsia="zh-CN"/>
        </w:rPr>
        <w:t>；</w:t>
      </w:r>
      <w:r>
        <w:rPr>
          <w:rFonts w:hint="eastAsia" w:cs="Times New Roman"/>
          <w:szCs w:val="21"/>
          <w:lang w:val="en-US" w:eastAsia="zh-CN"/>
        </w:rPr>
        <w:t>推动</w:t>
      </w:r>
      <w:r>
        <w:rPr>
          <w:rFonts w:hint="eastAsia" w:ascii="Times New Roman" w:hAnsi="Times New Roman" w:cs="Times New Roman"/>
          <w:szCs w:val="21"/>
        </w:rPr>
        <w:t>农安县</w:t>
      </w:r>
      <w:r>
        <w:rPr>
          <w:rFonts w:hint="eastAsia" w:ascii="Times New Roman" w:hAnsi="Times New Roman" w:cs="Times New Roman"/>
          <w:szCs w:val="21"/>
          <w:lang w:val="en-US" w:eastAsia="zh-CN"/>
        </w:rPr>
        <w:t>畜禽粪污高值化利用项目落地，</w:t>
      </w:r>
      <w:r>
        <w:rPr>
          <w:rFonts w:ascii="Times New Roman" w:hAnsi="Times New Roman" w:cs="Times New Roman"/>
          <w:szCs w:val="21"/>
        </w:rPr>
        <w:t>提升资源化利用水平。到2030年，实现全县畜禽粪污资源化综合利用率稳定在85%以上。</w:t>
      </w:r>
    </w:p>
    <w:p w14:paraId="0637F40E">
      <w:pPr>
        <w:pStyle w:val="7"/>
        <w:bidi w:val="0"/>
        <w:rPr>
          <w:rFonts w:hint="eastAsia" w:ascii="Times New Roman" w:hAnsi="Times New Roman"/>
          <w:b/>
          <w:highlight w:val="none"/>
          <w:lang w:val="en-US" w:eastAsia="zh-CN"/>
        </w:rPr>
      </w:pPr>
      <w:bookmarkStart w:id="207" w:name="_Toc31708"/>
      <w:bookmarkStart w:id="208" w:name="_Toc8954"/>
      <w:bookmarkStart w:id="209" w:name="_Toc13943"/>
      <w:bookmarkStart w:id="210" w:name="_Toc25238"/>
      <w:r>
        <w:rPr>
          <w:rFonts w:hint="eastAsia" w:ascii="Times New Roman" w:hAnsi="Times New Roman"/>
          <w:b/>
          <w:highlight w:val="none"/>
          <w:lang w:val="en-US" w:eastAsia="zh-CN"/>
        </w:rPr>
        <w:t>第二节  大力开展国土绿化</w:t>
      </w:r>
      <w:bookmarkEnd w:id="207"/>
      <w:bookmarkEnd w:id="208"/>
      <w:bookmarkEnd w:id="209"/>
      <w:bookmarkEnd w:id="210"/>
    </w:p>
    <w:p w14:paraId="40D60025">
      <w:pPr>
        <w:widowControl/>
        <w:autoSpaceDE w:val="0"/>
        <w:ind w:firstLine="643"/>
        <w:rPr>
          <w:rFonts w:ascii="Times New Roman" w:hAnsi="Times New Roman" w:eastAsia="等线" w:cs="Times New Roman"/>
          <w:color w:val="000000"/>
          <w:szCs w:val="32"/>
          <w:shd w:val="clear" w:color="auto" w:fill="FFFFFF"/>
          <w14:ligatures w14:val="none"/>
        </w:rPr>
      </w:pPr>
      <w:r>
        <w:rPr>
          <w:rFonts w:ascii="Times New Roman" w:hAnsi="Times New Roman" w:cs="Times New Roman"/>
          <w:b/>
          <w:bCs/>
          <w:szCs w:val="21"/>
        </w:rPr>
        <w:t>人工造林与生态修复。</w:t>
      </w:r>
      <w:r>
        <w:rPr>
          <w:rFonts w:ascii="Times New Roman" w:hAnsi="Times New Roman" w:cs="Times New Roman"/>
          <w:szCs w:val="21"/>
        </w:rPr>
        <w:t>以精准提升森林质量、构建稳固生态屏障为核心，系统推进生态修复工程。</w:t>
      </w:r>
      <w:r>
        <w:rPr>
          <w:rFonts w:ascii="Times New Roman" w:hAnsi="Times New Roman" w:cs="Times New Roman"/>
          <w:b/>
          <w:bCs/>
          <w:szCs w:val="21"/>
        </w:rPr>
        <w:t>推进森林精准培育</w:t>
      </w:r>
      <w:r>
        <w:rPr>
          <w:rFonts w:hint="eastAsia" w:ascii="Times New Roman" w:hAnsi="Times New Roman" w:cs="Times New Roman"/>
          <w:b/>
          <w:bCs/>
          <w:szCs w:val="21"/>
        </w:rPr>
        <w:t>。</w:t>
      </w:r>
      <w:r>
        <w:rPr>
          <w:rFonts w:ascii="Times New Roman" w:hAnsi="Times New Roman" w:cs="Times New Roman"/>
          <w:szCs w:val="21"/>
        </w:rPr>
        <w:t>规划实施人工造林730公顷，通过补植乡土适生树种、清理枯死木、调整林分结构等措施，科学修复130公顷退化林，增强生态系统稳定性。</w:t>
      </w:r>
      <w:r>
        <w:rPr>
          <w:rFonts w:ascii="Times New Roman" w:hAnsi="Times New Roman" w:cs="Times New Roman"/>
          <w:b/>
          <w:bCs/>
          <w:szCs w:val="21"/>
        </w:rPr>
        <w:t>构建农田生态屏障</w:t>
      </w:r>
      <w:r>
        <w:rPr>
          <w:rFonts w:hint="eastAsia" w:ascii="Times New Roman" w:hAnsi="Times New Roman" w:cs="Times New Roman"/>
          <w:b/>
          <w:bCs/>
          <w:szCs w:val="21"/>
        </w:rPr>
        <w:t>。</w:t>
      </w:r>
      <w:r>
        <w:rPr>
          <w:rFonts w:ascii="Times New Roman" w:hAnsi="Times New Roman" w:cs="Times New Roman"/>
          <w:szCs w:val="21"/>
        </w:rPr>
        <w:t>更新改造500公顷防护林，优化林带布局，选用抗逆性强的树种，提升防护效能。</w:t>
      </w:r>
      <w:r>
        <w:rPr>
          <w:rFonts w:ascii="Times New Roman" w:hAnsi="Times New Roman" w:cs="Times New Roman"/>
          <w:b/>
          <w:bCs/>
          <w:szCs w:val="21"/>
        </w:rPr>
        <w:t>攻坚沙化土地治理</w:t>
      </w:r>
      <w:r>
        <w:rPr>
          <w:rFonts w:hint="eastAsia" w:ascii="Times New Roman" w:hAnsi="Times New Roman" w:cs="Times New Roman"/>
          <w:b/>
          <w:bCs/>
          <w:szCs w:val="21"/>
        </w:rPr>
        <w:t>。</w:t>
      </w:r>
      <w:r>
        <w:rPr>
          <w:rFonts w:ascii="Times New Roman" w:hAnsi="Times New Roman" w:cs="Times New Roman"/>
          <w:szCs w:val="21"/>
        </w:rPr>
        <w:t>采取“乔灌草结合、生物与工程措施并重”的治理模式，完成100公顷沙化土地治理，有效遏制沙化扩张趋势。</w:t>
      </w:r>
      <w:r>
        <w:rPr>
          <w:rFonts w:ascii="Times New Roman" w:hAnsi="Times New Roman" w:cs="Times New Roman"/>
          <w:b/>
          <w:bCs/>
          <w:szCs w:val="21"/>
        </w:rPr>
        <w:t>实施森林质量提升工程</w:t>
      </w:r>
      <w:r>
        <w:rPr>
          <w:rFonts w:hint="eastAsia" w:ascii="Times New Roman" w:hAnsi="Times New Roman" w:cs="Times New Roman"/>
          <w:b/>
          <w:bCs/>
          <w:szCs w:val="21"/>
        </w:rPr>
        <w:t>。</w:t>
      </w:r>
      <w:r>
        <w:rPr>
          <w:rFonts w:ascii="Times New Roman" w:hAnsi="Times New Roman" w:cs="Times New Roman"/>
          <w:szCs w:val="21"/>
        </w:rPr>
        <w:t>完成3000公顷铲趟除草，为森林健康生长提供保障。</w:t>
      </w:r>
    </w:p>
    <w:p w14:paraId="42821F75">
      <w:pPr>
        <w:ind w:firstLine="643"/>
        <w:rPr>
          <w:rFonts w:ascii="Times New Roman" w:hAnsi="Times New Roman" w:cs="Times New Roman"/>
          <w:szCs w:val="21"/>
        </w:rPr>
      </w:pPr>
      <w:r>
        <w:rPr>
          <w:rFonts w:ascii="Times New Roman" w:hAnsi="Times New Roman" w:cs="Times New Roman"/>
          <w:b/>
          <w:bCs/>
          <w:szCs w:val="21"/>
        </w:rPr>
        <w:t>生态资源保护与红线管控。</w:t>
      </w:r>
      <w:r>
        <w:rPr>
          <w:rFonts w:hint="eastAsia" w:ascii="Times New Roman" w:hAnsi="Times New Roman" w:cs="Times New Roman"/>
          <w:szCs w:val="21"/>
        </w:rPr>
        <w:t>坚持底线思维，系统推进生态空间的整体保护与持续改善。</w:t>
      </w:r>
      <w:r>
        <w:rPr>
          <w:rFonts w:ascii="Times New Roman" w:hAnsi="Times New Roman" w:cs="Times New Roman"/>
          <w:b/>
          <w:bCs/>
          <w:szCs w:val="21"/>
        </w:rPr>
        <w:t>严守生态空间底线</w:t>
      </w:r>
      <w:r>
        <w:rPr>
          <w:rFonts w:hint="eastAsia" w:ascii="Times New Roman" w:hAnsi="Times New Roman" w:cs="Times New Roman"/>
          <w:b/>
          <w:bCs/>
          <w:szCs w:val="21"/>
        </w:rPr>
        <w:t>。</w:t>
      </w:r>
      <w:r>
        <w:rPr>
          <w:rFonts w:ascii="Times New Roman" w:hAnsi="Times New Roman" w:cs="Times New Roman"/>
          <w:szCs w:val="21"/>
        </w:rPr>
        <w:t>严格管控生态红线，确保到2030年，森林面积不低于19933公顷，湿地面积不少于10312公顷，森林覆盖率达到5.5%。</w:t>
      </w:r>
      <w:r>
        <w:rPr>
          <w:rFonts w:ascii="Times New Roman" w:hAnsi="Times New Roman" w:cs="Times New Roman"/>
          <w:b/>
          <w:bCs/>
          <w:szCs w:val="21"/>
        </w:rPr>
        <w:t>建立健全生态红线动态监测与评估机制</w:t>
      </w:r>
      <w:r>
        <w:rPr>
          <w:rFonts w:hint="eastAsia" w:ascii="Times New Roman" w:hAnsi="Times New Roman" w:cs="Times New Roman"/>
          <w:b/>
          <w:bCs/>
          <w:szCs w:val="21"/>
        </w:rPr>
        <w:t>。</w:t>
      </w:r>
      <w:r>
        <w:rPr>
          <w:rFonts w:ascii="Times New Roman" w:hAnsi="Times New Roman" w:cs="Times New Roman"/>
          <w:szCs w:val="21"/>
        </w:rPr>
        <w:t>运用卫星遥感、地理信息系统（GIS）等技术手段，对破坏红线行为“零容忍”，实现刚性约束与精准监管。</w:t>
      </w:r>
      <w:r>
        <w:rPr>
          <w:rFonts w:hint="eastAsia" w:ascii="Times New Roman" w:hAnsi="Times New Roman" w:cs="Times New Roman"/>
          <w:b/>
          <w:bCs/>
          <w:szCs w:val="21"/>
        </w:rPr>
        <w:t>严格</w:t>
      </w:r>
      <w:r>
        <w:rPr>
          <w:rFonts w:ascii="Times New Roman" w:hAnsi="Times New Roman" w:cs="Times New Roman"/>
          <w:b/>
          <w:bCs/>
          <w:szCs w:val="21"/>
        </w:rPr>
        <w:t>灾害防控</w:t>
      </w:r>
      <w:r>
        <w:rPr>
          <w:rFonts w:hint="eastAsia" w:ascii="Times New Roman" w:hAnsi="Times New Roman" w:cs="Times New Roman"/>
          <w:b/>
          <w:bCs/>
          <w:szCs w:val="21"/>
        </w:rPr>
        <w:t>。</w:t>
      </w:r>
      <w:r>
        <w:rPr>
          <w:rFonts w:ascii="Times New Roman" w:hAnsi="Times New Roman" w:cs="Times New Roman"/>
          <w:szCs w:val="21"/>
        </w:rPr>
        <w:t>加强森林防火基础设施建设，完善防火隔离带、瞭望塔、防火通道等设施布局；组建专业与半专业森林消防队伍，定期开展防火演练与技能培训；强化防火宣传教育，</w:t>
      </w:r>
      <w:r>
        <w:rPr>
          <w:rFonts w:hint="eastAsia" w:cs="Times New Roman"/>
          <w:szCs w:val="21"/>
          <w:lang w:val="en-US" w:eastAsia="zh-CN"/>
        </w:rPr>
        <w:t>增强</w:t>
      </w:r>
      <w:r>
        <w:rPr>
          <w:rFonts w:ascii="Times New Roman" w:hAnsi="Times New Roman" w:cs="Times New Roman"/>
          <w:szCs w:val="21"/>
        </w:rPr>
        <w:t>全民防火意识，构建全社会共同参与的森林防火体系</w:t>
      </w:r>
      <w:r>
        <w:rPr>
          <w:rFonts w:hint="eastAsia" w:ascii="Times New Roman" w:hAnsi="Times New Roman" w:cs="Times New Roman"/>
          <w:szCs w:val="21"/>
        </w:rPr>
        <w:t>，</w:t>
      </w:r>
      <w:r>
        <w:rPr>
          <w:rFonts w:ascii="Times New Roman" w:hAnsi="Times New Roman" w:cs="Times New Roman"/>
          <w:szCs w:val="21"/>
        </w:rPr>
        <w:t>将森林火灾受害率严格控制在1‰以下。</w:t>
      </w:r>
    </w:p>
    <w:p w14:paraId="47596016">
      <w:pPr>
        <w:ind w:firstLine="643"/>
        <w:rPr>
          <w:rFonts w:ascii="Times New Roman" w:hAnsi="Times New Roman" w:cs="Times New Roman"/>
          <w:szCs w:val="21"/>
        </w:rPr>
      </w:pPr>
      <w:r>
        <w:rPr>
          <w:rFonts w:ascii="Times New Roman" w:hAnsi="Times New Roman" w:cs="Times New Roman"/>
          <w:b/>
          <w:bCs/>
          <w:szCs w:val="21"/>
        </w:rPr>
        <w:t>完善生态公共服务。</w:t>
      </w:r>
      <w:r>
        <w:rPr>
          <w:rFonts w:ascii="Times New Roman" w:hAnsi="Times New Roman" w:cs="Times New Roman"/>
          <w:szCs w:val="21"/>
        </w:rPr>
        <w:t>以提升城乡生态福祉为目标，推动生态公共服务共建共享。</w:t>
      </w:r>
      <w:r>
        <w:rPr>
          <w:rFonts w:ascii="Times New Roman" w:hAnsi="Times New Roman" w:cs="Times New Roman"/>
          <w:b/>
          <w:bCs/>
          <w:szCs w:val="21"/>
        </w:rPr>
        <w:t>推动全民植绿。</w:t>
      </w:r>
      <w:r>
        <w:rPr>
          <w:rFonts w:ascii="Times New Roman" w:hAnsi="Times New Roman" w:cs="Times New Roman"/>
          <w:szCs w:val="21"/>
        </w:rPr>
        <w:t>创新义务植树组织形式，设立多样化义务植树尽责形式，吸引社会各界广泛参与；加强义务植树基地建设，打造集生态、科普、休闲于一体的义务植树基地，增强公众植绿、爱绿、护绿意识</w:t>
      </w:r>
      <w:r>
        <w:rPr>
          <w:rFonts w:hint="eastAsia" w:ascii="Times New Roman" w:hAnsi="Times New Roman" w:cs="Times New Roman"/>
          <w:b/>
          <w:bCs/>
          <w:szCs w:val="21"/>
        </w:rPr>
        <w:t>，</w:t>
      </w:r>
      <w:r>
        <w:rPr>
          <w:rFonts w:ascii="Times New Roman" w:hAnsi="Times New Roman" w:cs="Times New Roman"/>
          <w:szCs w:val="21"/>
        </w:rPr>
        <w:t>完成义务植树500公顷。</w:t>
      </w:r>
      <w:r>
        <w:rPr>
          <w:rFonts w:ascii="Times New Roman" w:hAnsi="Times New Roman" w:cs="Times New Roman"/>
          <w:b/>
          <w:bCs/>
          <w:szCs w:val="21"/>
        </w:rPr>
        <w:t>建设绿色通道</w:t>
      </w:r>
      <w:r>
        <w:rPr>
          <w:rFonts w:hint="eastAsia" w:ascii="Times New Roman" w:hAnsi="Times New Roman" w:cs="Times New Roman"/>
          <w:b/>
          <w:bCs/>
          <w:szCs w:val="21"/>
        </w:rPr>
        <w:t>。</w:t>
      </w:r>
      <w:r>
        <w:rPr>
          <w:rFonts w:ascii="Times New Roman" w:hAnsi="Times New Roman" w:cs="Times New Roman"/>
          <w:szCs w:val="21"/>
        </w:rPr>
        <w:t>完善提升公路绿化100公里，面积150公顷，构建优美的线性生态空间。</w:t>
      </w:r>
      <w:r>
        <w:rPr>
          <w:rFonts w:ascii="Times New Roman" w:hAnsi="Times New Roman" w:cs="Times New Roman"/>
          <w:b/>
          <w:bCs/>
          <w:szCs w:val="21"/>
        </w:rPr>
        <w:t>提质城乡绿化</w:t>
      </w:r>
      <w:r>
        <w:rPr>
          <w:rFonts w:hint="eastAsia" w:ascii="Times New Roman" w:hAnsi="Times New Roman" w:cs="Times New Roman"/>
          <w:szCs w:val="21"/>
        </w:rPr>
        <w:t>。</w:t>
      </w:r>
      <w:r>
        <w:rPr>
          <w:rFonts w:ascii="Times New Roman" w:hAnsi="Times New Roman" w:cs="Times New Roman"/>
          <w:szCs w:val="21"/>
        </w:rPr>
        <w:t>通过增建公园绿地、街头游园、社区绿地，优化布局新增绿地10公顷，完善提高100公顷；利用“四旁”空间</w:t>
      </w:r>
      <w:r>
        <w:rPr>
          <w:rFonts w:hint="eastAsia" w:cs="Times New Roman"/>
          <w:szCs w:val="21"/>
          <w:lang w:val="en-US" w:eastAsia="zh-CN"/>
        </w:rPr>
        <w:t>巩固提升</w:t>
      </w:r>
      <w:r>
        <w:rPr>
          <w:rFonts w:ascii="Times New Roman" w:hAnsi="Times New Roman" w:cs="Times New Roman"/>
          <w:szCs w:val="21"/>
        </w:rPr>
        <w:t>绿化美化村屯150个，种植乡土与经济树种，打造各具特色的生态宜居村屯。</w:t>
      </w:r>
    </w:p>
    <w:p w14:paraId="111DE24B">
      <w:pPr>
        <w:pStyle w:val="7"/>
        <w:bidi w:val="0"/>
        <w:rPr>
          <w:rFonts w:hint="eastAsia" w:ascii="Times New Roman" w:hAnsi="Times New Roman"/>
          <w:b/>
          <w:highlight w:val="none"/>
          <w:lang w:val="en-US" w:eastAsia="zh-CN"/>
        </w:rPr>
      </w:pPr>
      <w:bookmarkStart w:id="211" w:name="_Toc21046"/>
      <w:bookmarkStart w:id="212" w:name="_Toc28424"/>
      <w:bookmarkStart w:id="213" w:name="_Toc26036"/>
      <w:bookmarkStart w:id="214" w:name="_Toc16517"/>
      <w:r>
        <w:rPr>
          <w:rFonts w:hint="eastAsia" w:ascii="Times New Roman" w:hAnsi="Times New Roman"/>
          <w:b/>
          <w:highlight w:val="none"/>
          <w:lang w:val="en-US" w:eastAsia="zh-CN"/>
        </w:rPr>
        <w:t>第三节  促进生态价值转化</w:t>
      </w:r>
      <w:bookmarkEnd w:id="211"/>
      <w:bookmarkEnd w:id="212"/>
      <w:bookmarkEnd w:id="213"/>
      <w:bookmarkEnd w:id="214"/>
    </w:p>
    <w:p w14:paraId="5474ECF3">
      <w:pPr>
        <w:pStyle w:val="6"/>
        <w:ind w:firstLine="643"/>
        <w:rPr>
          <w:rFonts w:ascii="Times New Roman" w:hAnsi="Times New Roman"/>
          <w:color w:val="0F1115"/>
          <w:shd w:val="clear" w:color="auto" w:fill="FFFFFF"/>
        </w:rPr>
      </w:pPr>
      <w:r>
        <w:rPr>
          <w:rFonts w:ascii="Times New Roman" w:hAnsi="Times New Roman"/>
          <w:b/>
          <w:bCs/>
          <w:color w:val="0F1115"/>
          <w:shd w:val="clear" w:color="auto" w:fill="FFFFFF"/>
        </w:rPr>
        <w:t>加强生态产品供给。</w:t>
      </w:r>
      <w:r>
        <w:rPr>
          <w:rFonts w:ascii="Times New Roman" w:hAnsi="Times New Roman"/>
          <w:color w:val="0F1115"/>
          <w:shd w:val="clear" w:color="auto" w:fill="FFFFFF"/>
        </w:rPr>
        <w:t>立足我县农畜资源与自然生态本底，实现生态产品供给新突破。</w:t>
      </w:r>
      <w:r>
        <w:rPr>
          <w:rFonts w:ascii="Times New Roman" w:hAnsi="Times New Roman"/>
          <w:b/>
          <w:bCs/>
          <w:color w:val="0F1115"/>
          <w:shd w:val="clear" w:color="auto" w:fill="FFFFFF"/>
        </w:rPr>
        <w:t>强化生态产品品牌引领</w:t>
      </w:r>
      <w:r>
        <w:rPr>
          <w:rFonts w:hint="eastAsia" w:ascii="Times New Roman" w:hAnsi="Times New Roman"/>
          <w:b/>
          <w:bCs/>
          <w:color w:val="0F1115"/>
          <w:shd w:val="clear" w:color="auto" w:fill="FFFFFF"/>
        </w:rPr>
        <w:t>。</w:t>
      </w:r>
      <w:r>
        <w:rPr>
          <w:rFonts w:ascii="Times New Roman" w:hAnsi="Times New Roman"/>
          <w:color w:val="0F1115"/>
          <w:shd w:val="clear" w:color="auto" w:fill="FFFFFF"/>
        </w:rPr>
        <w:t>完善绿色农副产品标准体系与认证标识，打造“农字号”高端、绿色、有机产品系列，拓宽输出通道，推动本土产品走向全国乃至国际市场。</w:t>
      </w:r>
      <w:r>
        <w:rPr>
          <w:rFonts w:ascii="Times New Roman" w:hAnsi="Times New Roman"/>
          <w:b/>
          <w:bCs/>
          <w:color w:val="0F1115"/>
          <w:shd w:val="clear" w:color="auto" w:fill="FFFFFF"/>
        </w:rPr>
        <w:t>推动林下经济规模化与标准化发展</w:t>
      </w:r>
      <w:r>
        <w:rPr>
          <w:rFonts w:hint="eastAsia" w:ascii="Times New Roman" w:hAnsi="Times New Roman"/>
          <w:b/>
          <w:bCs/>
          <w:color w:val="0F1115"/>
          <w:shd w:val="clear" w:color="auto" w:fill="FFFFFF"/>
        </w:rPr>
        <w:t>。</w:t>
      </w:r>
      <w:r>
        <w:rPr>
          <w:rFonts w:ascii="Times New Roman" w:hAnsi="Times New Roman"/>
          <w:color w:val="0F1115"/>
          <w:shd w:val="clear" w:color="auto" w:fill="FFFFFF"/>
        </w:rPr>
        <w:t>巩固提升红松果林、文冠果、大果榛子等特色林果基地191公顷，强化技术推广与品牌培育，提升产品附加值；重点发展林下中药材，规模化种植防风、白鲜皮70公顷，实现林地资源高效利用。</w:t>
      </w:r>
    </w:p>
    <w:p w14:paraId="1744FA7E">
      <w:r>
        <w:rPr>
          <w:rFonts w:hint="eastAsia"/>
          <w:b/>
          <w:bCs/>
          <w:lang w:val="en-US" w:eastAsia="zh-CN"/>
        </w:rPr>
        <w:t>积极稳妥推进和实现碳达峰。</w:t>
      </w:r>
      <w:r>
        <w:rPr>
          <w:rFonts w:hint="default"/>
          <w:b/>
          <w:bCs/>
          <w:lang w:val="en-US" w:eastAsia="zh-CN"/>
        </w:rPr>
        <w:t>加快建设新型能源体系。</w:t>
      </w:r>
      <w:r>
        <w:rPr>
          <w:rFonts w:hint="default"/>
          <w:lang w:val="en-US" w:eastAsia="zh-CN"/>
        </w:rPr>
        <w:t>严控煤炭消费，对新增耗煤项目实施减量替代，支持存量煤电企业探索氢氨掺烧、生物质掺烧等改造。</w:t>
      </w:r>
      <w:r>
        <w:rPr>
          <w:rFonts w:hint="eastAsia"/>
          <w:lang w:val="en-US" w:eastAsia="zh-CN"/>
        </w:rPr>
        <w:t>加快</w:t>
      </w:r>
      <w:r>
        <w:rPr>
          <w:rFonts w:hint="default"/>
          <w:lang w:val="en-US" w:eastAsia="zh-CN"/>
        </w:rPr>
        <w:t>风电、光伏、氢能等</w:t>
      </w:r>
      <w:r>
        <w:rPr>
          <w:rFonts w:hint="eastAsia"/>
          <w:lang w:val="en-US" w:eastAsia="zh-CN"/>
        </w:rPr>
        <w:t>新能源</w:t>
      </w:r>
      <w:r>
        <w:rPr>
          <w:rFonts w:hint="default"/>
          <w:lang w:val="en-US" w:eastAsia="zh-CN"/>
        </w:rPr>
        <w:t>开发利用，以“绿电+消纳”模式政策引导配套新能源项目规划建设，不断提高新能源发电装机占比。</w:t>
      </w:r>
      <w:r>
        <w:rPr>
          <w:rFonts w:hint="default"/>
          <w:b/>
          <w:bCs/>
          <w:lang w:val="en-US" w:eastAsia="zh-CN"/>
        </w:rPr>
        <w:t>大力推进生产方式绿色低碳转型</w:t>
      </w:r>
      <w:r>
        <w:rPr>
          <w:rFonts w:hint="eastAsia"/>
          <w:b/>
          <w:bCs/>
          <w:lang w:val="en-US" w:eastAsia="zh-CN"/>
        </w:rPr>
        <w:t>。</w:t>
      </w:r>
      <w:r>
        <w:rPr>
          <w:rFonts w:hint="eastAsia"/>
          <w:lang w:val="en-US" w:eastAsia="zh-CN"/>
        </w:rPr>
        <w:t>推动制造业绿色转型升级，支持重点企业加快氢燃料汽车研发和应用，推进汽车、农产品加工等产业绿色生产和低碳改造；提升企业绿色化水平，创建省级以上绿色工厂、绿色园区、绿色供应链，打造低碳、零碳产业园。</w:t>
      </w:r>
    </w:p>
    <w:p w14:paraId="7E7E5C16">
      <w:pPr>
        <w:ind w:firstLine="643"/>
        <w:rPr>
          <w:rFonts w:ascii="Times New Roman" w:hAnsi="Times New Roman" w:cs="Times New Roman"/>
          <w:color w:val="0F1115"/>
          <w:szCs w:val="21"/>
          <w:shd w:val="clear" w:color="auto" w:fill="FFFFFF"/>
        </w:rPr>
      </w:pPr>
      <w:r>
        <w:rPr>
          <w:rFonts w:ascii="Times New Roman" w:hAnsi="Times New Roman" w:cs="Times New Roman"/>
          <w:b/>
          <w:bCs/>
          <w:szCs w:val="21"/>
        </w:rPr>
        <w:t>创新生态价值转化机制。</w:t>
      </w:r>
      <w:r>
        <w:rPr>
          <w:rFonts w:ascii="Times New Roman" w:hAnsi="Times New Roman" w:cs="Times New Roman"/>
          <w:color w:val="0F1115"/>
          <w:szCs w:val="21"/>
          <w:shd w:val="clear" w:color="auto" w:fill="FFFFFF"/>
        </w:rPr>
        <w:t>以多维度生态价值转化机制创新实现“绿水青山”向“金山银山”的转化。</w:t>
      </w:r>
      <w:r>
        <w:rPr>
          <w:rFonts w:hint="eastAsia" w:ascii="Times New Roman" w:hAnsi="Times New Roman" w:cs="Times New Roman"/>
          <w:b/>
          <w:bCs/>
          <w:color w:val="0F1115"/>
          <w:szCs w:val="21"/>
          <w:shd w:val="clear" w:color="auto" w:fill="FFFFFF"/>
        </w:rPr>
        <w:t>创新价值转化模式。</w:t>
      </w:r>
      <w:r>
        <w:rPr>
          <w:rFonts w:ascii="Times New Roman" w:hAnsi="Times New Roman" w:cs="Times New Roman"/>
          <w:color w:val="0F1115"/>
          <w:szCs w:val="21"/>
          <w:shd w:val="clear" w:color="auto" w:fill="FFFFFF"/>
        </w:rPr>
        <w:t>推动“建设有回报、管护有来源”的可持续发展模式</w:t>
      </w:r>
      <w:r>
        <w:rPr>
          <w:rFonts w:hint="eastAsia" w:ascii="Times New Roman" w:hAnsi="Times New Roman" w:cs="Times New Roman"/>
          <w:color w:val="0F1115"/>
          <w:szCs w:val="21"/>
          <w:shd w:val="clear" w:color="auto" w:fill="FFFFFF"/>
        </w:rPr>
        <w:t>，</w:t>
      </w:r>
      <w:r>
        <w:rPr>
          <w:rFonts w:ascii="Times New Roman" w:hAnsi="Times New Roman" w:cs="Times New Roman"/>
          <w:color w:val="0F1115"/>
          <w:szCs w:val="21"/>
          <w:shd w:val="clear" w:color="auto" w:fill="FFFFFF"/>
        </w:rPr>
        <w:t>以生态品质增值平衡生态建设投入，以多元消费场景收益平衡后期管护成本。</w:t>
      </w:r>
      <w:r>
        <w:rPr>
          <w:rFonts w:hint="eastAsia" w:ascii="Times New Roman" w:hAnsi="Times New Roman" w:cs="Times New Roman"/>
          <w:b/>
          <w:bCs/>
          <w:color w:val="0F1115"/>
          <w:szCs w:val="21"/>
          <w:shd w:val="clear" w:color="auto" w:fill="FFFFFF"/>
        </w:rPr>
        <w:t>推动生态资源资产化。</w:t>
      </w:r>
      <w:r>
        <w:rPr>
          <w:rFonts w:ascii="Times New Roman" w:hAnsi="Times New Roman" w:cs="Times New Roman"/>
          <w:color w:val="0F1115"/>
          <w:szCs w:val="21"/>
          <w:shd w:val="clear" w:color="auto" w:fill="FFFFFF"/>
        </w:rPr>
        <w:t>推进生态资源权益交易与市场化经营，探索建立生态产品价值核算体系，推动符合条件的生态资源纳入资产化管理。鼓励社会资本参与生态保护与开发，引导金融机构创新绿色金融产品，形成多元化投融资格局。</w:t>
      </w:r>
    </w:p>
    <w:p w14:paraId="75432960">
      <w:pPr>
        <w:pStyle w:val="7"/>
        <w:bidi w:val="0"/>
        <w:rPr>
          <w:rFonts w:hint="eastAsia" w:ascii="Times New Roman" w:hAnsi="Times New Roman"/>
          <w:b/>
          <w:highlight w:val="none"/>
          <w:lang w:val="en-US" w:eastAsia="zh-CN"/>
        </w:rPr>
      </w:pPr>
      <w:bookmarkStart w:id="215" w:name="_Toc9699"/>
      <w:bookmarkStart w:id="216" w:name="_Toc30485"/>
      <w:bookmarkStart w:id="217" w:name="_Toc121"/>
      <w:bookmarkStart w:id="218" w:name="_Toc17719"/>
      <w:r>
        <w:rPr>
          <w:rFonts w:hint="eastAsia" w:ascii="Times New Roman" w:hAnsi="Times New Roman"/>
          <w:b/>
          <w:highlight w:val="none"/>
          <w:lang w:val="en-US" w:eastAsia="zh-CN"/>
        </w:rPr>
        <w:t>第四节  提升环境监管能力</w:t>
      </w:r>
      <w:bookmarkEnd w:id="215"/>
      <w:bookmarkEnd w:id="216"/>
      <w:bookmarkEnd w:id="217"/>
      <w:bookmarkEnd w:id="218"/>
    </w:p>
    <w:p w14:paraId="3192E461">
      <w:pPr>
        <w:ind w:firstLine="643"/>
        <w:rPr>
          <w:rFonts w:ascii="Times New Roman" w:hAnsi="Times New Roman" w:cs="Times New Roman"/>
          <w:b/>
          <w:bCs/>
          <w:szCs w:val="21"/>
        </w:rPr>
      </w:pPr>
      <w:r>
        <w:rPr>
          <w:rFonts w:ascii="Times New Roman" w:hAnsi="Times New Roman" w:cs="Times New Roman"/>
          <w:b/>
          <w:bCs/>
          <w:szCs w:val="21"/>
        </w:rPr>
        <w:t>全面推进生态环境监测体系智能化升级。</w:t>
      </w:r>
      <w:r>
        <w:rPr>
          <w:rFonts w:ascii="Times New Roman" w:hAnsi="Times New Roman" w:cs="Times New Roman"/>
          <w:color w:val="0F1115"/>
          <w:shd w:val="clear" w:color="auto" w:fill="FFFFFF"/>
        </w:rPr>
        <w:t>以精准感知、实时解析、智慧决策为导向，系统优化大气、水、土壤环境质量监测网络布局。</w:t>
      </w:r>
      <w:r>
        <w:rPr>
          <w:rFonts w:hint="eastAsia" w:ascii="Times New Roman" w:hAnsi="Times New Roman" w:cs="Times New Roman"/>
          <w:b/>
          <w:bCs/>
          <w:color w:val="0F1115"/>
          <w:shd w:val="clear" w:color="auto" w:fill="FFFFFF"/>
        </w:rPr>
        <w:t>完善大气环境监测网络。</w:t>
      </w:r>
      <w:r>
        <w:rPr>
          <w:rFonts w:ascii="Times New Roman" w:hAnsi="Times New Roman" w:cs="Times New Roman"/>
          <w:color w:val="0F1115"/>
          <w:shd w:val="clear" w:color="auto" w:fill="FFFFFF"/>
        </w:rPr>
        <w:t>加密布设微型空气质量监测站，重点覆盖工业园区、交通干道、人口密集区等高风险区域，实现对PM2.5、PM10、臭氧等六项主要污染物的分钟级高密度监测。</w:t>
      </w:r>
      <w:r>
        <w:rPr>
          <w:rFonts w:hint="eastAsia" w:ascii="Times New Roman" w:hAnsi="Times New Roman" w:cs="Times New Roman"/>
          <w:b/>
          <w:bCs/>
          <w:color w:val="0F1115"/>
          <w:shd w:val="clear" w:color="auto" w:fill="FFFFFF"/>
        </w:rPr>
        <w:t>强化水生态监测能力。</w:t>
      </w:r>
      <w:r>
        <w:rPr>
          <w:rFonts w:ascii="Times New Roman" w:hAnsi="Times New Roman" w:cs="Times New Roman"/>
          <w:color w:val="0F1115"/>
          <w:shd w:val="clear" w:color="auto" w:fill="FFFFFF"/>
        </w:rPr>
        <w:t>于江河湖库关键断面、饮用水源地等部署多参数水质自动监测浮标站，实时掌握化学需氧量、氨氮、总磷等重点指标变化趋势，提升水污染溯源与风险预警能力。</w:t>
      </w:r>
      <w:r>
        <w:rPr>
          <w:rFonts w:hint="eastAsia" w:ascii="Times New Roman" w:hAnsi="Times New Roman" w:cs="Times New Roman"/>
          <w:b/>
          <w:bCs/>
          <w:color w:val="0F1115"/>
          <w:shd w:val="clear" w:color="auto" w:fill="FFFFFF"/>
        </w:rPr>
        <w:t>构建土壤环境立体监测体系。</w:t>
      </w:r>
      <w:r>
        <w:rPr>
          <w:rFonts w:hint="eastAsia" w:ascii="Times New Roman" w:hAnsi="Times New Roman" w:cs="Times New Roman"/>
          <w:color w:val="0F1115"/>
          <w:shd w:val="clear" w:color="auto" w:fill="FFFFFF"/>
        </w:rPr>
        <w:t>搭建</w:t>
      </w:r>
      <w:r>
        <w:rPr>
          <w:rFonts w:ascii="Times New Roman" w:hAnsi="Times New Roman" w:cs="Times New Roman"/>
          <w:color w:val="0F1115"/>
          <w:shd w:val="clear" w:color="auto" w:fill="FFFFFF"/>
        </w:rPr>
        <w:t>“天—空—地”一体化立体监测网络，融合卫星遥感、无人机航测与地面物联感知设备，实现对土壤重金属含量、pH值等关键指标的网格化、智能化采集与分析。</w:t>
      </w:r>
      <w:r>
        <w:rPr>
          <w:rFonts w:hint="eastAsia" w:ascii="Times New Roman" w:hAnsi="Times New Roman" w:cs="Times New Roman"/>
          <w:b/>
          <w:bCs/>
          <w:color w:val="0F1115"/>
          <w:shd w:val="clear" w:color="auto" w:fill="FFFFFF"/>
        </w:rPr>
        <w:t>数据融合与智慧赋能。</w:t>
      </w:r>
      <w:r>
        <w:rPr>
          <w:rFonts w:ascii="Times New Roman" w:hAnsi="Times New Roman" w:cs="Times New Roman"/>
          <w:color w:val="0F1115"/>
          <w:shd w:val="clear" w:color="auto" w:fill="FFFFFF"/>
        </w:rPr>
        <w:t>同步推动监测数据统一汇聚与智慧赋能，强化部门联动与数据共享。</w:t>
      </w:r>
    </w:p>
    <w:p w14:paraId="18BF3D41">
      <w:pPr>
        <w:bidi w:val="0"/>
        <w:rPr>
          <w:rFonts w:ascii="Times New Roman" w:hAnsi="Times New Roman"/>
        </w:rPr>
      </w:pPr>
      <w:r>
        <w:rPr>
          <w:rFonts w:ascii="Times New Roman" w:hAnsi="Times New Roman"/>
          <w:b/>
          <w:bCs/>
        </w:rPr>
        <w:t>实施执法队伍专业化提升工程。</w:t>
      </w:r>
      <w:r>
        <w:rPr>
          <w:rFonts w:hint="eastAsia" w:ascii="Times New Roman" w:hAnsi="Times New Roman"/>
        </w:rPr>
        <w:t>聚焦环境执法队伍的专业素养与实战效能，双管齐下加强能力建设。</w:t>
      </w:r>
      <w:r>
        <w:rPr>
          <w:rFonts w:hint="eastAsia" w:ascii="Times New Roman" w:hAnsi="Times New Roman"/>
          <w:b/>
          <w:bCs/>
        </w:rPr>
        <w:t>抓好专业培训。</w:t>
      </w:r>
      <w:r>
        <w:rPr>
          <w:rFonts w:ascii="Times New Roman" w:hAnsi="Times New Roman"/>
        </w:rPr>
        <w:t>系统开展环境法律法规、新型污染物识别、执法取证技术等专题培训，邀请行业专家与业务骨干进行案例教学。</w:t>
      </w:r>
      <w:r>
        <w:rPr>
          <w:rFonts w:ascii="Times New Roman" w:hAnsi="Times New Roman"/>
          <w:b/>
          <w:bCs/>
        </w:rPr>
        <w:t>建强实训基地</w:t>
      </w:r>
      <w:r>
        <w:rPr>
          <w:rFonts w:hint="eastAsia" w:ascii="Times New Roman" w:hAnsi="Times New Roman"/>
          <w:b/>
          <w:bCs/>
        </w:rPr>
        <w:t>。</w:t>
      </w:r>
      <w:r>
        <w:rPr>
          <w:rFonts w:ascii="Times New Roman" w:hAnsi="Times New Roman"/>
        </w:rPr>
        <w:t>推进执法实训基地建设，模拟复杂执法情境，强化执法人员在现场检查、证据固定、应急响应等方面的实操能力与规范化水平。</w:t>
      </w:r>
    </w:p>
    <w:p w14:paraId="054B9B7B">
      <w:pPr>
        <w:rPr>
          <w:rFonts w:hint="eastAsia" w:ascii="Times New Roman" w:hAnsi="Times New Roman"/>
          <w:lang w:val="en-US" w:eastAsia="zh-CN"/>
        </w:rPr>
      </w:pPr>
      <w:r>
        <w:rPr>
          <w:rFonts w:hint="eastAsia" w:ascii="Times New Roman" w:hAnsi="Times New Roman"/>
          <w:lang w:val="en-US" w:eastAsia="zh-CN"/>
        </w:rPr>
        <w:br w:type="page"/>
      </w:r>
    </w:p>
    <w:p w14:paraId="402F20DA">
      <w:pPr>
        <w:pStyle w:val="5"/>
        <w:bidi w:val="0"/>
        <w:rPr>
          <w:rFonts w:hint="eastAsia" w:ascii="Times New Roman" w:hAnsi="Times New Roman"/>
          <w:lang w:val="en-US" w:eastAsia="zh-CN"/>
        </w:rPr>
      </w:pPr>
      <w:bookmarkStart w:id="219" w:name="_Toc30782"/>
      <w:bookmarkStart w:id="220" w:name="_Toc31611"/>
      <w:bookmarkStart w:id="221" w:name="_Toc27188"/>
      <w:bookmarkStart w:id="222" w:name="_Toc579"/>
      <w:r>
        <w:rPr>
          <w:rFonts w:hint="eastAsia" w:ascii="Times New Roman" w:hAnsi="Times New Roman"/>
          <w:lang w:val="en-US" w:eastAsia="zh-CN"/>
        </w:rPr>
        <w:t>保障篇：统筹协调，牢筑落地实施</w:t>
      </w:r>
      <w:bookmarkEnd w:id="219"/>
      <w:bookmarkEnd w:id="220"/>
      <w:r>
        <w:rPr>
          <w:rFonts w:hint="eastAsia"/>
          <w:lang w:val="en-US" w:eastAsia="zh-CN"/>
        </w:rPr>
        <w:t>保障</w:t>
      </w:r>
      <w:bookmarkEnd w:id="221"/>
      <w:bookmarkEnd w:id="222"/>
    </w:p>
    <w:p w14:paraId="04FEA33C">
      <w:pPr>
        <w:pStyle w:val="5"/>
        <w:bidi w:val="0"/>
        <w:rPr>
          <w:rFonts w:hint="eastAsia" w:ascii="Times New Roman" w:hAnsi="Times New Roman"/>
          <w:lang w:val="en-US" w:eastAsia="zh-CN"/>
        </w:rPr>
      </w:pPr>
      <w:bookmarkStart w:id="223" w:name="_Toc18495"/>
      <w:bookmarkStart w:id="224" w:name="_Toc2887"/>
      <w:r>
        <w:rPr>
          <w:rFonts w:hint="eastAsia" w:ascii="Times New Roman" w:hAnsi="Times New Roman"/>
          <w:lang w:val="en-US" w:eastAsia="zh-CN"/>
        </w:rPr>
        <w:t>第十四章</w:t>
      </w:r>
      <w:r>
        <w:rPr>
          <w:rFonts w:hint="eastAsia"/>
          <w:lang w:val="en-US" w:eastAsia="zh-CN"/>
        </w:rPr>
        <w:t xml:space="preserve"> </w:t>
      </w:r>
      <w:r>
        <w:rPr>
          <w:rFonts w:hint="eastAsia" w:ascii="Times New Roman" w:hAnsi="Times New Roman"/>
          <w:lang w:val="en-US" w:eastAsia="zh-CN"/>
        </w:rPr>
        <w:t>优化营商环境 激发市场</w:t>
      </w:r>
      <w:r>
        <w:rPr>
          <w:rFonts w:hint="eastAsia"/>
          <w:lang w:val="en-US" w:eastAsia="zh-CN"/>
        </w:rPr>
        <w:t>主体</w:t>
      </w:r>
      <w:r>
        <w:rPr>
          <w:rFonts w:hint="eastAsia" w:ascii="Times New Roman" w:hAnsi="Times New Roman"/>
          <w:lang w:val="en-US" w:eastAsia="zh-CN"/>
        </w:rPr>
        <w:t>活力</w:t>
      </w:r>
      <w:bookmarkEnd w:id="223"/>
      <w:bookmarkEnd w:id="224"/>
    </w:p>
    <w:p w14:paraId="7E591B0F">
      <w:pPr>
        <w:rPr>
          <w:rFonts w:hint="eastAsia" w:ascii="Times New Roman" w:hAnsi="Times New Roman"/>
          <w:lang w:val="en-US" w:eastAsia="zh-CN"/>
        </w:rPr>
      </w:pPr>
      <w:r>
        <w:rPr>
          <w:rFonts w:hint="eastAsia" w:ascii="Times New Roman" w:hAnsi="Times New Roman"/>
          <w:lang w:val="en-US" w:eastAsia="zh-CN"/>
        </w:rPr>
        <w:t>深入贯彻习近平总书记关于民营经济发展的重要论述，强化全要素保障，不断强化金融支撑，激发消费动能，激发全社会创造力和市场活力，为经济高质量发展注入强劲动力。</w:t>
      </w:r>
    </w:p>
    <w:p w14:paraId="6891AAA1">
      <w:pPr>
        <w:pStyle w:val="7"/>
        <w:bidi w:val="0"/>
        <w:rPr>
          <w:rFonts w:hint="eastAsia" w:ascii="Times New Roman" w:hAnsi="Times New Roman"/>
          <w:b/>
          <w:highlight w:val="none"/>
          <w:lang w:val="en-US" w:eastAsia="zh-CN"/>
        </w:rPr>
      </w:pPr>
      <w:bookmarkStart w:id="225" w:name="_Toc30463"/>
      <w:bookmarkStart w:id="226" w:name="_Toc2241"/>
      <w:bookmarkStart w:id="227" w:name="_Toc8827"/>
      <w:r>
        <w:rPr>
          <w:rFonts w:hint="eastAsia" w:ascii="Times New Roman" w:hAnsi="Times New Roman"/>
          <w:b/>
          <w:highlight w:val="none"/>
          <w:lang w:val="en-US" w:eastAsia="zh-CN"/>
        </w:rPr>
        <w:t>第一节  优化民营经济发展环境</w:t>
      </w:r>
      <w:bookmarkEnd w:id="225"/>
      <w:bookmarkEnd w:id="226"/>
      <w:bookmarkEnd w:id="227"/>
    </w:p>
    <w:p w14:paraId="36481FA1">
      <w:pPr>
        <w:rPr>
          <w:rFonts w:hint="eastAsia" w:ascii="Times New Roman" w:hAnsi="Times New Roman"/>
          <w:lang w:val="en-US" w:eastAsia="zh-CN"/>
        </w:rPr>
      </w:pPr>
      <w:r>
        <w:rPr>
          <w:rFonts w:hint="eastAsia" w:ascii="Times New Roman" w:hAnsi="Times New Roman"/>
          <w:b/>
          <w:bCs/>
          <w:lang w:val="en-US" w:eastAsia="zh-CN"/>
        </w:rPr>
        <w:t>深化“放管服”改革。</w:t>
      </w:r>
      <w:r>
        <w:rPr>
          <w:rFonts w:hint="eastAsia" w:ascii="Times New Roman" w:hAnsi="Times New Roman"/>
          <w:lang w:val="en-US" w:eastAsia="zh-CN"/>
        </w:rPr>
        <w:t>持续推进简政放权，进一步精简行政审批事项，优化审批流程，提高审批效率。</w:t>
      </w:r>
      <w:r>
        <w:rPr>
          <w:rFonts w:hint="eastAsia" w:ascii="Times New Roman" w:hAnsi="Times New Roman"/>
          <w:b/>
          <w:bCs/>
          <w:lang w:val="en-US" w:eastAsia="zh-CN"/>
        </w:rPr>
        <w:t>全面优化政务服务。</w:t>
      </w:r>
      <w:r>
        <w:rPr>
          <w:rFonts w:hint="eastAsia" w:ascii="Times New Roman" w:hAnsi="Times New Roman"/>
          <w:lang w:val="en-US" w:eastAsia="zh-CN"/>
        </w:rPr>
        <w:t>推动事项“应进必进”，项目审批实行“一窗受理、一网通办、一表申请”，通过系统整合与数据共享，推动更多“一件事”集成办理。</w:t>
      </w:r>
      <w:r>
        <w:rPr>
          <w:rFonts w:hint="eastAsia" w:ascii="Times New Roman" w:hAnsi="Times New Roman"/>
          <w:b/>
          <w:bCs/>
          <w:lang w:val="en-US" w:eastAsia="zh-CN"/>
        </w:rPr>
        <w:t>强化事中事后监管。</w:t>
      </w:r>
      <w:r>
        <w:rPr>
          <w:rFonts w:hint="eastAsia" w:ascii="Times New Roman" w:hAnsi="Times New Roman"/>
          <w:lang w:val="en-US" w:eastAsia="zh-CN"/>
        </w:rPr>
        <w:t>构建以“双随机、一公开”为基本手段、重点监管为补充、信用监管为基础的新型监管机制，维护公平竞争的市场秩序。</w:t>
      </w:r>
    </w:p>
    <w:p w14:paraId="379F01E1">
      <w:pPr>
        <w:rPr>
          <w:rFonts w:hint="eastAsia" w:ascii="Times New Roman" w:hAnsi="Times New Roman"/>
          <w:lang w:val="en-US" w:eastAsia="zh-CN"/>
        </w:rPr>
      </w:pPr>
      <w:r>
        <w:rPr>
          <w:rFonts w:hint="eastAsia" w:ascii="Times New Roman" w:hAnsi="Times New Roman"/>
          <w:b/>
          <w:bCs/>
          <w:lang w:val="en-US" w:eastAsia="zh-CN"/>
        </w:rPr>
        <w:t>加强法治环境建设。</w:t>
      </w:r>
      <w:r>
        <w:rPr>
          <w:rFonts w:hint="eastAsia" w:ascii="Times New Roman" w:hAnsi="Times New Roman"/>
          <w:lang w:val="en-US" w:eastAsia="zh-CN"/>
        </w:rPr>
        <w:t>持续优化营商环境，依法保护民营企业合法权益。</w:t>
      </w:r>
      <w:r>
        <w:rPr>
          <w:rFonts w:hint="eastAsia" w:ascii="Times New Roman" w:hAnsi="Times New Roman"/>
          <w:b/>
          <w:bCs/>
          <w:lang w:val="en-US" w:eastAsia="zh-CN"/>
        </w:rPr>
        <w:t>严格落实法律法规。</w:t>
      </w:r>
      <w:r>
        <w:rPr>
          <w:rFonts w:hint="eastAsia" w:ascii="Times New Roman" w:hAnsi="Times New Roman"/>
          <w:lang w:val="en-US" w:eastAsia="zh-CN"/>
        </w:rPr>
        <w:t>落实国家及省市保护民营经济的法律法规，严厉打击侵犯知识产权、合同诈骗、商业贿赂等违法犯罪行为。</w:t>
      </w:r>
      <w:r>
        <w:rPr>
          <w:rFonts w:hint="eastAsia" w:ascii="Times New Roman" w:hAnsi="Times New Roman"/>
          <w:b/>
          <w:bCs/>
          <w:lang w:val="en-US" w:eastAsia="zh-CN"/>
        </w:rPr>
        <w:t>完善投诉维权机制。</w:t>
      </w:r>
      <w:r>
        <w:rPr>
          <w:rFonts w:hint="eastAsia" w:ascii="Times New Roman" w:hAnsi="Times New Roman"/>
          <w:lang w:val="en-US" w:eastAsia="zh-CN"/>
        </w:rPr>
        <w:t>依托统一热线与线上平台，推行“一单一函+预警提醒”工作模式，实现涉企投诉高效受理、闭环处理。</w:t>
      </w:r>
      <w:r>
        <w:rPr>
          <w:rFonts w:hint="eastAsia" w:ascii="Times New Roman" w:hAnsi="Times New Roman"/>
          <w:b/>
          <w:bCs/>
          <w:lang w:val="en-US" w:eastAsia="zh-CN"/>
        </w:rPr>
        <w:t>加强法治宣传教育。</w:t>
      </w:r>
      <w:r>
        <w:rPr>
          <w:rFonts w:hint="eastAsia" w:ascii="Times New Roman" w:hAnsi="Times New Roman"/>
          <w:lang w:val="en-US" w:eastAsia="zh-CN"/>
        </w:rPr>
        <w:t>引导企业增强依法经营意识和风险防范能力，积极构建法治化、规范化、可预期的营商环境。</w:t>
      </w:r>
    </w:p>
    <w:p w14:paraId="38006C8D">
      <w:pPr>
        <w:rPr>
          <w:rFonts w:hint="eastAsia" w:ascii="Times New Roman" w:hAnsi="Times New Roman"/>
          <w:lang w:val="en-US" w:eastAsia="zh-CN"/>
        </w:rPr>
      </w:pPr>
      <w:r>
        <w:rPr>
          <w:rFonts w:hint="eastAsia" w:ascii="Times New Roman" w:hAnsi="Times New Roman"/>
          <w:b/>
          <w:bCs/>
          <w:lang w:val="en-US" w:eastAsia="zh-CN"/>
        </w:rPr>
        <w:t>构建亲清政商关系。</w:t>
      </w:r>
      <w:r>
        <w:rPr>
          <w:rFonts w:hint="eastAsia" w:ascii="Times New Roman" w:hAnsi="Times New Roman"/>
          <w:lang w:val="en-US" w:eastAsia="zh-CN"/>
        </w:rPr>
        <w:t>聚焦政企沟通、服务规范与社会责任，系统优化营商环境，加快构建“亲清统一”的新型政商关系。</w:t>
      </w:r>
      <w:r>
        <w:rPr>
          <w:rFonts w:hint="eastAsia" w:ascii="Times New Roman" w:hAnsi="Times New Roman"/>
          <w:b/>
          <w:bCs/>
          <w:lang w:val="en-US" w:eastAsia="zh-CN"/>
        </w:rPr>
        <w:t>健全常态化政企沟通渠道。</w:t>
      </w:r>
      <w:r>
        <w:rPr>
          <w:rFonts w:hint="eastAsia" w:ascii="Times New Roman" w:hAnsi="Times New Roman"/>
          <w:lang w:val="en-US" w:eastAsia="zh-CN"/>
        </w:rPr>
        <w:t>通过定期举办企业家座谈会、实地走访调研等方式，主动了解企业诉求，精准纾解经营困难。</w:t>
      </w:r>
      <w:r>
        <w:rPr>
          <w:rFonts w:hint="eastAsia" w:ascii="Times New Roman" w:hAnsi="Times New Roman"/>
          <w:b/>
          <w:bCs/>
          <w:lang w:val="en-US" w:eastAsia="zh-CN"/>
        </w:rPr>
        <w:t>规范领导干部服务企业行为。</w:t>
      </w:r>
      <w:r>
        <w:rPr>
          <w:rFonts w:hint="eastAsia" w:ascii="Times New Roman" w:hAnsi="Times New Roman"/>
          <w:lang w:val="en-US" w:eastAsia="zh-CN"/>
        </w:rPr>
        <w:t>践行“亲”而有度、“清”而有为，依法依规为民营企业提供支持。</w:t>
      </w:r>
      <w:r>
        <w:rPr>
          <w:rFonts w:hint="eastAsia" w:ascii="Times New Roman" w:hAnsi="Times New Roman"/>
          <w:b/>
          <w:bCs/>
          <w:lang w:val="en-US" w:eastAsia="zh-CN"/>
        </w:rPr>
        <w:t>引导企业履行社会责任。</w:t>
      </w:r>
      <w:r>
        <w:rPr>
          <w:rFonts w:hint="eastAsia" w:ascii="Times New Roman" w:hAnsi="Times New Roman"/>
          <w:lang w:val="en-US" w:eastAsia="zh-CN"/>
        </w:rPr>
        <w:t>积极引导民营企业参与公益事业，实现企业发展与社会贡献良性互动。</w:t>
      </w:r>
    </w:p>
    <w:p w14:paraId="231BE13E">
      <w:pPr>
        <w:pStyle w:val="7"/>
        <w:bidi w:val="0"/>
        <w:rPr>
          <w:rFonts w:hint="eastAsia" w:ascii="Times New Roman" w:hAnsi="Times New Roman"/>
          <w:b/>
          <w:highlight w:val="none"/>
          <w:lang w:val="en-US" w:eastAsia="zh-CN"/>
        </w:rPr>
      </w:pPr>
      <w:bookmarkStart w:id="228" w:name="_Toc12582"/>
      <w:bookmarkStart w:id="229" w:name="_Toc12097"/>
      <w:bookmarkStart w:id="230" w:name="_Toc18874"/>
      <w:r>
        <w:rPr>
          <w:rFonts w:hint="eastAsia" w:ascii="Times New Roman" w:hAnsi="Times New Roman"/>
          <w:b/>
          <w:highlight w:val="none"/>
          <w:lang w:val="en-US" w:eastAsia="zh-CN"/>
        </w:rPr>
        <w:t>第二节  推动要素市场配置改革</w:t>
      </w:r>
      <w:bookmarkEnd w:id="228"/>
      <w:bookmarkEnd w:id="229"/>
      <w:bookmarkEnd w:id="230"/>
    </w:p>
    <w:p w14:paraId="34FED5C8">
      <w:pPr>
        <w:rPr>
          <w:rFonts w:hint="eastAsia" w:ascii="Times New Roman" w:hAnsi="Times New Roman"/>
          <w:lang w:val="en-US" w:eastAsia="zh-CN"/>
        </w:rPr>
      </w:pPr>
      <w:r>
        <w:rPr>
          <w:rFonts w:hint="eastAsia" w:ascii="Times New Roman" w:hAnsi="Times New Roman"/>
          <w:b/>
          <w:bCs/>
          <w:lang w:val="en-US" w:eastAsia="zh-CN"/>
        </w:rPr>
        <w:t>建立完善要素流动机制。</w:t>
      </w:r>
      <w:r>
        <w:rPr>
          <w:rFonts w:hint="eastAsia" w:ascii="Times New Roman" w:hAnsi="Times New Roman"/>
          <w:lang w:val="en-US" w:eastAsia="zh-CN"/>
        </w:rPr>
        <w:t>以破除体制机制壁垒为重点，促进人才、资金、技术等关键要素在城乡间双向畅通、高效循环。</w:t>
      </w:r>
      <w:r>
        <w:rPr>
          <w:rFonts w:hint="eastAsia" w:ascii="Times New Roman" w:hAnsi="Times New Roman"/>
          <w:b/>
          <w:bCs/>
          <w:lang w:val="en-US" w:eastAsia="zh-CN"/>
        </w:rPr>
        <w:t>畅通人才入乡渠道。</w:t>
      </w:r>
      <w:r>
        <w:rPr>
          <w:rFonts w:hint="eastAsia" w:ascii="Times New Roman" w:hAnsi="Times New Roman"/>
          <w:lang w:val="en-US" w:eastAsia="zh-CN"/>
        </w:rPr>
        <w:t>完善激励机制与合作交流模式，通过岗编适度分离等方式，引导城镇教科文卫体等人才定期服务乡村，并支持农村集体建立人才加入机制。</w:t>
      </w:r>
      <w:r>
        <w:rPr>
          <w:rFonts w:hint="eastAsia" w:ascii="Times New Roman" w:hAnsi="Times New Roman"/>
          <w:b/>
          <w:bCs/>
          <w:lang w:val="en-US" w:eastAsia="zh-CN"/>
        </w:rPr>
        <w:t>强化资金保障支撑。</w:t>
      </w:r>
      <w:r>
        <w:rPr>
          <w:rFonts w:hint="eastAsia" w:ascii="Times New Roman" w:hAnsi="Times New Roman"/>
          <w:lang w:val="en-US" w:eastAsia="zh-CN"/>
        </w:rPr>
        <w:t>发挥财政资金杠杆作用，引导更多社会资本投入乡村建设；</w:t>
      </w:r>
      <w:r>
        <w:rPr>
          <w:rFonts w:hint="eastAsia"/>
          <w:lang w:val="en-US" w:eastAsia="zh-CN"/>
        </w:rPr>
        <w:t>鼓励和引入民营企业参与重大项目建设，滚动接续向民间资本推介项目。</w:t>
      </w:r>
    </w:p>
    <w:p w14:paraId="7AC3D78C">
      <w:pPr>
        <w:rPr>
          <w:rFonts w:hint="eastAsia" w:ascii="Times New Roman" w:hAnsi="Times New Roman"/>
          <w:highlight w:val="yellow"/>
          <w:lang w:val="en-US" w:eastAsia="zh-CN"/>
        </w:rPr>
      </w:pPr>
      <w:r>
        <w:rPr>
          <w:rFonts w:hint="eastAsia" w:ascii="Times New Roman" w:hAnsi="Times New Roman"/>
          <w:b/>
          <w:bCs/>
          <w:lang w:val="en-US" w:eastAsia="zh-CN"/>
        </w:rPr>
        <w:t>加大创新要素服务保障。</w:t>
      </w:r>
      <w:r>
        <w:rPr>
          <w:rFonts w:hint="eastAsia" w:ascii="Times New Roman" w:hAnsi="Times New Roman"/>
          <w:lang w:val="en-US" w:eastAsia="zh-CN"/>
        </w:rPr>
        <w:t>健全以政府投入为主导、社会资本积极参与的多元化科技投入机制。</w:t>
      </w:r>
      <w:r>
        <w:rPr>
          <w:rFonts w:hint="eastAsia" w:ascii="Times New Roman" w:hAnsi="Times New Roman"/>
          <w:b/>
          <w:bCs/>
          <w:lang w:val="en-US" w:eastAsia="zh-CN"/>
        </w:rPr>
        <w:t>持续加大财政支持力度。</w:t>
      </w:r>
      <w:r>
        <w:rPr>
          <w:rFonts w:hint="eastAsia" w:ascii="Times New Roman" w:hAnsi="Times New Roman"/>
          <w:lang w:val="en-US" w:eastAsia="zh-CN"/>
        </w:rPr>
        <w:t>建立财政科技经费稳定增长机制，确保年度预算增幅不低于本级财政收入增长水平；保障财政资金对基础前沿研究和关键核心技术攻关的长期稳定投入，引导并支持企业积极申报各级科技创新专项，充分激发各类主体的创新活力。</w:t>
      </w:r>
      <w:r>
        <w:rPr>
          <w:rFonts w:hint="eastAsia" w:ascii="Times New Roman" w:hAnsi="Times New Roman"/>
          <w:b/>
          <w:bCs/>
          <w:highlight w:val="none"/>
          <w:lang w:val="en-US" w:eastAsia="zh-CN"/>
        </w:rPr>
        <w:t>重大项目强推进。</w:t>
      </w:r>
      <w:r>
        <w:rPr>
          <w:rFonts w:hint="eastAsia" w:ascii="Times New Roman" w:hAnsi="Times New Roman"/>
          <w:b w:val="0"/>
          <w:bCs w:val="0"/>
          <w:highlight w:val="none"/>
          <w:lang w:val="en-US" w:eastAsia="zh-CN"/>
        </w:rPr>
        <w:t>规范实施政府和社会资本合作新机制，修订分类支持民营企业参与的特许经营项目清单，鼓励民间资本参与建设运营规模较小、具有盈利空间的城市基础设施领域新建项目，</w:t>
      </w:r>
      <w:r>
        <w:rPr>
          <w:rFonts w:hint="eastAsia" w:ascii="Times New Roman" w:hAnsi="Times New Roman"/>
          <w:highlight w:val="none"/>
          <w:lang w:val="en-US" w:eastAsia="zh-CN"/>
        </w:rPr>
        <w:t>鼓励支持民营企业加快建设一批具有较强行业带动力的</w:t>
      </w:r>
      <w:r>
        <w:rPr>
          <w:rFonts w:hint="eastAsia"/>
          <w:highlight w:val="none"/>
          <w:lang w:val="en-US" w:eastAsia="zh-CN"/>
        </w:rPr>
        <w:t>创新平台</w:t>
      </w:r>
      <w:r>
        <w:rPr>
          <w:rFonts w:hint="eastAsia"/>
          <w:b w:val="0"/>
          <w:bCs w:val="0"/>
          <w:highlight w:val="none"/>
          <w:lang w:val="en-US" w:eastAsia="zh-CN"/>
        </w:rPr>
        <w:t>。</w:t>
      </w:r>
    </w:p>
    <w:p w14:paraId="63D1FC8E">
      <w:pPr>
        <w:pStyle w:val="7"/>
        <w:bidi w:val="0"/>
        <w:rPr>
          <w:rFonts w:hint="eastAsia" w:ascii="Times New Roman" w:hAnsi="Times New Roman"/>
          <w:b/>
          <w:highlight w:val="none"/>
          <w:lang w:val="en-US" w:eastAsia="zh-CN"/>
        </w:rPr>
      </w:pPr>
      <w:bookmarkStart w:id="231" w:name="_Toc20820"/>
      <w:bookmarkStart w:id="232" w:name="_Toc7995"/>
      <w:bookmarkStart w:id="233" w:name="_Toc1996"/>
      <w:r>
        <w:rPr>
          <w:rFonts w:hint="eastAsia" w:ascii="Times New Roman" w:hAnsi="Times New Roman"/>
          <w:b/>
          <w:highlight w:val="none"/>
          <w:lang w:val="en-US" w:eastAsia="zh-CN"/>
        </w:rPr>
        <w:t>第三节  深化财政金融体制改革</w:t>
      </w:r>
      <w:bookmarkEnd w:id="231"/>
      <w:bookmarkEnd w:id="232"/>
      <w:bookmarkEnd w:id="233"/>
    </w:p>
    <w:p w14:paraId="409CF671">
      <w:pPr>
        <w:rPr>
          <w:rFonts w:hint="eastAsia" w:ascii="Times New Roman" w:hAnsi="Times New Roman"/>
          <w:lang w:val="en-US" w:eastAsia="zh-CN"/>
        </w:rPr>
      </w:pPr>
      <w:r>
        <w:rPr>
          <w:rFonts w:hint="eastAsia" w:ascii="Times New Roman" w:hAnsi="Times New Roman"/>
          <w:b/>
          <w:bCs/>
          <w:lang w:val="en-US" w:eastAsia="zh-CN"/>
        </w:rPr>
        <w:t>完善现代财政制度。</w:t>
      </w:r>
      <w:r>
        <w:rPr>
          <w:rFonts w:hint="eastAsia" w:ascii="Times New Roman" w:hAnsi="Times New Roman"/>
          <w:lang w:val="en-US" w:eastAsia="zh-CN"/>
        </w:rPr>
        <w:t>构建与现代治理相适应的财政管理体系。</w:t>
      </w:r>
      <w:r>
        <w:rPr>
          <w:rFonts w:hint="eastAsia" w:ascii="Times New Roman" w:hAnsi="Times New Roman"/>
          <w:b/>
          <w:bCs/>
          <w:lang w:val="en-US" w:eastAsia="zh-CN"/>
        </w:rPr>
        <w:t>深化权责划分改革。</w:t>
      </w:r>
      <w:r>
        <w:rPr>
          <w:rFonts w:hint="eastAsia" w:ascii="Times New Roman" w:hAnsi="Times New Roman"/>
          <w:lang w:val="en-US" w:eastAsia="zh-CN"/>
        </w:rPr>
        <w:t>明确财政事权与支出责任，建立保障与激励并重的管理体系。</w:t>
      </w:r>
      <w:r>
        <w:rPr>
          <w:rFonts w:hint="eastAsia" w:ascii="Times New Roman" w:hAnsi="Times New Roman"/>
          <w:b/>
          <w:bCs/>
          <w:lang w:val="en-US" w:eastAsia="zh-CN"/>
        </w:rPr>
        <w:t>全面深化预算改革。</w:t>
      </w:r>
      <w:r>
        <w:rPr>
          <w:rFonts w:hint="eastAsia" w:ascii="Times New Roman" w:hAnsi="Times New Roman"/>
          <w:lang w:val="en-US" w:eastAsia="zh-CN"/>
        </w:rPr>
        <w:t>实施透明规范的预算制度，构建“全方位、全过程、全覆盖”的预算绩效管理体系。</w:t>
      </w:r>
      <w:r>
        <w:rPr>
          <w:rFonts w:hint="eastAsia" w:ascii="Times New Roman" w:hAnsi="Times New Roman"/>
          <w:b/>
          <w:bCs/>
          <w:lang w:val="en-US" w:eastAsia="zh-CN"/>
        </w:rPr>
        <w:t>优化支出与投入方式。</w:t>
      </w:r>
      <w:r>
        <w:rPr>
          <w:rFonts w:hint="eastAsia" w:ascii="Times New Roman" w:hAnsi="Times New Roman"/>
          <w:lang w:val="en-US" w:eastAsia="zh-CN"/>
        </w:rPr>
        <w:t>财政向重大改革、重点领域和民生保障倾斜，严控一般性支出，并创新财政投入以撬动社会资本。</w:t>
      </w:r>
      <w:r>
        <w:rPr>
          <w:rFonts w:hint="eastAsia" w:ascii="Times New Roman" w:hAnsi="Times New Roman"/>
          <w:b/>
          <w:bCs/>
          <w:lang w:val="en-US" w:eastAsia="zh-CN"/>
        </w:rPr>
        <w:t>深化国资国企改革</w:t>
      </w:r>
      <w:r>
        <w:rPr>
          <w:rFonts w:hint="eastAsia" w:ascii="Times New Roman" w:hAnsi="Times New Roman"/>
          <w:lang w:val="en-US" w:eastAsia="zh-CN"/>
        </w:rPr>
        <w:t>。完善监管体制，推动县属平台聚焦主业、提升市场化运营能力。</w:t>
      </w:r>
    </w:p>
    <w:p w14:paraId="574A094B">
      <w:pPr>
        <w:rPr>
          <w:rFonts w:hint="eastAsia" w:ascii="Times New Roman" w:hAnsi="Times New Roman"/>
          <w:lang w:val="en-US" w:eastAsia="zh-CN"/>
        </w:rPr>
      </w:pPr>
      <w:r>
        <w:rPr>
          <w:rFonts w:hint="eastAsia" w:ascii="Times New Roman" w:hAnsi="Times New Roman"/>
          <w:b/>
          <w:bCs/>
          <w:lang w:val="en-US" w:eastAsia="zh-CN"/>
        </w:rPr>
        <w:t>深化投融资体制改革。</w:t>
      </w:r>
      <w:r>
        <w:rPr>
          <w:rFonts w:hint="eastAsia" w:ascii="Times New Roman" w:hAnsi="Times New Roman"/>
          <w:lang w:val="en-US" w:eastAsia="zh-CN"/>
        </w:rPr>
        <w:t>系统优化社会资本投资环境，充分激发市场主体投资活力。</w:t>
      </w:r>
      <w:r>
        <w:rPr>
          <w:rFonts w:hint="eastAsia" w:ascii="Times New Roman" w:hAnsi="Times New Roman"/>
          <w:b/>
          <w:bCs/>
          <w:lang w:val="en-US" w:eastAsia="zh-CN"/>
        </w:rPr>
        <w:t>强化企业投资主体地位。</w:t>
      </w:r>
      <w:r>
        <w:rPr>
          <w:rFonts w:hint="eastAsia" w:ascii="Times New Roman" w:hAnsi="Times New Roman"/>
          <w:lang w:val="en-US" w:eastAsia="zh-CN"/>
        </w:rPr>
        <w:t>全面清理各类隐性壁垒，实行统一公平的市场准入制度，依法</w:t>
      </w:r>
      <w:r>
        <w:rPr>
          <w:rFonts w:hint="eastAsia"/>
          <w:lang w:val="en-US" w:eastAsia="zh-CN"/>
        </w:rPr>
        <w:t>依规</w:t>
      </w:r>
      <w:r>
        <w:rPr>
          <w:rFonts w:hint="eastAsia" w:ascii="Times New Roman" w:hAnsi="Times New Roman"/>
          <w:lang w:val="en-US" w:eastAsia="zh-CN"/>
        </w:rPr>
        <w:t>向社会资本全面开放交通、能源、市政、金融、医疗、教育、文化等重点领域。</w:t>
      </w:r>
      <w:r>
        <w:rPr>
          <w:rFonts w:hint="eastAsia" w:ascii="Times New Roman" w:hAnsi="Times New Roman"/>
          <w:b/>
          <w:bCs/>
          <w:lang w:val="en-US" w:eastAsia="zh-CN"/>
        </w:rPr>
        <w:t>推动投融资模式多元化。</w:t>
      </w:r>
      <w:r>
        <w:rPr>
          <w:rFonts w:hint="eastAsia" w:ascii="Times New Roman" w:hAnsi="Times New Roman"/>
          <w:lang w:val="en-US" w:eastAsia="zh-CN"/>
        </w:rPr>
        <w:t>根据项目经营性特点，灵活运用政府与社会资本合作、政府补贴、政府购买服务等方式，引导社会资本参与基础设施和公共服务项目的投资、建设与运营。</w:t>
      </w:r>
    </w:p>
    <w:p w14:paraId="49981BAD">
      <w:pPr>
        <w:pStyle w:val="5"/>
        <w:bidi w:val="0"/>
        <w:rPr>
          <w:rFonts w:hint="eastAsia" w:ascii="Times New Roman" w:hAnsi="Times New Roman"/>
          <w:lang w:val="en-US" w:eastAsia="zh-CN"/>
        </w:rPr>
      </w:pPr>
      <w:bookmarkStart w:id="234" w:name="_Toc27459"/>
      <w:bookmarkStart w:id="235" w:name="_Toc19571"/>
      <w:bookmarkStart w:id="236" w:name="_Toc11865"/>
      <w:bookmarkStart w:id="237" w:name="_Toc14038"/>
      <w:r>
        <w:rPr>
          <w:rFonts w:hint="eastAsia"/>
          <w:lang w:val="en-US" w:eastAsia="zh-CN"/>
        </w:rPr>
        <w:t xml:space="preserve">第十五章 </w:t>
      </w:r>
      <w:r>
        <w:rPr>
          <w:rFonts w:hint="eastAsia" w:ascii="Times New Roman" w:hAnsi="Times New Roman"/>
          <w:lang w:val="en-US" w:eastAsia="zh-CN"/>
        </w:rPr>
        <w:t>锚定规划实施保障，确保目标任务落地见效</w:t>
      </w:r>
      <w:bookmarkEnd w:id="234"/>
      <w:bookmarkEnd w:id="235"/>
      <w:bookmarkEnd w:id="236"/>
      <w:bookmarkEnd w:id="237"/>
    </w:p>
    <w:p w14:paraId="6B7D835B">
      <w:pPr>
        <w:rPr>
          <w:rFonts w:hint="default" w:ascii="Times New Roman" w:hAnsi="Times New Roman"/>
          <w:lang w:val="en-US" w:eastAsia="zh-CN"/>
        </w:rPr>
      </w:pPr>
      <w:r>
        <w:rPr>
          <w:rFonts w:hint="default" w:ascii="Times New Roman" w:hAnsi="Times New Roman"/>
          <w:lang w:val="en-US" w:eastAsia="zh-CN"/>
        </w:rPr>
        <w:t>坚持党的全面领导，健全规划落实机制，增强规划实施保障，确保全面建设社会主义现代化沿着正确方向前进。</w:t>
      </w:r>
    </w:p>
    <w:p w14:paraId="2BEAFB64">
      <w:pPr>
        <w:pStyle w:val="7"/>
        <w:bidi w:val="0"/>
        <w:rPr>
          <w:rFonts w:hint="default" w:ascii="Times New Roman" w:hAnsi="Times New Roman"/>
          <w:b/>
          <w:highlight w:val="none"/>
          <w:lang w:val="en-US" w:eastAsia="zh-CN"/>
        </w:rPr>
      </w:pPr>
      <w:bookmarkStart w:id="238" w:name="_Toc4959"/>
      <w:bookmarkStart w:id="239" w:name="_Toc24148"/>
      <w:bookmarkStart w:id="240" w:name="_Toc16711"/>
      <w:r>
        <w:rPr>
          <w:rFonts w:hint="default" w:ascii="Times New Roman" w:hAnsi="Times New Roman"/>
          <w:b/>
          <w:highlight w:val="none"/>
          <w:lang w:val="en-US" w:eastAsia="zh-CN"/>
        </w:rPr>
        <w:t>第一节  坚持党的领导</w:t>
      </w:r>
      <w:bookmarkEnd w:id="238"/>
      <w:bookmarkEnd w:id="239"/>
      <w:bookmarkEnd w:id="240"/>
    </w:p>
    <w:p w14:paraId="16D04595">
      <w:pPr>
        <w:rPr>
          <w:rFonts w:hint="default" w:ascii="Times New Roman" w:hAnsi="Times New Roman"/>
          <w:lang w:val="en-US" w:eastAsia="zh-CN"/>
        </w:rPr>
      </w:pPr>
      <w:r>
        <w:rPr>
          <w:rFonts w:hint="default" w:ascii="Times New Roman" w:hAnsi="Times New Roman"/>
          <w:lang w:val="en-US" w:eastAsia="zh-CN"/>
        </w:rPr>
        <w:t>全面贯彻习近平新时代中国特色社会主义思想，深入落实习近平总书记关于东北振兴的重要讲话和重要指示批示精神，坚决执行党的基本理论、基本路线、基本方略。增强“四个意识”、坚定“四个自信”、做到“两个维护”，将“十五五”规划的研究与编制，全面融入总书记赋予的使命任务大局，将党的领导全方位、全链条、全过程贯穿于“十五五”规划实施的各领域。</w:t>
      </w:r>
    </w:p>
    <w:p w14:paraId="221B557D">
      <w:pPr>
        <w:pStyle w:val="7"/>
        <w:bidi w:val="0"/>
        <w:rPr>
          <w:rFonts w:hint="default" w:ascii="Times New Roman" w:hAnsi="Times New Roman"/>
          <w:b/>
          <w:highlight w:val="none"/>
          <w:lang w:val="en-US" w:eastAsia="zh-CN"/>
        </w:rPr>
      </w:pPr>
      <w:bookmarkStart w:id="241" w:name="_Toc10291"/>
      <w:bookmarkStart w:id="242" w:name="_Toc26009"/>
      <w:bookmarkStart w:id="243" w:name="_Toc14589"/>
      <w:r>
        <w:rPr>
          <w:rFonts w:hint="default" w:ascii="Times New Roman" w:hAnsi="Times New Roman"/>
          <w:b/>
          <w:highlight w:val="none"/>
          <w:lang w:val="en-US" w:eastAsia="zh-CN"/>
        </w:rPr>
        <w:t>第二节  完善规划体系</w:t>
      </w:r>
      <w:bookmarkEnd w:id="241"/>
      <w:bookmarkEnd w:id="242"/>
      <w:bookmarkEnd w:id="243"/>
    </w:p>
    <w:p w14:paraId="788D0DD3">
      <w:pPr>
        <w:rPr>
          <w:rFonts w:hint="default" w:ascii="Times New Roman" w:hAnsi="Times New Roman"/>
          <w:lang w:val="en-US" w:eastAsia="zh-CN"/>
        </w:rPr>
      </w:pPr>
      <w:r>
        <w:rPr>
          <w:rFonts w:hint="default" w:ascii="Times New Roman" w:hAnsi="Times New Roman"/>
          <w:lang w:val="en-US" w:eastAsia="zh-CN"/>
        </w:rPr>
        <w:t>以“十五五”规划纲要为统领</w:t>
      </w:r>
      <w:r>
        <w:rPr>
          <w:rFonts w:hint="eastAsia" w:ascii="Times New Roman" w:hAnsi="Times New Roman"/>
          <w:lang w:val="en-US" w:eastAsia="zh-CN"/>
        </w:rPr>
        <w:t>，以</w:t>
      </w:r>
      <w:r>
        <w:rPr>
          <w:rFonts w:hint="default" w:ascii="Times New Roman" w:hAnsi="Times New Roman"/>
          <w:lang w:val="en-US" w:eastAsia="zh-CN"/>
        </w:rPr>
        <w:t>国土空间规划为基础</w:t>
      </w:r>
      <w:r>
        <w:rPr>
          <w:rFonts w:hint="eastAsia"/>
          <w:lang w:val="en-US" w:eastAsia="zh-CN"/>
        </w:rPr>
        <w:t>、以</w:t>
      </w:r>
      <w:r>
        <w:rPr>
          <w:rFonts w:hint="default" w:ascii="Times New Roman" w:hAnsi="Times New Roman"/>
          <w:lang w:val="en-US" w:eastAsia="zh-CN"/>
        </w:rPr>
        <w:t>专项规划为支撑，构建系统衔接、协同高效的规划体系。</w:t>
      </w:r>
      <w:r>
        <w:rPr>
          <w:rFonts w:hint="default" w:ascii="Times New Roman" w:hAnsi="Times New Roman"/>
          <w:b/>
          <w:bCs/>
          <w:lang w:val="en-US" w:eastAsia="zh-CN"/>
        </w:rPr>
        <w:t>突出纲要的统领地位。</w:t>
      </w:r>
      <w:r>
        <w:rPr>
          <w:rFonts w:hint="default" w:ascii="Times New Roman" w:hAnsi="Times New Roman"/>
          <w:lang w:val="en-US" w:eastAsia="zh-CN"/>
        </w:rPr>
        <w:t>强化“十五五”规划纲要的权威性与执行力，使其真正成为体现施政意图、制定政策、配置资源的根本遵循。</w:t>
      </w:r>
      <w:r>
        <w:rPr>
          <w:rFonts w:hint="default" w:ascii="Times New Roman" w:hAnsi="Times New Roman"/>
          <w:b/>
          <w:bCs/>
          <w:lang w:val="en-US" w:eastAsia="zh-CN"/>
        </w:rPr>
        <w:t>夯实空间规划的基础作用。</w:t>
      </w:r>
      <w:r>
        <w:rPr>
          <w:rFonts w:hint="default" w:ascii="Times New Roman" w:hAnsi="Times New Roman"/>
          <w:lang w:val="en-US" w:eastAsia="zh-CN"/>
        </w:rPr>
        <w:t>推动国土空间规划与规划纲要在产业、生态、基础设施等关键布局上深度融合，为实现土地集约高效利用与城乡有序发展提供空间保障。</w:t>
      </w:r>
      <w:r>
        <w:rPr>
          <w:rFonts w:hint="default" w:ascii="Times New Roman" w:hAnsi="Times New Roman"/>
          <w:b/>
          <w:bCs/>
          <w:lang w:val="en-US" w:eastAsia="zh-CN"/>
        </w:rPr>
        <w:t>强化专项规划的支撑功能。</w:t>
      </w:r>
      <w:r>
        <w:rPr>
          <w:rFonts w:hint="default" w:ascii="Times New Roman" w:hAnsi="Times New Roman"/>
          <w:lang w:val="en-US" w:eastAsia="zh-CN"/>
        </w:rPr>
        <w:t>各专项规划必须紧密围绕纲要确定的重点任务，细化目标与实施路径，形成对特定领域发展的精准支撑。</w:t>
      </w:r>
    </w:p>
    <w:p w14:paraId="210B6A9C">
      <w:pPr>
        <w:pStyle w:val="7"/>
        <w:bidi w:val="0"/>
        <w:rPr>
          <w:rFonts w:hint="default" w:ascii="Times New Roman" w:hAnsi="Times New Roman"/>
          <w:b/>
          <w:highlight w:val="none"/>
          <w:lang w:val="en-US" w:eastAsia="zh-CN"/>
        </w:rPr>
      </w:pPr>
      <w:bookmarkStart w:id="244" w:name="_Toc2529"/>
      <w:bookmarkStart w:id="245" w:name="_Toc27147"/>
      <w:bookmarkStart w:id="246" w:name="_Toc30958"/>
      <w:r>
        <w:rPr>
          <w:rFonts w:hint="default" w:ascii="Times New Roman" w:hAnsi="Times New Roman"/>
          <w:b/>
          <w:highlight w:val="none"/>
          <w:lang w:val="en-US" w:eastAsia="zh-CN"/>
        </w:rPr>
        <w:t>第三节  强化政策支撑</w:t>
      </w:r>
      <w:bookmarkEnd w:id="244"/>
      <w:bookmarkEnd w:id="245"/>
      <w:bookmarkEnd w:id="246"/>
    </w:p>
    <w:p w14:paraId="73AA02F6">
      <w:pPr>
        <w:rPr>
          <w:rFonts w:hint="default" w:ascii="Times New Roman" w:hAnsi="Times New Roman"/>
          <w:lang w:val="en-US" w:eastAsia="zh-CN"/>
        </w:rPr>
      </w:pPr>
      <w:r>
        <w:rPr>
          <w:rFonts w:hint="default" w:ascii="Times New Roman" w:hAnsi="Times New Roman"/>
          <w:lang w:val="en-US" w:eastAsia="zh-CN"/>
        </w:rPr>
        <w:t>围绕财税、金融、土地、数据等建立健全跨领域政策协调与工作联动机制。</w:t>
      </w:r>
      <w:r>
        <w:rPr>
          <w:rFonts w:hint="default" w:ascii="Times New Roman" w:hAnsi="Times New Roman"/>
          <w:b/>
          <w:bCs/>
          <w:lang w:val="en-US" w:eastAsia="zh-CN"/>
        </w:rPr>
        <w:t>持续优化财政支出结构。</w:t>
      </w:r>
      <w:r>
        <w:rPr>
          <w:rFonts w:hint="default" w:ascii="Times New Roman" w:hAnsi="Times New Roman"/>
          <w:lang w:val="en-US" w:eastAsia="zh-CN"/>
        </w:rPr>
        <w:t>强化对重点领域和关键项目的支持，通过设立产业发展引导基金、科技创新专项资金等方式，有效引导社会资本投入。</w:t>
      </w:r>
      <w:r>
        <w:rPr>
          <w:rFonts w:hint="default" w:ascii="Times New Roman" w:hAnsi="Times New Roman"/>
          <w:b/>
          <w:bCs/>
          <w:lang w:val="en-US" w:eastAsia="zh-CN"/>
        </w:rPr>
        <w:t>深化金融协同合作。</w:t>
      </w:r>
      <w:r>
        <w:rPr>
          <w:rFonts w:hint="default" w:ascii="Times New Roman" w:hAnsi="Times New Roman"/>
          <w:lang w:val="en-US" w:eastAsia="zh-CN"/>
        </w:rPr>
        <w:t>支持金融机构创新金融产品与服务，拓宽多元化融资渠道，为重大项目建设和中小企业发展提供稳定金融支持。</w:t>
      </w:r>
      <w:r>
        <w:rPr>
          <w:rFonts w:hint="default" w:ascii="Times New Roman" w:hAnsi="Times New Roman"/>
          <w:b/>
          <w:bCs/>
          <w:lang w:val="en-US" w:eastAsia="zh-CN"/>
        </w:rPr>
        <w:t>创新土地利用机制。</w:t>
      </w:r>
      <w:r>
        <w:rPr>
          <w:rFonts w:hint="default" w:ascii="Times New Roman" w:hAnsi="Times New Roman"/>
          <w:lang w:val="en-US" w:eastAsia="zh-CN"/>
        </w:rPr>
        <w:t>优先保障重点项目合理用地需求，探索节约集约用地新模式，提升土地利用综合效益。</w:t>
      </w:r>
      <w:r>
        <w:rPr>
          <w:rFonts w:hint="default" w:ascii="Times New Roman" w:hAnsi="Times New Roman"/>
          <w:b/>
          <w:bCs/>
          <w:lang w:val="en-US" w:eastAsia="zh-CN"/>
        </w:rPr>
        <w:t>激活数据要素价值</w:t>
      </w:r>
      <w:r>
        <w:rPr>
          <w:rFonts w:hint="default" w:ascii="Times New Roman" w:hAnsi="Times New Roman"/>
          <w:lang w:val="en-US" w:eastAsia="zh-CN"/>
        </w:rPr>
        <w:t>。统筹推进政务数据与商业数据的规范保护、有序流通与深度开发利用，赋能数字经济发展。</w:t>
      </w:r>
    </w:p>
    <w:p w14:paraId="20A8DB0D">
      <w:pPr>
        <w:pStyle w:val="7"/>
        <w:bidi w:val="0"/>
        <w:rPr>
          <w:rFonts w:hint="default" w:ascii="Times New Roman" w:hAnsi="Times New Roman"/>
          <w:b/>
          <w:highlight w:val="none"/>
          <w:lang w:val="en-US" w:eastAsia="zh-CN"/>
        </w:rPr>
      </w:pPr>
      <w:bookmarkStart w:id="247" w:name="_Toc9171"/>
      <w:bookmarkStart w:id="248" w:name="_Toc13942"/>
      <w:bookmarkStart w:id="249" w:name="_Toc11633"/>
      <w:r>
        <w:rPr>
          <w:rFonts w:hint="default" w:ascii="Times New Roman" w:hAnsi="Times New Roman"/>
          <w:b/>
          <w:highlight w:val="none"/>
          <w:lang w:val="en-US" w:eastAsia="zh-CN"/>
        </w:rPr>
        <w:t>第四节  营造良好氛围</w:t>
      </w:r>
      <w:bookmarkEnd w:id="247"/>
      <w:bookmarkEnd w:id="248"/>
      <w:bookmarkEnd w:id="249"/>
      <w:r>
        <w:rPr>
          <w:rFonts w:hint="default" w:ascii="Times New Roman" w:hAnsi="Times New Roman"/>
          <w:b/>
          <w:highlight w:val="none"/>
          <w:lang w:val="en-US" w:eastAsia="zh-CN"/>
        </w:rPr>
        <w:t xml:space="preserve"> </w:t>
      </w:r>
    </w:p>
    <w:p w14:paraId="1DC3BE27">
      <w:pPr>
        <w:rPr>
          <w:rFonts w:hint="default" w:ascii="Times New Roman" w:hAnsi="Times New Roman"/>
          <w:lang w:val="en-US" w:eastAsia="zh-CN"/>
        </w:rPr>
      </w:pPr>
      <w:r>
        <w:rPr>
          <w:rFonts w:hint="default" w:ascii="Times New Roman" w:hAnsi="Times New Roman"/>
          <w:lang w:val="en-US" w:eastAsia="zh-CN"/>
        </w:rPr>
        <w:t>健全直接联系服务群众长效机制，创新运用数字化手段，畅通民生诉求征集、研判、处置、反馈闭环渠道，构建覆盖广泛、服务高效的群团工作体系。</w:t>
      </w:r>
      <w:r>
        <w:rPr>
          <w:rFonts w:hint="default" w:ascii="Times New Roman" w:hAnsi="Times New Roman"/>
          <w:b/>
          <w:bCs/>
          <w:lang w:val="en-US" w:eastAsia="zh-CN"/>
        </w:rPr>
        <w:t>构建多层次思想传播矩阵。</w:t>
      </w:r>
      <w:r>
        <w:rPr>
          <w:rFonts w:hint="default" w:ascii="Times New Roman" w:hAnsi="Times New Roman"/>
          <w:lang w:val="en-US" w:eastAsia="zh-CN"/>
        </w:rPr>
        <w:t>实施领导干部带头宣讲机制，建强“学习强国”、县级融媒体中心等核心阵地，拓展网络直播、短视频等新型传播渠道，形成线上线下联动宣传矩阵。</w:t>
      </w:r>
      <w:r>
        <w:rPr>
          <w:rFonts w:hint="default" w:ascii="Times New Roman" w:hAnsi="Times New Roman"/>
          <w:b/>
          <w:bCs/>
          <w:lang w:val="en-US" w:eastAsia="zh-CN"/>
        </w:rPr>
        <w:t>创新本土叙事传播体系。</w:t>
      </w:r>
      <w:r>
        <w:rPr>
          <w:rFonts w:hint="default" w:ascii="Times New Roman" w:hAnsi="Times New Roman"/>
          <w:lang w:val="en-US" w:eastAsia="zh-CN"/>
        </w:rPr>
        <w:t>系统开展主题宣传行动，深度挖掘本土典型事迹与鲜活案例，通过“报台网微端”全媒体联动，实现传统媒体与新兴平台深度融合，精心策划农安故事系列报道，全面提升区域形象传播力与影响力。</w:t>
      </w:r>
      <w:r>
        <w:rPr>
          <w:rFonts w:hint="default" w:ascii="Times New Roman" w:hAnsi="Times New Roman"/>
          <w:b/>
          <w:bCs/>
          <w:lang w:val="en-US" w:eastAsia="zh-CN"/>
        </w:rPr>
        <w:t>完善社会参与动员机制。</w:t>
      </w:r>
      <w:r>
        <w:rPr>
          <w:rFonts w:hint="default" w:ascii="Times New Roman" w:hAnsi="Times New Roman"/>
          <w:lang w:val="en-US" w:eastAsia="zh-CN"/>
        </w:rPr>
        <w:t>健全政策解读与民意反馈双向互动机制，通过议事协商、监督评议等形式，凝聚社会共识，形成共建共治共享的良好局面。</w:t>
      </w:r>
    </w:p>
    <w:p w14:paraId="6468BF58">
      <w:pPr>
        <w:pStyle w:val="7"/>
        <w:bidi w:val="0"/>
        <w:rPr>
          <w:rFonts w:hint="default" w:ascii="Times New Roman" w:hAnsi="Times New Roman"/>
          <w:b/>
          <w:highlight w:val="none"/>
          <w:lang w:val="en-US" w:eastAsia="zh-CN"/>
        </w:rPr>
      </w:pPr>
      <w:bookmarkStart w:id="250" w:name="_Toc11175"/>
      <w:bookmarkStart w:id="251" w:name="_Toc1318"/>
      <w:bookmarkStart w:id="252" w:name="_Toc2661"/>
      <w:r>
        <w:rPr>
          <w:rFonts w:hint="default" w:ascii="Times New Roman" w:hAnsi="Times New Roman"/>
          <w:b/>
          <w:highlight w:val="none"/>
          <w:lang w:val="en-US" w:eastAsia="zh-CN"/>
        </w:rPr>
        <w:t>第五节  加强评估考核</w:t>
      </w:r>
      <w:bookmarkEnd w:id="250"/>
      <w:bookmarkEnd w:id="251"/>
      <w:bookmarkEnd w:id="252"/>
    </w:p>
    <w:p w14:paraId="12D69FCC">
      <w:pPr>
        <w:rPr>
          <w:rFonts w:hint="default" w:ascii="Times New Roman" w:hAnsi="Times New Roman" w:eastAsia="方正小标宋_GBK" w:cs="宋体"/>
          <w:kern w:val="44"/>
          <w:sz w:val="44"/>
          <w:szCs w:val="44"/>
          <w:lang w:val="en-US" w:eastAsia="zh-CN" w:bidi="ar-SA"/>
          <w14:ligatures w14:val="standardContextual"/>
        </w:rPr>
      </w:pPr>
      <w:r>
        <w:rPr>
          <w:rFonts w:hint="default" w:ascii="Times New Roman" w:hAnsi="Times New Roman"/>
          <w:lang w:val="en-US" w:eastAsia="zh-CN"/>
        </w:rPr>
        <w:t>筑牢法治根基、健全评估机制、强化全程监督，保障规划有效实施。</w:t>
      </w:r>
      <w:r>
        <w:rPr>
          <w:rFonts w:hint="default" w:ascii="Times New Roman" w:hAnsi="Times New Roman"/>
          <w:b/>
          <w:bCs/>
          <w:lang w:val="en-US" w:eastAsia="zh-CN"/>
        </w:rPr>
        <w:t>夯实法治基础。</w:t>
      </w:r>
      <w:r>
        <w:rPr>
          <w:rFonts w:hint="default" w:ascii="Times New Roman" w:hAnsi="Times New Roman"/>
          <w:lang w:val="en-US" w:eastAsia="zh-CN"/>
        </w:rPr>
        <w:t>加快推进发展规划领域</w:t>
      </w:r>
      <w:r>
        <w:rPr>
          <w:rFonts w:hint="eastAsia"/>
          <w:lang w:val="en-US" w:eastAsia="zh-CN"/>
        </w:rPr>
        <w:t>制度建设</w:t>
      </w:r>
      <w:r>
        <w:rPr>
          <w:rFonts w:hint="default" w:ascii="Times New Roman" w:hAnsi="Times New Roman"/>
          <w:lang w:val="en-US" w:eastAsia="zh-CN"/>
        </w:rPr>
        <w:t>，夯实规划编制与实施的法治基础，确保规划工作依法有序推进、规范运行。</w:t>
      </w:r>
      <w:r>
        <w:rPr>
          <w:rFonts w:hint="default" w:ascii="Times New Roman" w:hAnsi="Times New Roman"/>
          <w:b/>
          <w:bCs/>
          <w:lang w:val="en-US" w:eastAsia="zh-CN"/>
        </w:rPr>
        <w:t>健全评估机制。</w:t>
      </w:r>
      <w:r>
        <w:rPr>
          <w:rFonts w:hint="default" w:ascii="Times New Roman" w:hAnsi="Times New Roman"/>
          <w:lang w:val="en-US" w:eastAsia="zh-CN"/>
        </w:rPr>
        <w:t>建立多元主体参与的评估体系，积极引入第三方机构，定期对经济发展、社会民生、生态环境、科技创新等多维度开展全面、客观地实施评估。</w:t>
      </w:r>
      <w:r>
        <w:rPr>
          <w:rFonts w:hint="default" w:ascii="Times New Roman" w:hAnsi="Times New Roman"/>
          <w:b/>
          <w:bCs/>
          <w:lang w:val="en-US" w:eastAsia="zh-CN"/>
        </w:rPr>
        <w:t>强化动态调整。</w:t>
      </w:r>
      <w:r>
        <w:rPr>
          <w:rFonts w:hint="default" w:ascii="Times New Roman" w:hAnsi="Times New Roman"/>
          <w:lang w:val="en-US" w:eastAsia="zh-CN"/>
        </w:rPr>
        <w:t>立足我县实际与发展规律，深入调研发展态势、潜力与前景，科学把握整体与局部、动态与静态、近期与远期的辩证关系。依据评估结果及时优化规划目标与任务，增强其科学性与适应性。</w:t>
      </w:r>
      <w:r>
        <w:rPr>
          <w:rFonts w:hint="default" w:ascii="Times New Roman" w:hAnsi="Times New Roman"/>
          <w:b/>
          <w:bCs/>
          <w:lang w:val="en-US" w:eastAsia="zh-CN"/>
        </w:rPr>
        <w:t>完善监督体系。</w:t>
      </w:r>
      <w:r>
        <w:rPr>
          <w:rFonts w:hint="default" w:ascii="Times New Roman" w:hAnsi="Times New Roman"/>
          <w:lang w:val="en-US" w:eastAsia="zh-CN"/>
        </w:rPr>
        <w:t>建立公开透明的监督机制，严格执行年度报告、检查巡视与专项督查制度，凝聚各方合力，确保规划落地见效。</w:t>
      </w:r>
    </w:p>
    <w:sectPr>
      <w:footerReference r:id="rId6" w:type="default"/>
      <w:footnotePr>
        <w:numFmt w:val="decimal"/>
      </w:footnotePr>
      <w:pgSz w:w="11906" w:h="16838"/>
      <w:pgMar w:top="2098" w:right="1474" w:bottom="1984" w:left="1587"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77E0D">
    <w:pPr>
      <w:pStyle w:val="10"/>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9815E9A">
                          <w:pPr>
                            <w:pStyle w:val="10"/>
                            <w:ind w:left="0" w:leftChars="0" w:firstLine="0" w:firstLineChars="0"/>
                            <w:rPr>
                              <w:rFonts w:hint="default" w:ascii="Times New Roman" w:hAnsi="Times New Roman" w:eastAsia="仿宋" w:cs="Times New Roman"/>
                              <w:sz w:val="24"/>
                              <w:szCs w:val="24"/>
                            </w:rPr>
                          </w:pPr>
                          <w:r>
                            <w:rPr>
                              <w:rFonts w:hint="default" w:eastAsia="仿宋" w:cs="Times New Roman"/>
                              <w:sz w:val="24"/>
                              <w:szCs w:val="24"/>
                            </w:rPr>
                            <w:fldChar w:fldCharType="begin"/>
                          </w:r>
                          <w:r>
                            <w:rPr>
                              <w:rFonts w:hint="default" w:eastAsia="仿宋" w:cs="Times New Roman"/>
                              <w:sz w:val="24"/>
                              <w:szCs w:val="24"/>
                            </w:rPr>
                            <w:instrText xml:space="preserve"> PAGE  \* MERGEFORMAT </w:instrText>
                          </w:r>
                          <w:r>
                            <w:rPr>
                              <w:rFonts w:hint="default" w:eastAsia="仿宋" w:cs="Times New Roman"/>
                              <w:sz w:val="24"/>
                              <w:szCs w:val="24"/>
                            </w:rPr>
                            <w:fldChar w:fldCharType="separate"/>
                          </w:r>
                          <w:r>
                            <w:rPr>
                              <w:rFonts w:hint="default" w:eastAsia="仿宋" w:cs="Times New Roman"/>
                              <w:sz w:val="24"/>
                              <w:szCs w:val="24"/>
                            </w:rPr>
                            <w:t>1</w:t>
                          </w:r>
                          <w:r>
                            <w:rPr>
                              <w:rFonts w:hint="default" w:eastAsia="仿宋" w:cs="Times New Roman"/>
                              <w:sz w:val="24"/>
                              <w:szCs w:val="24"/>
                            </w:rP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asDMH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mSUo0MHw4RKKSeabGQ7eRDz1bVjqOWJqL//N86v632t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FasDMHTAQAAngMAAA4AAAAAAAAAAQAgAAAAHwEA&#10;AGRycy9lMm9Eb2MueG1sUEsFBgAAAAAGAAYAWQEAAGQFAAAAAA==&#10;">
              <v:fill on="f" focussize="0,0"/>
              <v:stroke on="f"/>
              <v:imagedata o:title=""/>
              <o:lock v:ext="edit" aspectratio="f"/>
              <v:textbox inset="0mm,0mm,0mm,0mm" style="mso-fit-shape-to-text:t;">
                <w:txbxContent>
                  <w:p w14:paraId="39815E9A">
                    <w:pPr>
                      <w:pStyle w:val="10"/>
                      <w:ind w:left="0" w:leftChars="0" w:firstLine="0" w:firstLineChars="0"/>
                      <w:rPr>
                        <w:rFonts w:hint="default" w:ascii="Times New Roman" w:hAnsi="Times New Roman" w:eastAsia="仿宋" w:cs="Times New Roman"/>
                        <w:sz w:val="24"/>
                        <w:szCs w:val="24"/>
                      </w:rPr>
                    </w:pPr>
                    <w:r>
                      <w:rPr>
                        <w:rFonts w:hint="default" w:eastAsia="仿宋" w:cs="Times New Roman"/>
                        <w:sz w:val="24"/>
                        <w:szCs w:val="24"/>
                      </w:rPr>
                      <w:fldChar w:fldCharType="begin"/>
                    </w:r>
                    <w:r>
                      <w:rPr>
                        <w:rFonts w:hint="default" w:eastAsia="仿宋" w:cs="Times New Roman"/>
                        <w:sz w:val="24"/>
                        <w:szCs w:val="24"/>
                      </w:rPr>
                      <w:instrText xml:space="preserve"> PAGE  \* MERGEFORMAT </w:instrText>
                    </w:r>
                    <w:r>
                      <w:rPr>
                        <w:rFonts w:hint="default" w:eastAsia="仿宋" w:cs="Times New Roman"/>
                        <w:sz w:val="24"/>
                        <w:szCs w:val="24"/>
                      </w:rPr>
                      <w:fldChar w:fldCharType="separate"/>
                    </w:r>
                    <w:r>
                      <w:rPr>
                        <w:rFonts w:hint="default" w:eastAsia="仿宋" w:cs="Times New Roman"/>
                        <w:sz w:val="24"/>
                        <w:szCs w:val="24"/>
                      </w:rPr>
                      <w:t>1</w:t>
                    </w:r>
                    <w:r>
                      <w:rPr>
                        <w:rFonts w:hint="default" w:eastAsia="仿宋" w:cs="Times New Roman"/>
                        <w:sz w:val="24"/>
                        <w:szCs w:val="24"/>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3092E">
    <w:pPr>
      <w:pStyle w:val="10"/>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96A87BA">
                          <w:pPr>
                            <w:pStyle w:val="10"/>
                            <w:ind w:left="0" w:leftChars="0"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  \* MERGEFORMAT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- 1 -</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t xml:space="preserve"> —</w:t>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lU1nRAQAAn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Y5VNZ0QEAAJ4DAAAOAAAAAAAAAAEAIAAAAB8BAABk&#10;cnMvZTJvRG9jLnhtbFBLBQYAAAAABgAGAFkBAABiBQAAAAA=&#10;">
              <v:fill on="f" focussize="0,0"/>
              <v:stroke on="f"/>
              <v:imagedata o:title=""/>
              <o:lock v:ext="edit" aspectratio="f"/>
              <v:textbox inset="0mm,0mm,0mm,0mm" style="mso-fit-shape-to-text:t;">
                <w:txbxContent>
                  <w:p w14:paraId="096A87BA">
                    <w:pPr>
                      <w:pStyle w:val="10"/>
                      <w:ind w:left="0" w:leftChars="0" w:firstLine="0" w:firstLineChars="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  \* MERGEFORMAT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- 1 -</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ind w:firstLine="640"/>
      </w:pPr>
      <w:r>
        <w:separator/>
      </w:r>
    </w:p>
  </w:footnote>
  <w:footnote w:type="continuationSeparator" w:id="3">
    <w:p>
      <w:pPr>
        <w:spacing w:line="240" w:lineRule="auto"/>
        <w:ind w:firstLine="640"/>
      </w:pPr>
      <w:r>
        <w:continuationSeparator/>
      </w:r>
    </w:p>
  </w:footnote>
  <w:footnote w:id="0">
    <w:p w14:paraId="7C6AE381">
      <w:pPr>
        <w:pStyle w:val="14"/>
        <w:snapToGrid w:val="0"/>
        <w:rPr>
          <w:rFonts w:hint="eastAsia" w:eastAsia="方正仿宋_GBK"/>
          <w:lang w:eastAsia="zh-CN"/>
        </w:rPr>
      </w:pPr>
      <w:r>
        <w:rPr>
          <w:rStyle w:val="24"/>
        </w:rPr>
        <w:footnoteRef/>
      </w:r>
      <w:r>
        <w:rPr>
          <w:rFonts w:hint="eastAsia"/>
        </w:rPr>
        <w:t>“13321”全产业链发展</w:t>
      </w:r>
      <w:r>
        <w:rPr>
          <w:rFonts w:hint="eastAsia"/>
          <w:lang w:val="en-US" w:eastAsia="zh-CN"/>
        </w:rPr>
        <w:t>模式：</w:t>
      </w:r>
      <w:r>
        <w:rPr>
          <w:rFonts w:hint="eastAsia"/>
        </w:rPr>
        <w:t>1个龙头企业</w:t>
      </w:r>
      <w:r>
        <w:rPr>
          <w:rFonts w:hint="eastAsia"/>
          <w:lang w:eastAsia="zh-CN"/>
        </w:rPr>
        <w:t>、</w:t>
      </w:r>
      <w:r>
        <w:rPr>
          <w:rFonts w:hint="eastAsia"/>
        </w:rPr>
        <w:t>3个特色园区</w:t>
      </w:r>
      <w:r>
        <w:rPr>
          <w:rFonts w:hint="eastAsia"/>
          <w:lang w:eastAsia="zh-CN"/>
        </w:rPr>
        <w:t>、</w:t>
      </w:r>
      <w:r>
        <w:rPr>
          <w:rFonts w:hint="eastAsia"/>
        </w:rPr>
        <w:t>3个支撑体系</w:t>
      </w:r>
      <w:r>
        <w:rPr>
          <w:rFonts w:hint="eastAsia"/>
          <w:lang w:eastAsia="zh-CN"/>
        </w:rPr>
        <w:t>、</w:t>
      </w:r>
      <w:r>
        <w:rPr>
          <w:rFonts w:hint="eastAsia"/>
        </w:rPr>
        <w:t>2个品牌平台</w:t>
      </w:r>
      <w:r>
        <w:rPr>
          <w:rFonts w:hint="eastAsia"/>
          <w:lang w:eastAsia="zh-CN"/>
        </w:rPr>
        <w:t>、</w:t>
      </w:r>
      <w:r>
        <w:rPr>
          <w:rFonts w:hint="eastAsia"/>
        </w:rPr>
        <w:t>1个循环模式</w:t>
      </w:r>
      <w:r>
        <w:rPr>
          <w:rFonts w:hint="eastAsia"/>
          <w:lang w:eastAsia="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3F2C33"/>
    <w:rsid w:val="0166793F"/>
    <w:rsid w:val="01AD20F4"/>
    <w:rsid w:val="01C50F86"/>
    <w:rsid w:val="02201D8C"/>
    <w:rsid w:val="030730AD"/>
    <w:rsid w:val="035B3173"/>
    <w:rsid w:val="041B77A2"/>
    <w:rsid w:val="045901A5"/>
    <w:rsid w:val="04EB280B"/>
    <w:rsid w:val="06185D67"/>
    <w:rsid w:val="07883D3D"/>
    <w:rsid w:val="079C4191"/>
    <w:rsid w:val="08DB7033"/>
    <w:rsid w:val="0AA040E9"/>
    <w:rsid w:val="0BA30B54"/>
    <w:rsid w:val="0BED6656"/>
    <w:rsid w:val="0CB60E3F"/>
    <w:rsid w:val="0D1E5D15"/>
    <w:rsid w:val="0D7731A8"/>
    <w:rsid w:val="0EA57424"/>
    <w:rsid w:val="10E4370F"/>
    <w:rsid w:val="10FE598E"/>
    <w:rsid w:val="115D0CBD"/>
    <w:rsid w:val="12E46E9F"/>
    <w:rsid w:val="14632D8A"/>
    <w:rsid w:val="149D79E1"/>
    <w:rsid w:val="18ED368B"/>
    <w:rsid w:val="1ABA17BD"/>
    <w:rsid w:val="1AE3230B"/>
    <w:rsid w:val="1CA8347B"/>
    <w:rsid w:val="1D6B0790"/>
    <w:rsid w:val="1F63358C"/>
    <w:rsid w:val="20F35F51"/>
    <w:rsid w:val="21E56D98"/>
    <w:rsid w:val="220426D8"/>
    <w:rsid w:val="23FF13A9"/>
    <w:rsid w:val="24AC7533"/>
    <w:rsid w:val="24EA410D"/>
    <w:rsid w:val="24FE032C"/>
    <w:rsid w:val="258E6E89"/>
    <w:rsid w:val="26230F09"/>
    <w:rsid w:val="2C363CBD"/>
    <w:rsid w:val="2CCB35BD"/>
    <w:rsid w:val="2DDE33CA"/>
    <w:rsid w:val="2E254102"/>
    <w:rsid w:val="2E601D2F"/>
    <w:rsid w:val="2F2F4605"/>
    <w:rsid w:val="2FA03FC4"/>
    <w:rsid w:val="2FE1399E"/>
    <w:rsid w:val="33677869"/>
    <w:rsid w:val="33BC72B7"/>
    <w:rsid w:val="371F15C9"/>
    <w:rsid w:val="374B6611"/>
    <w:rsid w:val="38506C33"/>
    <w:rsid w:val="38D013AA"/>
    <w:rsid w:val="3A8E16B1"/>
    <w:rsid w:val="3B0E2069"/>
    <w:rsid w:val="3BAC3D6F"/>
    <w:rsid w:val="3BD83493"/>
    <w:rsid w:val="3C2568AB"/>
    <w:rsid w:val="3C5E2A26"/>
    <w:rsid w:val="3D1067C0"/>
    <w:rsid w:val="3D32698E"/>
    <w:rsid w:val="407245EC"/>
    <w:rsid w:val="41790595"/>
    <w:rsid w:val="43770B04"/>
    <w:rsid w:val="456930AB"/>
    <w:rsid w:val="458D3152"/>
    <w:rsid w:val="459C4852"/>
    <w:rsid w:val="47AF4ADF"/>
    <w:rsid w:val="49EE316F"/>
    <w:rsid w:val="4A633B90"/>
    <w:rsid w:val="4B0C37B2"/>
    <w:rsid w:val="4B91557F"/>
    <w:rsid w:val="4B9C37FE"/>
    <w:rsid w:val="4CDC4912"/>
    <w:rsid w:val="4D16313C"/>
    <w:rsid w:val="4D7E57FA"/>
    <w:rsid w:val="4F7D3C20"/>
    <w:rsid w:val="50016C5B"/>
    <w:rsid w:val="506D7C7B"/>
    <w:rsid w:val="510D71FC"/>
    <w:rsid w:val="5139389D"/>
    <w:rsid w:val="51DF3A1A"/>
    <w:rsid w:val="534D2549"/>
    <w:rsid w:val="549B3E18"/>
    <w:rsid w:val="54AB2D04"/>
    <w:rsid w:val="54C53A5E"/>
    <w:rsid w:val="5512068D"/>
    <w:rsid w:val="56AF797A"/>
    <w:rsid w:val="56EA18C1"/>
    <w:rsid w:val="570A5ABF"/>
    <w:rsid w:val="57E31685"/>
    <w:rsid w:val="59A65066"/>
    <w:rsid w:val="59D4481A"/>
    <w:rsid w:val="5B3C2907"/>
    <w:rsid w:val="5BBD41BC"/>
    <w:rsid w:val="5C644D05"/>
    <w:rsid w:val="60FD6695"/>
    <w:rsid w:val="61AF16FF"/>
    <w:rsid w:val="64A70CB7"/>
    <w:rsid w:val="663E164A"/>
    <w:rsid w:val="66DB7082"/>
    <w:rsid w:val="676B2AE4"/>
    <w:rsid w:val="68C53F3C"/>
    <w:rsid w:val="69FA1E62"/>
    <w:rsid w:val="6AAF0D2D"/>
    <w:rsid w:val="6B392C38"/>
    <w:rsid w:val="6B7A2B71"/>
    <w:rsid w:val="6ECB392F"/>
    <w:rsid w:val="6FDF539A"/>
    <w:rsid w:val="705217BF"/>
    <w:rsid w:val="72C75AC8"/>
    <w:rsid w:val="73674DFC"/>
    <w:rsid w:val="749E5641"/>
    <w:rsid w:val="77100682"/>
    <w:rsid w:val="77182227"/>
    <w:rsid w:val="77B94518"/>
    <w:rsid w:val="7A15200F"/>
    <w:rsid w:val="7A8D418E"/>
    <w:rsid w:val="7ABB6F4D"/>
    <w:rsid w:val="7D424274"/>
    <w:rsid w:val="7E112AF5"/>
    <w:rsid w:val="7EED2764"/>
    <w:rsid w:val="7F0522CB"/>
    <w:rsid w:val="7F123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方正仿宋_GBK" w:cs="宋体"/>
      <w:kern w:val="2"/>
      <w:sz w:val="32"/>
      <w:szCs w:val="22"/>
      <w:lang w:val="en-US" w:eastAsia="zh-CN" w:bidi="ar-SA"/>
      <w14:ligatures w14:val="standardContextual"/>
    </w:rPr>
  </w:style>
  <w:style w:type="paragraph" w:styleId="2">
    <w:name w:val="heading 1"/>
    <w:basedOn w:val="3"/>
    <w:next w:val="1"/>
    <w:qFormat/>
    <w:uiPriority w:val="0"/>
    <w:pPr>
      <w:keepNext/>
      <w:keepLines/>
      <w:spacing w:beforeAutospacing="0" w:afterAutospacing="0" w:line="700" w:lineRule="exact"/>
      <w:ind w:firstLine="0" w:firstLineChars="0"/>
      <w:outlineLvl w:val="0"/>
    </w:pPr>
    <w:rPr>
      <w:kern w:val="44"/>
    </w:rPr>
  </w:style>
  <w:style w:type="paragraph" w:styleId="4">
    <w:name w:val="heading 2"/>
    <w:basedOn w:val="1"/>
    <w:next w:val="1"/>
    <w:link w:val="37"/>
    <w:qFormat/>
    <w:uiPriority w:val="0"/>
    <w:pPr>
      <w:keepNext/>
      <w:keepLines/>
      <w:spacing w:before="50" w:beforeLines="50" w:beforeAutospacing="0" w:after="50" w:afterLines="50" w:afterAutospacing="0" w:line="560" w:lineRule="exact"/>
      <w:ind w:firstLine="0" w:firstLineChars="0"/>
      <w:jc w:val="center"/>
      <w:outlineLvl w:val="1"/>
    </w:pPr>
    <w:rPr>
      <w:rFonts w:ascii="Times New Roman" w:hAnsi="Times New Roman" w:eastAsia="方正小标宋_GBK"/>
    </w:rPr>
  </w:style>
  <w:style w:type="paragraph" w:styleId="5">
    <w:name w:val="heading 3"/>
    <w:basedOn w:val="6"/>
    <w:next w:val="6"/>
    <w:qFormat/>
    <w:uiPriority w:val="9"/>
    <w:pPr>
      <w:keepNext w:val="0"/>
      <w:keepLines w:val="0"/>
      <w:adjustRightInd w:val="0"/>
      <w:snapToGrid w:val="0"/>
      <w:spacing w:before="50" w:beforeLines="50" w:beforeAutospacing="0" w:after="50" w:afterLines="50" w:afterAutospacing="0" w:line="560" w:lineRule="exact"/>
      <w:jc w:val="center"/>
      <w:outlineLvl w:val="2"/>
    </w:pPr>
    <w:rPr>
      <w:rFonts w:ascii="Times New Roman" w:hAnsi="Times New Roman" w:eastAsia="方正黑体_GBK"/>
    </w:rPr>
  </w:style>
  <w:style w:type="paragraph" w:styleId="7">
    <w:name w:val="heading 4"/>
    <w:basedOn w:val="1"/>
    <w:next w:val="1"/>
    <w:qFormat/>
    <w:uiPriority w:val="9"/>
    <w:pPr>
      <w:keepNext/>
      <w:keepLines/>
      <w:adjustRightInd w:val="0"/>
      <w:snapToGrid w:val="0"/>
      <w:spacing w:beforeAutospacing="0" w:afterAutospacing="0" w:line="560" w:lineRule="exact"/>
      <w:ind w:firstLine="0" w:firstLineChars="0"/>
      <w:jc w:val="center"/>
      <w:outlineLvl w:val="3"/>
    </w:pPr>
    <w:rPr>
      <w:rFonts w:ascii="Times New Roman" w:hAnsi="Times New Roman" w:eastAsia="方正楷体_GBK"/>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customStyle="1" w:styleId="3">
    <w:name w:val="样式1"/>
    <w:basedOn w:val="1"/>
    <w:qFormat/>
    <w:uiPriority w:val="0"/>
    <w:pPr>
      <w:adjustRightInd w:val="0"/>
      <w:snapToGrid w:val="0"/>
      <w:spacing w:line="700" w:lineRule="exact"/>
      <w:ind w:firstLine="0" w:firstLineChars="0"/>
      <w:jc w:val="center"/>
    </w:pPr>
    <w:rPr>
      <w:rFonts w:hint="eastAsia" w:ascii="Times New Roman" w:hAnsi="Times New Roman" w:eastAsia="方正小标宋_GBK"/>
      <w:sz w:val="44"/>
      <w:szCs w:val="44"/>
    </w:rPr>
  </w:style>
  <w:style w:type="paragraph" w:styleId="6">
    <w:name w:val="Body Text"/>
    <w:basedOn w:val="1"/>
    <w:next w:val="1"/>
    <w:qFormat/>
    <w:uiPriority w:val="0"/>
    <w:rPr>
      <w:rFonts w:cs="Times New Roman"/>
      <w:szCs w:val="21"/>
    </w:rPr>
  </w:style>
  <w:style w:type="paragraph" w:styleId="8">
    <w:name w:val="caption"/>
    <w:basedOn w:val="1"/>
    <w:next w:val="1"/>
    <w:qFormat/>
    <w:uiPriority w:val="35"/>
    <w:rPr>
      <w:rFonts w:ascii="Arial" w:hAnsi="Arial" w:eastAsia="黑体"/>
      <w:sz w:val="20"/>
    </w:rPr>
  </w:style>
  <w:style w:type="paragraph" w:styleId="9">
    <w:name w:val="toc 3"/>
    <w:basedOn w:val="1"/>
    <w:next w:val="1"/>
    <w:qFormat/>
    <w:uiPriority w:val="39"/>
    <w:pPr>
      <w:ind w:left="840" w:leftChars="4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4"/>
    <w:basedOn w:val="1"/>
    <w:next w:val="1"/>
    <w:qFormat/>
    <w:uiPriority w:val="39"/>
    <w:pPr>
      <w:ind w:left="1260" w:leftChars="600"/>
    </w:pPr>
  </w:style>
  <w:style w:type="paragraph" w:styleId="14">
    <w:name w:val="footnote text"/>
    <w:basedOn w:val="1"/>
    <w:qFormat/>
    <w:uiPriority w:val="99"/>
    <w:pPr>
      <w:snapToGrid w:val="0"/>
      <w:spacing w:line="240" w:lineRule="auto"/>
      <w:ind w:firstLine="0" w:firstLineChars="0"/>
      <w:jc w:val="left"/>
    </w:pPr>
    <w:rPr>
      <w:rFonts w:ascii="Times New Roman" w:hAnsi="Times New Roman"/>
      <w:sz w:val="18"/>
    </w:rPr>
  </w:style>
  <w:style w:type="paragraph" w:styleId="15">
    <w:name w:val="table of figures"/>
    <w:next w:val="1"/>
    <w:qFormat/>
    <w:uiPriority w:val="0"/>
    <w:pPr>
      <w:widowControl w:val="0"/>
      <w:spacing w:before="100" w:beforeAutospacing="1" w:after="100" w:afterAutospacing="1"/>
      <w:ind w:left="200" w:leftChars="200" w:hanging="200" w:hangingChars="200"/>
      <w:jc w:val="both"/>
    </w:pPr>
    <w:rPr>
      <w:rFonts w:ascii="Calibri" w:hAnsi="Calibri" w:eastAsia="Times New Roman" w:cs="Arial"/>
      <w:kern w:val="2"/>
      <w:sz w:val="21"/>
      <w:szCs w:val="22"/>
      <w:lang w:val="en-US" w:eastAsia="zh-CN" w:bidi="ar-SA"/>
    </w:rPr>
  </w:style>
  <w:style w:type="paragraph" w:styleId="16">
    <w:name w:val="toc 2"/>
    <w:basedOn w:val="1"/>
    <w:next w:val="1"/>
    <w:qFormat/>
    <w:uiPriority w:val="39"/>
    <w:pPr>
      <w:ind w:left="420" w:leftChars="200"/>
    </w:pPr>
  </w:style>
  <w:style w:type="paragraph" w:styleId="17">
    <w:name w:val="Normal (Web)"/>
    <w:basedOn w:val="1"/>
    <w:qFormat/>
    <w:uiPriority w:val="0"/>
    <w:pPr>
      <w:spacing w:before="0" w:beforeAutospacing="1" w:after="0" w:afterAutospacing="1"/>
      <w:ind w:left="0" w:right="0"/>
      <w:jc w:val="left"/>
    </w:pPr>
    <w:rPr>
      <w:kern w:val="0"/>
      <w:sz w:val="24"/>
      <w:lang w:val="en-US" w:eastAsia="zh-CN"/>
    </w:rPr>
  </w:style>
  <w:style w:type="paragraph" w:styleId="18">
    <w:name w:val="Title"/>
    <w:basedOn w:val="2"/>
    <w:next w:val="12"/>
    <w:qFormat/>
    <w:uiPriority w:val="0"/>
    <w:pPr>
      <w:spacing w:before="240" w:beforeAutospacing="0" w:after="60" w:afterAutospacing="0"/>
      <w:jc w:val="center"/>
      <w:outlineLvl w:val="0"/>
    </w:pPr>
    <w:rPr>
      <w:rFonts w:ascii="Arial" w:hAnsi="Arial"/>
      <w:b/>
      <w:sz w:val="32"/>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Hyperlink"/>
    <w:basedOn w:val="21"/>
    <w:qFormat/>
    <w:uiPriority w:val="99"/>
    <w:rPr>
      <w:color w:val="0000FF"/>
      <w:u w:val="single"/>
    </w:rPr>
  </w:style>
  <w:style w:type="character" w:styleId="24">
    <w:name w:val="footnote reference"/>
    <w:basedOn w:val="21"/>
    <w:qFormat/>
    <w:uiPriority w:val="99"/>
    <w:rPr>
      <w:vertAlign w:val="superscript"/>
    </w:rPr>
  </w:style>
  <w:style w:type="paragraph" w:customStyle="1" w:styleId="25">
    <w:name w:val="Normal New"/>
    <w:qFormat/>
    <w:uiPriority w:val="0"/>
    <w:pPr>
      <w:widowControl w:val="0"/>
      <w:jc w:val="both"/>
    </w:pPr>
    <w:rPr>
      <w:rFonts w:hint="eastAsia" w:ascii="Calibri" w:hAnsi="Calibri" w:eastAsia="宋体" w:cs="Times New Roman"/>
      <w:kern w:val="2"/>
      <w:sz w:val="21"/>
      <w:szCs w:val="22"/>
      <w:lang w:val="en-US" w:eastAsia="zh-CN" w:bidi="ar-SA"/>
    </w:rPr>
  </w:style>
  <w:style w:type="paragraph" w:customStyle="1" w:styleId="26">
    <w:name w:val="封面标题"/>
    <w:basedOn w:val="18"/>
    <w:qFormat/>
    <w:uiPriority w:val="0"/>
    <w:pPr>
      <w:spacing w:line="760" w:lineRule="exact"/>
    </w:pPr>
    <w:rPr>
      <w:rFonts w:ascii="Times New Roman" w:hAnsi="Times New Roman" w:eastAsia="方正小标宋_GBK"/>
      <w:b w:val="0"/>
      <w:sz w:val="44"/>
    </w:rPr>
  </w:style>
  <w:style w:type="paragraph" w:customStyle="1" w:styleId="27">
    <w:name w:val="一级标题"/>
    <w:basedOn w:val="1"/>
    <w:qFormat/>
    <w:uiPriority w:val="0"/>
    <w:pPr>
      <w:spacing w:line="560" w:lineRule="exact"/>
      <w:ind w:firstLine="640" w:firstLineChars="200"/>
    </w:pPr>
    <w:rPr>
      <w:rFonts w:ascii="Times New Roman" w:hAnsi="Times New Roman" w:eastAsia="方正黑体_GBK"/>
      <w:sz w:val="32"/>
    </w:rPr>
  </w:style>
  <w:style w:type="paragraph" w:customStyle="1" w:styleId="28">
    <w:name w:val="二级标题"/>
    <w:basedOn w:val="1"/>
    <w:qFormat/>
    <w:uiPriority w:val="0"/>
    <w:pPr>
      <w:spacing w:line="560" w:lineRule="exact"/>
      <w:ind w:firstLine="640" w:firstLineChars="200"/>
    </w:pPr>
    <w:rPr>
      <w:rFonts w:ascii="Times New Roman" w:hAnsi="Times New Roman" w:eastAsia="方正楷体_GBK"/>
      <w:sz w:val="32"/>
    </w:rPr>
  </w:style>
  <w:style w:type="paragraph" w:customStyle="1" w:styleId="29">
    <w:name w:val="三级标题"/>
    <w:basedOn w:val="1"/>
    <w:qFormat/>
    <w:uiPriority w:val="0"/>
    <w:pPr>
      <w:spacing w:line="560" w:lineRule="exact"/>
      <w:ind w:firstLine="640" w:firstLineChars="200"/>
    </w:pPr>
    <w:rPr>
      <w:rFonts w:ascii="Times New Roman" w:hAnsi="Times New Roman" w:eastAsia="方正仿宋_GBK"/>
      <w:b/>
      <w:sz w:val="32"/>
    </w:rPr>
  </w:style>
  <w:style w:type="paragraph" w:customStyle="1" w:styleId="30">
    <w:name w:val="参考政策"/>
    <w:basedOn w:val="1"/>
    <w:link w:val="34"/>
    <w:qFormat/>
    <w:uiPriority w:val="0"/>
    <w:pPr>
      <w:spacing w:line="240" w:lineRule="auto"/>
      <w:ind w:firstLine="640" w:firstLineChars="200"/>
      <w:jc w:val="left"/>
    </w:pPr>
    <w:rPr>
      <w:rFonts w:ascii="Times New Roman" w:hAnsi="Times New Roman"/>
    </w:rPr>
  </w:style>
  <w:style w:type="character" w:customStyle="1" w:styleId="31">
    <w:name w:val="font21"/>
    <w:basedOn w:val="21"/>
    <w:qFormat/>
    <w:uiPriority w:val="0"/>
    <w:rPr>
      <w:rFonts w:hint="eastAsia" w:ascii="方正仿宋_GBK" w:hAnsi="方正仿宋_GBK" w:eastAsia="方正仿宋_GBK" w:cs="方正仿宋_GBK"/>
      <w:color w:val="000000"/>
      <w:sz w:val="21"/>
      <w:szCs w:val="21"/>
      <w:u w:val="none"/>
    </w:rPr>
  </w:style>
  <w:style w:type="paragraph" w:customStyle="1" w:styleId="32">
    <w:name w:val="图表名称"/>
    <w:basedOn w:val="1"/>
    <w:qFormat/>
    <w:uiPriority w:val="0"/>
    <w:pPr>
      <w:ind w:firstLine="0" w:firstLineChars="0"/>
      <w:jc w:val="center"/>
    </w:pPr>
    <w:rPr>
      <w:rFonts w:eastAsia="黑体"/>
      <w:sz w:val="28"/>
    </w:rPr>
  </w:style>
  <w:style w:type="paragraph" w:customStyle="1" w:styleId="33">
    <w:name w:val="附件正文"/>
    <w:basedOn w:val="1"/>
    <w:qFormat/>
    <w:uiPriority w:val="0"/>
    <w:pPr>
      <w:spacing w:line="560" w:lineRule="exact"/>
      <w:ind w:firstLine="640" w:firstLineChars="200"/>
    </w:pPr>
    <w:rPr>
      <w:rFonts w:ascii="Times New Roman" w:hAnsi="Times New Roman" w:eastAsia="方正仿宋_GBK"/>
      <w:sz w:val="32"/>
    </w:rPr>
  </w:style>
  <w:style w:type="character" w:customStyle="1" w:styleId="34">
    <w:name w:val="123正文 Char"/>
    <w:link w:val="30"/>
    <w:qFormat/>
    <w:uiPriority w:val="0"/>
    <w:rPr>
      <w:rFonts w:ascii="Times New Roman" w:hAnsi="Times New Roman" w:eastAsia="方正仿宋_GBK"/>
      <w:sz w:val="32"/>
    </w:rPr>
  </w:style>
  <w:style w:type="paragraph" w:customStyle="1" w:styleId="35">
    <w:name w:val="表格标题"/>
    <w:basedOn w:val="1"/>
    <w:qFormat/>
    <w:uiPriority w:val="0"/>
    <w:pPr>
      <w:ind w:firstLine="0" w:firstLineChars="0"/>
      <w:jc w:val="center"/>
    </w:pPr>
    <w:rPr>
      <w:rFonts w:ascii="Times New Roman" w:hAnsi="Times New Roman" w:eastAsia="黑体" w:cs="Times New Roman"/>
      <w:sz w:val="28"/>
      <w:szCs w:val="28"/>
      <w:shd w:val="clear" w:color="auto" w:fill="auto"/>
    </w:rPr>
  </w:style>
  <w:style w:type="paragraph" w:customStyle="1" w:styleId="36">
    <w:name w:val="附件"/>
    <w:basedOn w:val="1"/>
    <w:qFormat/>
    <w:uiPriority w:val="0"/>
    <w:pPr>
      <w:snapToGrid w:val="0"/>
      <w:ind w:firstLine="0" w:firstLineChars="0"/>
      <w:outlineLvl w:val="0"/>
    </w:pPr>
    <w:rPr>
      <w:rFonts w:hint="eastAsia" w:ascii="方正黑体_GBK" w:hAnsi="方正黑体_GBK" w:eastAsia="方正黑体_GBK" w:cs="方正黑体_GBK"/>
      <w:szCs w:val="32"/>
    </w:rPr>
  </w:style>
  <w:style w:type="character" w:customStyle="1" w:styleId="37">
    <w:name w:val="标题 2 字符"/>
    <w:link w:val="4"/>
    <w:qFormat/>
    <w:uiPriority w:val="9"/>
    <w:rPr>
      <w:rFonts w:ascii="Times New Roman" w:hAnsi="Times New Roman" w:eastAsia="方正小标宋_GBK"/>
    </w:rPr>
  </w:style>
  <w:style w:type="paragraph" w:customStyle="1" w:styleId="38">
    <w:name w:val="目录2"/>
    <w:basedOn w:val="1"/>
    <w:next w:val="1"/>
    <w:qFormat/>
    <w:uiPriority w:val="0"/>
    <w:pPr>
      <w:keepNext/>
      <w:keepLines/>
      <w:spacing w:line="560" w:lineRule="exact"/>
      <w:jc w:val="center"/>
      <w:outlineLvl w:val="1"/>
    </w:pPr>
    <w:rPr>
      <w:rFonts w:hint="eastAsia" w:ascii="楷体" w:hAnsi="楷体" w:eastAsia="楷体" w:cs="楷体"/>
      <w:b/>
      <w:bCs/>
      <w:sz w:val="32"/>
      <w:szCs w:val="32"/>
    </w:rPr>
  </w:style>
  <w:style w:type="character" w:customStyle="1" w:styleId="39">
    <w:name w:val="font41"/>
    <w:basedOn w:val="21"/>
    <w:qFormat/>
    <w:uiPriority w:val="0"/>
    <w:rPr>
      <w:rFonts w:hint="default" w:ascii="DejaVu Sans" w:hAnsi="DejaVu Sans" w:eastAsia="DejaVu Sans" w:cs="DejaVu Sans"/>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ac1439c4-c716-4f6c-b483-350469aa3107</errorID>
      <errorWord>双碳</errorWord>
      <group>L1_Political</group>
      <groupName>政治性问题</groupName>
      <ability>L2_Keyword</ability>
      <abilityName>固定表述</abilityName>
      <candidateList>
        <item>“双碳”</item>
      </candidateList>
      <explain>注意检查当前固定表述标点是否使用规范。</explain>
      <paraID>4F6FCBE6</paraID>
      <start>44</start>
      <end>46</end>
      <status>ignored</status>
      <modifiedWord/>
      <trackRevisions>false</trackRevisions>
    </reviewItem>
    <reviewItem>
      <errorID>dff2b35c-531f-46ab-acd0-1589f3d3257e</errorID>
      <errorWord>融入和服务全国统一大市场</errorWord>
      <group>L1_Political</group>
      <groupName>政治性问题</groupName>
      <ability>L2_Keyword</ability>
      <abilityName>固定表述</abilityName>
      <candidateList>
        <item>融入服务全国统一大市场</item>
      </candidateList>
      <explain>词汇“融入服务全国统一大市场”在特定场景下为固定表述形式，请确认此处的“融入和服务全国统一大市场”是否存在不当。</explain>
      <paraID>3AD15ECC</paraID>
      <start>47</start>
      <end>59</end>
      <status>ignored</status>
      <modifiedWord/>
      <trackRevisions>false</trackRevisions>
    </reviewItem>
    <reviewItem>
      <errorID>48973ecf-b797-4812-b516-c4fe270cc166</errorID>
      <errorWord>农畜产品精深加工</errorWord>
      <group>L1_Political</group>
      <groupName>政治性问题</groupName>
      <ability>L2_Keyword</ability>
      <abilityName>固定表述</abilityName>
      <candidateList>
        <item>农产品精深加工</item>
      </candidateList>
      <explain>词汇“农产品精深加工”在特定场景下为固定表述形式，请确认此处的“农畜产品精深加工”是否存在不当。</explain>
      <paraID> 82647CB</paraID>
      <start>87</start>
      <end>95</end>
      <status>ignored</status>
      <modifiedWord/>
      <trackRevisions>false</trackRevisions>
    </reviewItem>
    <reviewItem>
      <errorID>3dcd7a2c-0523-4409-91bd-550e6aff7aa2</errorID>
      <errorWord>&gt;</errorWord>
      <group>L1_Punc</group>
      <groupName>标点问题</groupName>
      <ability>L2_Punc</ability>
      <abilityName>标点符号检查</abilityName>
      <candidateList/>
      <explain/>
      <paraID>21EA1804</paraID>
      <start>0</start>
      <end>1</end>
      <status>ignored</status>
      <modifiedWord/>
      <trackRevisions>false</trackRevisions>
    </reviewItem>
    <reviewItem>
      <errorID>7105014c-647d-4f45-a322-f408c6385541</errorID>
      <errorWord>&gt;</errorWord>
      <group>L1_Punc</group>
      <groupName>标点问题</groupName>
      <ability>L2_Punc</ability>
      <abilityName>标点符号检查</abilityName>
      <candidateList/>
      <explain/>
      <paraID>290AD91C</paraID>
      <start>0</start>
      <end>1</end>
      <status>ignored</status>
      <modifiedWord/>
      <trackRevisions>false</trackRevisions>
    </reviewItem>
    <reviewItem>
      <errorID>245f268c-0bd5-4358-8000-c18363919bc7</errorID>
      <errorWord>全力夯实粮食安全根基</errorWord>
      <group>L1_Political</group>
      <groupName>政治性问题</groupName>
      <ability>L2_Keyword</ability>
      <abilityName>固定表述</abilityName>
      <candidateList>
        <item>全方位夯实粮食安全根基</item>
      </candidateList>
      <explain>词汇“全方位夯实粮食安全根基”在特定场景下为固定表述形式，请确认此处的“全力夯实粮食安全根基”是否存在不当。</explain>
      <paraID>2BD475C5</paraID>
      <start>5</start>
      <end>15</end>
      <status>ignored</status>
      <modifiedWord/>
      <trackRevisions>false</trackRevisions>
    </reviewItem>
    <reviewItem>
      <errorID>b87eb879-f737-4f1c-86d2-b6b2136e1260</errorID>
      <errorWord>农赞”区域公用品牌</errorWord>
      <group>L1_Political</group>
      <groupName>政治性问题</groupName>
      <ability>L2_Keyword</ability>
      <abilityName>固定表述</abilityName>
      <candidateList>
        <item>农产品区域公用品牌</item>
      </candidateList>
      <explain>词汇“农产品区域公用品牌”在特定场景下为固定表述形式，请确认此处的“农赞”区域公用品牌”是否存在不当。</explain>
      <paraID> 56ABECD</paraID>
      <start>130</start>
      <end>139</end>
      <status>ignored</status>
      <modifiedWord/>
      <trackRevisions>false</trackRevisions>
    </reviewItem>
    <reviewItem>
      <errorID>d1d1938b-cb99-4bb2-8aeb-b29bf3b52d50</errorID>
      <errorWord>“三权”分置</errorWord>
      <group>L1_Political</group>
      <groupName>政治性问题</groupName>
      <ability>L2_Keyword</ability>
      <abilityName>固定表述</abilityName>
      <candidateList>
        <item>“三权分置”</item>
      </candidateList>
      <explain>注意检查当前固定表述标点是否使用规范。</explain>
      <paraID>4172FDED</paraID>
      <start>74</start>
      <end>80</end>
      <status>ignored</status>
      <modifiedWord/>
      <trackRevisions>false</trackRevisions>
    </reviewItem>
    <reviewItem>
      <errorID>e3888297-2896-451f-b5cb-57f429a0bf09</errorID>
      <errorWord>智慧化升级</errorWord>
      <group>L1_Political</group>
      <groupName>政治性问题</groupName>
      <ability>L2_Keyword</ability>
      <abilityName>固定表述</abilityName>
      <candidateList>
        <item>智能化升级</item>
      </candidateList>
      <explain>词汇“智能化升级”在特定场景下为固定表述形式，请确认此处的“智慧化升级”是否存在不当。</explain>
      <paraID>4F0BF5A4</paraID>
      <start>228</start>
      <end>233</end>
      <status>ignored</status>
      <modifiedWord/>
      <trackRevisions>false</trackRevisions>
    </reviewItem>
    <reviewItem>
      <errorID>14c0228f-5fb4-452e-b056-f27687fb62a0</errorID>
      <errorWord>农业产业化服务体系</errorWord>
      <group>L1_Political</group>
      <groupName>政治性问题</groupName>
      <ability>L2_Keyword</ability>
      <abilityName>固定表述</abilityName>
      <candidateList>
        <item>农业社会化服务体系</item>
      </candidateList>
      <explain>词汇“农业社会化服务体系”在特定场景下为固定表述形式，请确认此处的“农业产业化服务体系”是否存在不当。</explain>
      <paraID> 514E37E</paraID>
      <start>190</start>
      <end>199</end>
      <status>ignored</status>
      <modifiedWord/>
      <trackRevisions>false</trackRevisions>
    </reviewItem>
    <reviewItem>
      <errorID>5ea7493c-0993-4369-9fcd-a0f0d8d688e2</errorID>
      <errorWord>创新驱动战略</errorWord>
      <group>L1_Political</group>
      <groupName>政治性问题</groupName>
      <ability>L2_Unpolitical</ability>
      <abilityName>政治敏感错误</abilityName>
      <candidateList>
        <item>创新驱动发展战略</item>
      </candidateList>
      <explain/>
      <paraID>468EE58B</paraID>
      <start>8</start>
      <end>14</end>
      <status>ignored</status>
      <modifiedWord/>
      <trackRevisions>false</trackRevisions>
    </reviewItem>
    <reviewItem>
      <errorID>d95d263e-e929-4dbf-8e01-7f72f4b2bad8</errorID>
      <errorWord>、</errorWord>
      <group>L1_Word</group>
      <groupName>字词问题</groupName>
      <ability>L2_Typo</ability>
      <abilityName>字词错误</abilityName>
      <candidateList>
        <item>、具</item>
      </candidateList>
      <explain/>
      <paraID>2B0C0B95</paraID>
      <start>134</start>
      <end>135</end>
      <status>ignored</status>
      <modifiedWord/>
      <trackRevisions>false</trackRevisions>
    </reviewItem>
    <reviewItem>
      <errorID>83279afc-4389-4607-937f-1e517d98e1e3</errorID>
      <errorWord>农畜产品精深加工</errorWord>
      <group>L1_Political</group>
      <groupName>政治性问题</groupName>
      <ability>L2_Keyword</ability>
      <abilityName>固定表述</abilityName>
      <candidateList>
        <item>农产品精深加工</item>
      </candidateList>
      <explain>词汇“农产品精深加工”在特定场景下为固定表述形式，请确认此处的“农畜产品精深加工”是否存在不当。</explain>
      <paraID>31BE5842</paraID>
      <start>326</start>
      <end>334</end>
      <status>ignored</status>
      <modifiedWord/>
      <trackRevisions>false</trackRevisions>
    </reviewItem>
    <reviewItem>
      <errorID>717079d6-b309-49b9-8efb-c06fc8d15902</errorID>
      <errorWord>、和</errorWord>
      <group>L1_Punc</group>
      <groupName>标点问题</groupName>
      <ability>L2_Punc</ability>
      <abilityName>标点符号检查</abilityName>
      <candidateList>
        <item>和</item>
      </candidateList>
      <explain>“及”“和”“等”连词前不宜使用顿号，建议删除（或使用逗号）。</explain>
      <paraID>54934E26</paraID>
      <start>162</start>
      <end>164</end>
      <status>ignored</status>
      <modifiedWord/>
      <trackRevisions>false</trackRevisions>
    </reviewItem>
    <reviewItem>
      <errorID>12f0e98d-102c-481e-b8a1-d0bf7d5c4f5f</errorID>
      <errorWord>达</errorWord>
      <group>L1_Word</group>
      <groupName>字词问题</groupName>
      <ability>L2_Typo</ability>
      <abilityName>字词错误</abilityName>
      <candidateList>
        <item>达到</item>
      </candidateList>
      <explain>〈动〉到（多指抽象事物或程度）：达得到｜达不到｜目的没有～｜～国际水平。</explain>
      <paraID>58336CA2</paraID>
      <start>46</start>
      <end>47</end>
      <status>ignored</status>
      <modifiedWord/>
      <trackRevisions>false</trackRevisions>
    </reviewItem>
    <reviewItem>
      <errorID>0353c0d5-0bef-4692-a753-4e0d7514656d</errorID>
      <errorWord>要素市场配置</errorWord>
      <group>L1_Word</group>
      <groupName>字词问题</groupName>
      <ability>L2_Typo</ability>
      <abilityName>字词错误</abilityName>
      <candidateList>
        <item>要素市场化配置</item>
      </candidateList>
      <explain/>
      <paraID>231BE13E</paraID>
      <start>7</start>
      <end>13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1f020d-4b29-49e8-9edb-5cb220b6ee10}">
  <ds:schemaRefs/>
</ds:datastoreItem>
</file>

<file path=docProps/app.xml><?xml version="1.0" encoding="utf-8"?>
<Properties xmlns="http://schemas.openxmlformats.org/officeDocument/2006/extended-properties" xmlns:vt="http://schemas.openxmlformats.org/officeDocument/2006/docPropsVTypes">
  <Template>Normal.dotm</Template>
  <Pages>90</Pages>
  <Words>8975</Words>
  <Characters>9248</Characters>
  <Paragraphs>590</Paragraphs>
  <TotalTime>18</TotalTime>
  <ScaleCrop>false</ScaleCrop>
  <LinksUpToDate>false</LinksUpToDate>
  <CharactersWithSpaces>9449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2023-10-26T07:22:00Z</dcterms:created>
  <dc:creator>EDY</dc:creator>
  <cp:lastModifiedBy>zy</cp:lastModifiedBy>
  <dcterms:modified xsi:type="dcterms:W3CDTF">2026-05-25T02:11:23Z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71C5365E61774249AD47C0D661D72F51_13</vt:lpwstr>
  </property>
  <property fmtid="{D5CDD505-2E9C-101B-9397-08002B2CF9AE}" pid="4" name="KSOTemplateDocerSaveRecord">
    <vt:lpwstr>eyJoZGlkIjoiOWE5MDE1NTMyOTVhMDVjYmJiOWQ0MGQwYTgxNzY3YWEiLCJ1c2VySWQiOiIzNTExMzgwMzMifQ==</vt:lpwstr>
  </property>
</Properties>
</file>