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B4344">
      <w:pPr>
        <w:jc w:val="center"/>
        <w:rPr>
          <w:rFonts w:hint="eastAsia" w:asciiTheme="majorEastAsia" w:hAnsiTheme="majorEastAsia" w:eastAsiaTheme="majorEastAsia"/>
          <w:b/>
          <w:sz w:val="44"/>
          <w:szCs w:val="44"/>
        </w:rPr>
      </w:pPr>
      <w:r>
        <w:rPr>
          <w:rFonts w:ascii="Times New Roman" w:hAnsi="Times New Roman"/>
          <w:kern w:val="0"/>
          <w:sz w:val="22"/>
        </w:rPr>
        <w:pict>
          <v:shape id="艺术字 4" o:spid="_x0000_s1027" o:spt="136" type="#_x0000_t136" style="position:absolute;left:0pt;margin-left:-6.9pt;margin-top:-8.05pt;height:75pt;width:427.35pt;z-index:251659264;mso-width-relative:page;mso-height-relative:page;" fillcolor="#FF0000" filled="t" stroked="t" coordsize="21600,21600" adj="10800">
            <v:path/>
            <v:fill on="t" color2="#FFFFFF" focussize="0,0"/>
            <v:stroke color="#FF0000"/>
            <v:imagedata o:title=""/>
            <o:lock v:ext="edit" aspectratio="f"/>
            <v:textpath on="t" fitshape="t" fitpath="t" trim="t" xscale="f" string="长春市绿园区民政局文件" style="font-family:宋体;font-size:36pt;v-text-align:center;"/>
          </v:shape>
        </w:pict>
      </w:r>
    </w:p>
    <w:p w14:paraId="50E5717A">
      <w:pPr>
        <w:jc w:val="center"/>
        <w:rPr>
          <w:rFonts w:hint="eastAsia" w:asciiTheme="majorEastAsia" w:hAnsiTheme="majorEastAsia" w:eastAsiaTheme="majorEastAsia"/>
          <w:b/>
          <w:sz w:val="44"/>
          <w:szCs w:val="44"/>
        </w:rPr>
      </w:pPr>
    </w:p>
    <w:p w14:paraId="1DAE3A95">
      <w:pPr>
        <w:jc w:val="center"/>
        <w:rPr>
          <w:rFonts w:hint="eastAsia" w:asciiTheme="majorEastAsia" w:hAnsiTheme="majorEastAsia" w:eastAsiaTheme="majorEastAsia"/>
          <w:b/>
          <w:sz w:val="44"/>
          <w:szCs w:val="44"/>
        </w:rPr>
      </w:pPr>
    </w:p>
    <w:p w14:paraId="0C4DC953">
      <w:pPr>
        <w:pStyle w:val="2"/>
        <w:jc w:val="center"/>
        <w:rPr>
          <w:rFonts w:eastAsia="仿宋_GB2312" w:asciiTheme="majorEastAsia" w:hAnsiTheme="majorEastAsia" w:cstheme="majorEastAsia"/>
          <w:b/>
          <w:bCs/>
          <w:sz w:val="44"/>
          <w:szCs w:val="44"/>
        </w:rPr>
      </w:pPr>
      <w:r>
        <w:rPr>
          <w:rFonts w:hint="eastAsia" w:ascii="仿宋_GB2312" w:eastAsia="仿宋_GB2312"/>
          <w:sz w:val="32"/>
          <w:szCs w:val="32"/>
        </w:rPr>
        <w:t>长绿民发</w:t>
      </w:r>
      <w:r>
        <w:rPr>
          <w:sz w:val="32"/>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437515</wp:posOffset>
                </wp:positionV>
                <wp:extent cx="5638800" cy="0"/>
                <wp:effectExtent l="0" t="10795" r="0" b="11430"/>
                <wp:wrapNone/>
                <wp:docPr id="3" name="直接连接符 3"/>
                <wp:cNvGraphicFramePr/>
                <a:graphic xmlns:a="http://schemas.openxmlformats.org/drawingml/2006/main">
                  <a:graphicData uri="http://schemas.microsoft.com/office/word/2010/wordprocessingShape">
                    <wps:wsp>
                      <wps:cNvCnPr/>
                      <wps:spPr>
                        <a:xfrm>
                          <a:off x="937260" y="4147185"/>
                          <a:ext cx="5638800" cy="0"/>
                        </a:xfrm>
                        <a:prstGeom prst="line">
                          <a:avLst/>
                        </a:prstGeom>
                        <a:ln w="22225">
                          <a:solidFill>
                            <a:srgbClr val="FF0000"/>
                          </a:solidFill>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5.55pt;margin-top:34.45pt;height:0pt;width:444pt;z-index:251660288;mso-width-relative:page;mso-height-relative:page;" filled="f" stroked="t" coordsize="21600,21600" o:gfxdata="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N7QSNYAAAAJAQAADwAAAAAAAAABACAAAAAiAAAAZHJzL2Rvd25yZXYueG1sUEsBAhQAFAAAAAgA&#10;h07iQK+F0fTuAQAAtAMAAA4AAAAAAAAAAQAgAAAAJQEAAGRycy9lMm9Eb2MueG1sUEsFBgAAAAAG&#10;AAYAWQEAAIUFAAAAAA==&#10;">
                <v:fill on="f" focussize="0,0"/>
                <v:stroke weight="1.75pt" color="#FF0000 [3200]" joinstyle="round"/>
                <v:imagedata o:title=""/>
                <o:lock v:ext="edit" aspectratio="f"/>
              </v:line>
            </w:pict>
          </mc:Fallback>
        </mc:AlternateContent>
      </w:r>
      <w:r>
        <w:rPr>
          <w:rFonts w:hint="eastAsia" w:ascii="仿宋_GB2312" w:hAnsi="仿宋_GB2312" w:eastAsia="仿宋_GB2312" w:cs="仿宋_GB2312"/>
          <w:sz w:val="32"/>
          <w:szCs w:val="32"/>
          <w:lang w:val="en-US" w:eastAsia="zh-CN"/>
        </w:rPr>
        <w:t>〔</w:t>
      </w:r>
      <w:r>
        <w:rPr>
          <w:rFonts w:hint="eastAsia" w:ascii="仿宋_GB2312" w:eastAsia="仿宋_GB2312"/>
          <w:sz w:val="32"/>
          <w:szCs w:val="32"/>
          <w:lang w:val="en-US" w:eastAsia="zh-CN"/>
        </w:rPr>
        <w:t>2025</w:t>
      </w:r>
      <w:r>
        <w:rPr>
          <w:rFonts w:hint="eastAsia" w:ascii="仿宋_GB2312" w:hAnsi="仿宋_GB2312" w:eastAsia="仿宋_GB2312" w:cs="仿宋_GB2312"/>
          <w:sz w:val="32"/>
          <w:szCs w:val="32"/>
          <w:lang w:val="en-US" w:eastAsia="zh-CN"/>
        </w:rPr>
        <w:t>〕</w:t>
      </w:r>
      <w:r>
        <w:rPr>
          <w:rFonts w:hint="eastAsia" w:ascii="仿宋_GB2312" w:eastAsia="仿宋_GB2312"/>
          <w:sz w:val="32"/>
          <w:szCs w:val="32"/>
          <w:lang w:val="en-US" w:eastAsia="zh-CN"/>
        </w:rPr>
        <w:t>6</w:t>
      </w:r>
      <w:r>
        <w:rPr>
          <w:rFonts w:hint="eastAsia" w:ascii="仿宋_GB2312" w:eastAsia="仿宋_GB2312"/>
          <w:sz w:val="32"/>
          <w:szCs w:val="32"/>
        </w:rPr>
        <w:t>号</w:t>
      </w:r>
    </w:p>
    <w:p w14:paraId="55C9229F">
      <w:pPr>
        <w:jc w:val="both"/>
        <w:rPr>
          <w:rFonts w:hint="eastAsia" w:asciiTheme="majorEastAsia" w:hAnsiTheme="majorEastAsia" w:eastAsiaTheme="majorEastAsia"/>
          <w:b/>
          <w:sz w:val="44"/>
          <w:szCs w:val="44"/>
        </w:rPr>
      </w:pPr>
    </w:p>
    <w:p w14:paraId="4602AC36">
      <w:pPr>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长春市绿园区民政局关于开展银发经济及康养产业链项目征集备案工作的通知</w:t>
      </w:r>
    </w:p>
    <w:p w14:paraId="122BD080">
      <w:pPr>
        <w:rPr>
          <w:rFonts w:ascii="仿宋" w:hAnsi="仿宋" w:eastAsia="仿宋"/>
          <w:sz w:val="32"/>
          <w:szCs w:val="32"/>
        </w:rPr>
      </w:pPr>
    </w:p>
    <w:p w14:paraId="33B58AED">
      <w:pPr>
        <w:rPr>
          <w:rFonts w:ascii="仿宋" w:hAnsi="仿宋" w:eastAsia="仿宋"/>
          <w:sz w:val="32"/>
          <w:szCs w:val="32"/>
        </w:rPr>
      </w:pPr>
      <w:r>
        <w:rPr>
          <w:rFonts w:hint="eastAsia" w:ascii="仿宋" w:hAnsi="仿宋" w:eastAsia="仿宋"/>
          <w:sz w:val="32"/>
          <w:szCs w:val="32"/>
        </w:rPr>
        <w:t>各街道办事处、乡镇人民政府，区属相关企业，驻区养老服务机构，各企事业单位、社会组织及社会各界：</w:t>
      </w:r>
    </w:p>
    <w:p w14:paraId="47A42AB1">
      <w:pPr>
        <w:ind w:firstLine="640" w:firstLineChars="200"/>
        <w:rPr>
          <w:rFonts w:ascii="仿宋" w:hAnsi="仿宋" w:eastAsia="仿宋"/>
          <w:sz w:val="32"/>
          <w:szCs w:val="32"/>
        </w:rPr>
      </w:pPr>
      <w:r>
        <w:rPr>
          <w:rFonts w:hint="eastAsia" w:ascii="仿宋" w:hAnsi="仿宋" w:eastAsia="仿宋"/>
          <w:sz w:val="32"/>
          <w:szCs w:val="32"/>
        </w:rPr>
        <w:t>为深入贯彻落实国家关于发展银发经济的决策部署，深化养老服务改革，加快推动养老事业和养老产业高质量协调发展，进一步提升我区养老服务水平和康养产业竞争力，现面向社会公开征集银发经济及康养产业链项目，并开展备案工作。具体事项通知如下：</w:t>
      </w:r>
    </w:p>
    <w:p w14:paraId="62D2694F">
      <w:pPr>
        <w:ind w:firstLine="640" w:firstLineChars="200"/>
        <w:rPr>
          <w:rFonts w:ascii="黑体" w:hAnsi="黑体" w:eastAsia="黑体"/>
          <w:sz w:val="32"/>
          <w:szCs w:val="32"/>
        </w:rPr>
      </w:pPr>
      <w:r>
        <w:rPr>
          <w:rFonts w:hint="eastAsia" w:ascii="黑体" w:hAnsi="黑体" w:eastAsia="黑体"/>
          <w:sz w:val="32"/>
          <w:szCs w:val="32"/>
        </w:rPr>
        <w:t>一、备案目的</w:t>
      </w:r>
    </w:p>
    <w:p w14:paraId="55708DC4">
      <w:pPr>
        <w:ind w:firstLine="640" w:firstLineChars="200"/>
        <w:rPr>
          <w:rFonts w:ascii="仿宋" w:hAnsi="仿宋" w:eastAsia="仿宋"/>
          <w:sz w:val="32"/>
          <w:szCs w:val="32"/>
        </w:rPr>
      </w:pPr>
      <w:r>
        <w:rPr>
          <w:rFonts w:hint="eastAsia" w:ascii="仿宋" w:hAnsi="仿宋" w:eastAsia="仿宋"/>
          <w:sz w:val="32"/>
          <w:szCs w:val="32"/>
        </w:rPr>
        <w:t>通过广泛征集优质项目，整合社会资源，推动银发经济与康养产业链深度融合，培育新业态、新模式，提升绿园区养老服务供给能力，满足老年人多层次、多样化的健康养老需求，助力雁鸣湖康养产业拓展片区建设，助推绿园区康养产业链高质量发展。</w:t>
      </w:r>
    </w:p>
    <w:p w14:paraId="4C239659">
      <w:pPr>
        <w:ind w:firstLine="640" w:firstLineChars="200"/>
        <w:rPr>
          <w:rFonts w:ascii="黑体" w:hAnsi="黑体" w:eastAsia="黑体"/>
          <w:sz w:val="32"/>
          <w:szCs w:val="32"/>
        </w:rPr>
      </w:pPr>
      <w:r>
        <w:rPr>
          <w:rFonts w:hint="eastAsia" w:ascii="黑体" w:hAnsi="黑体" w:eastAsia="黑体"/>
          <w:sz w:val="32"/>
          <w:szCs w:val="32"/>
        </w:rPr>
        <w:t>二、征集项目范围</w:t>
      </w:r>
    </w:p>
    <w:p w14:paraId="33B68D4C">
      <w:pPr>
        <w:ind w:firstLine="640" w:firstLineChars="200"/>
        <w:rPr>
          <w:rFonts w:ascii="仿宋" w:hAnsi="仿宋" w:eastAsia="仿宋"/>
          <w:sz w:val="32"/>
          <w:szCs w:val="32"/>
        </w:rPr>
      </w:pPr>
      <w:r>
        <w:rPr>
          <w:rFonts w:hint="eastAsia" w:ascii="仿宋" w:hAnsi="仿宋" w:eastAsia="仿宋"/>
          <w:sz w:val="32"/>
          <w:szCs w:val="32"/>
        </w:rPr>
        <w:t>健康医疗产业、养老服务产业、老年用品产业、金融保险产业、文化娱乐产业、房地产产业、</w:t>
      </w:r>
      <w:r>
        <w:rPr>
          <w:rFonts w:hint="eastAsia" w:ascii="仿宋" w:hAnsi="仿宋" w:eastAsia="仿宋"/>
          <w:sz w:val="32"/>
          <w:szCs w:val="32"/>
          <w:lang w:eastAsia="zh-CN"/>
        </w:rPr>
        <w:t>科技</w:t>
      </w:r>
      <w:r>
        <w:rPr>
          <w:rFonts w:hint="eastAsia" w:ascii="仿宋" w:hAnsi="仿宋" w:eastAsia="仿宋"/>
          <w:sz w:val="32"/>
          <w:szCs w:val="32"/>
        </w:rPr>
        <w:t>与互联网产业、其他相关产业。具体业态参见文后附件3。</w:t>
      </w:r>
    </w:p>
    <w:p w14:paraId="297F2CD2">
      <w:pPr>
        <w:ind w:firstLine="640" w:firstLineChars="200"/>
        <w:rPr>
          <w:rFonts w:ascii="黑体" w:hAnsi="黑体" w:eastAsia="黑体"/>
          <w:sz w:val="32"/>
          <w:szCs w:val="32"/>
        </w:rPr>
      </w:pPr>
      <w:r>
        <w:rPr>
          <w:rFonts w:hint="eastAsia" w:ascii="黑体" w:hAnsi="黑体" w:eastAsia="黑体"/>
          <w:sz w:val="32"/>
          <w:szCs w:val="32"/>
        </w:rPr>
        <w:t>三、申报条件</w:t>
      </w:r>
    </w:p>
    <w:p w14:paraId="6535B5C8">
      <w:pPr>
        <w:ind w:firstLine="640" w:firstLineChars="200"/>
        <w:rPr>
          <w:rFonts w:ascii="仿宋" w:hAnsi="仿宋" w:eastAsia="仿宋"/>
          <w:sz w:val="32"/>
          <w:szCs w:val="32"/>
        </w:rPr>
      </w:pPr>
      <w:r>
        <w:rPr>
          <w:rFonts w:hint="eastAsia" w:ascii="楷体" w:hAnsi="楷体" w:eastAsia="楷体"/>
          <w:sz w:val="32"/>
          <w:szCs w:val="32"/>
        </w:rPr>
        <w:t>（一）申报主体：</w:t>
      </w:r>
      <w:r>
        <w:rPr>
          <w:rFonts w:hint="eastAsia" w:ascii="仿宋" w:hAnsi="仿宋" w:eastAsia="仿宋"/>
          <w:sz w:val="32"/>
          <w:szCs w:val="32"/>
        </w:rPr>
        <w:t>企事业单位、社会组织、科研机构、高等院校、个人等均可申报。</w:t>
      </w:r>
    </w:p>
    <w:p w14:paraId="361F1587">
      <w:pPr>
        <w:ind w:firstLine="640" w:firstLineChars="200"/>
        <w:rPr>
          <w:rFonts w:ascii="楷体" w:hAnsi="楷体" w:eastAsia="楷体"/>
          <w:sz w:val="32"/>
          <w:szCs w:val="32"/>
        </w:rPr>
      </w:pPr>
      <w:r>
        <w:rPr>
          <w:rFonts w:hint="eastAsia" w:ascii="楷体" w:hAnsi="楷体" w:eastAsia="楷体"/>
          <w:sz w:val="32"/>
          <w:szCs w:val="32"/>
        </w:rPr>
        <w:t>（二）备案项目要求：</w:t>
      </w:r>
    </w:p>
    <w:p w14:paraId="002FE367">
      <w:pPr>
        <w:ind w:firstLine="640" w:firstLineChars="200"/>
        <w:rPr>
          <w:rFonts w:ascii="仿宋" w:hAnsi="仿宋" w:eastAsia="仿宋"/>
          <w:sz w:val="32"/>
          <w:szCs w:val="32"/>
        </w:rPr>
      </w:pPr>
      <w:r>
        <w:rPr>
          <w:rFonts w:hint="eastAsia" w:ascii="仿宋" w:hAnsi="仿宋" w:eastAsia="仿宋"/>
          <w:sz w:val="32"/>
          <w:szCs w:val="32"/>
        </w:rPr>
        <w:t>1、项目应具有创新性、可行性和示范性；</w:t>
      </w:r>
    </w:p>
    <w:p w14:paraId="24BF3DC4">
      <w:pPr>
        <w:ind w:firstLine="640" w:firstLineChars="200"/>
        <w:rPr>
          <w:rFonts w:ascii="仿宋" w:hAnsi="仿宋" w:eastAsia="仿宋"/>
          <w:sz w:val="32"/>
          <w:szCs w:val="32"/>
        </w:rPr>
      </w:pPr>
      <w:r>
        <w:rPr>
          <w:rFonts w:hint="eastAsia" w:ascii="仿宋" w:hAnsi="仿宋" w:eastAsia="仿宋"/>
          <w:sz w:val="32"/>
          <w:szCs w:val="32"/>
        </w:rPr>
        <w:t>2、项目能体现新技术、新模式应用，能够有效推动银发经济发展和康养产业升级；</w:t>
      </w:r>
    </w:p>
    <w:p w14:paraId="3C0AAAE8">
      <w:pPr>
        <w:ind w:firstLine="640" w:firstLineChars="200"/>
        <w:rPr>
          <w:rFonts w:ascii="仿宋" w:hAnsi="仿宋" w:eastAsia="仿宋"/>
          <w:sz w:val="32"/>
          <w:szCs w:val="32"/>
        </w:rPr>
      </w:pPr>
      <w:r>
        <w:rPr>
          <w:rFonts w:hint="eastAsia" w:ascii="仿宋" w:hAnsi="仿宋" w:eastAsia="仿宋"/>
          <w:sz w:val="32"/>
          <w:szCs w:val="32"/>
        </w:rPr>
        <w:t>3、项目需符合国家及吉林省养老产业政策导向；</w:t>
      </w:r>
    </w:p>
    <w:p w14:paraId="3C9D6EC6">
      <w:pPr>
        <w:ind w:firstLine="640" w:firstLineChars="200"/>
        <w:rPr>
          <w:rFonts w:ascii="仿宋" w:hAnsi="仿宋" w:eastAsia="仿宋"/>
          <w:sz w:val="32"/>
          <w:szCs w:val="32"/>
        </w:rPr>
      </w:pPr>
      <w:r>
        <w:rPr>
          <w:rFonts w:hint="eastAsia" w:ascii="仿宋" w:hAnsi="仿宋" w:eastAsia="仿宋"/>
          <w:sz w:val="32"/>
          <w:szCs w:val="32"/>
        </w:rPr>
        <w:t>4</w:t>
      </w:r>
      <w:r>
        <w:rPr>
          <w:rFonts w:hint="eastAsia" w:ascii="仿宋" w:hAnsi="仿宋" w:eastAsia="仿宋"/>
          <w:sz w:val="32"/>
          <w:szCs w:val="32"/>
          <w:lang w:eastAsia="zh-CN"/>
        </w:rPr>
        <w:t>、</w:t>
      </w:r>
      <w:r>
        <w:rPr>
          <w:rFonts w:hint="eastAsia" w:ascii="仿宋" w:hAnsi="仿宋" w:eastAsia="仿宋"/>
          <w:sz w:val="32"/>
          <w:szCs w:val="32"/>
        </w:rPr>
        <w:t>具有明确的社会效益和市场化运营策略。</w:t>
      </w:r>
    </w:p>
    <w:p w14:paraId="767F02F1">
      <w:pPr>
        <w:ind w:firstLine="640" w:firstLineChars="200"/>
        <w:rPr>
          <w:rFonts w:ascii="仿宋" w:hAnsi="仿宋" w:eastAsia="仿宋"/>
          <w:sz w:val="32"/>
          <w:szCs w:val="32"/>
        </w:rPr>
      </w:pPr>
      <w:r>
        <w:rPr>
          <w:rFonts w:hint="eastAsia" w:ascii="楷体" w:hAnsi="楷体" w:eastAsia="楷体"/>
          <w:sz w:val="32"/>
          <w:szCs w:val="32"/>
        </w:rPr>
        <w:t>（三）实施周期：</w:t>
      </w:r>
      <w:r>
        <w:rPr>
          <w:rFonts w:hint="eastAsia" w:ascii="仿宋" w:hAnsi="仿宋" w:eastAsia="仿宋"/>
          <w:sz w:val="32"/>
          <w:szCs w:val="32"/>
        </w:rPr>
        <w:t>项目应明确实施周期，原则上不超过三年。</w:t>
      </w:r>
    </w:p>
    <w:p w14:paraId="4F7AB40C">
      <w:pPr>
        <w:ind w:firstLine="640" w:firstLineChars="200"/>
        <w:rPr>
          <w:rFonts w:ascii="仿宋" w:hAnsi="仿宋" w:eastAsia="仿宋"/>
          <w:sz w:val="32"/>
          <w:szCs w:val="32"/>
        </w:rPr>
      </w:pPr>
      <w:r>
        <w:rPr>
          <w:rFonts w:hint="eastAsia" w:ascii="楷体" w:hAnsi="楷体" w:eastAsia="楷体"/>
          <w:sz w:val="32"/>
          <w:szCs w:val="32"/>
        </w:rPr>
        <w:t>（四）资金保障：</w:t>
      </w:r>
      <w:r>
        <w:rPr>
          <w:rFonts w:hint="eastAsia" w:ascii="仿宋" w:hAnsi="仿宋" w:eastAsia="仿宋"/>
          <w:sz w:val="32"/>
          <w:szCs w:val="32"/>
        </w:rPr>
        <w:t>项目应具备一定的资金保障能力，鼓励社会资本参与。</w:t>
      </w:r>
    </w:p>
    <w:p w14:paraId="54F7183F">
      <w:pPr>
        <w:ind w:firstLine="640" w:firstLineChars="200"/>
        <w:rPr>
          <w:rFonts w:ascii="黑体" w:hAnsi="黑体" w:eastAsia="黑体"/>
          <w:sz w:val="32"/>
          <w:szCs w:val="32"/>
        </w:rPr>
      </w:pPr>
      <w:r>
        <w:rPr>
          <w:rFonts w:hint="eastAsia" w:ascii="黑体" w:hAnsi="黑体" w:eastAsia="黑体"/>
          <w:sz w:val="32"/>
          <w:szCs w:val="32"/>
        </w:rPr>
        <w:t>四、申报备案方式</w:t>
      </w:r>
    </w:p>
    <w:p w14:paraId="1A49A3FA">
      <w:pPr>
        <w:ind w:firstLine="640" w:firstLineChars="200"/>
        <w:rPr>
          <w:rFonts w:ascii="仿宋" w:hAnsi="仿宋" w:eastAsia="仿宋"/>
          <w:sz w:val="32"/>
          <w:szCs w:val="32"/>
        </w:rPr>
      </w:pPr>
      <w:r>
        <w:rPr>
          <w:rFonts w:hint="eastAsia" w:ascii="楷体" w:hAnsi="楷体" w:eastAsia="楷体"/>
          <w:sz w:val="32"/>
          <w:szCs w:val="32"/>
        </w:rPr>
        <w:t>（一）自主申报。</w:t>
      </w:r>
      <w:bookmarkStart w:id="0" w:name="OLE_LINK2"/>
      <w:bookmarkStart w:id="1" w:name="OLE_LINK1"/>
      <w:r>
        <w:rPr>
          <w:rFonts w:hint="eastAsia" w:ascii="仿宋" w:hAnsi="仿宋" w:eastAsia="仿宋"/>
          <w:sz w:val="32"/>
          <w:szCs w:val="32"/>
        </w:rPr>
        <w:t>申报单位或个人填写《绿园区银发经济及康养产业链项目基本情况备案表》（附件1）、《绿园区银发经济及康养产业链项目汇总表》（附件2），准备纸质项目方案及项目说明PPT</w:t>
      </w:r>
      <w:bookmarkEnd w:id="0"/>
      <w:bookmarkEnd w:id="1"/>
      <w:r>
        <w:rPr>
          <w:rFonts w:hint="eastAsia" w:ascii="仿宋" w:hAnsi="仿宋" w:eastAsia="仿宋"/>
          <w:sz w:val="32"/>
          <w:szCs w:val="32"/>
        </w:rPr>
        <w:t>（电子版）后，直接报送区民政局。</w:t>
      </w:r>
    </w:p>
    <w:p w14:paraId="405B93DB">
      <w:pPr>
        <w:ind w:firstLine="640" w:firstLineChars="200"/>
        <w:rPr>
          <w:rFonts w:ascii="仿宋" w:hAnsi="仿宋" w:eastAsia="仿宋"/>
          <w:sz w:val="32"/>
          <w:szCs w:val="32"/>
        </w:rPr>
      </w:pPr>
      <w:r>
        <w:rPr>
          <w:rFonts w:hint="eastAsia" w:ascii="楷体" w:hAnsi="楷体" w:eastAsia="楷体"/>
          <w:sz w:val="32"/>
          <w:szCs w:val="32"/>
        </w:rPr>
        <w:t>（二）联合申报。</w:t>
      </w:r>
      <w:r>
        <w:rPr>
          <w:rFonts w:hint="eastAsia" w:ascii="仿宋" w:hAnsi="仿宋" w:eastAsia="仿宋"/>
          <w:sz w:val="32"/>
          <w:szCs w:val="32"/>
        </w:rPr>
        <w:t>由镇街推荐的项目，可由申报单位或个人联合意向合作的镇政府、街道办事处联合申报。申报单位或个人填写《绿园区银发经济及康养产业链项目基本情况备案表》（附件1），《绿园区银发经济及康养产业链项目汇总表》（附件2），准备纸质项目方案及项目说明PPT（电子版）后，由合作镇街报送至区民政局。</w:t>
      </w:r>
    </w:p>
    <w:p w14:paraId="4883EFDD">
      <w:pPr>
        <w:ind w:firstLine="640" w:firstLineChars="200"/>
        <w:rPr>
          <w:rFonts w:ascii="黑体" w:hAnsi="黑体" w:eastAsia="黑体"/>
          <w:sz w:val="32"/>
          <w:szCs w:val="32"/>
        </w:rPr>
      </w:pPr>
      <w:r>
        <w:rPr>
          <w:rFonts w:hint="eastAsia" w:ascii="黑体" w:hAnsi="黑体" w:eastAsia="黑体"/>
          <w:sz w:val="32"/>
          <w:szCs w:val="32"/>
        </w:rPr>
        <w:t>五、申报时限及地点</w:t>
      </w:r>
    </w:p>
    <w:p w14:paraId="5C81FC26">
      <w:pPr>
        <w:ind w:firstLine="640" w:firstLineChars="200"/>
        <w:rPr>
          <w:rFonts w:ascii="仿宋" w:hAnsi="仿宋" w:eastAsia="仿宋"/>
          <w:sz w:val="32"/>
          <w:szCs w:val="32"/>
        </w:rPr>
      </w:pPr>
      <w:r>
        <w:rPr>
          <w:rFonts w:hint="eastAsia" w:ascii="仿宋" w:hAnsi="仿宋" w:eastAsia="仿宋"/>
          <w:sz w:val="32"/>
          <w:szCs w:val="32"/>
        </w:rPr>
        <w:t>本轮申报期限自本通知发布之日起至2025年3月11日截止。项目纸质版及电子版材料报送至绿园区民政局养老和老龄科（地址：长春市绿园区和平大街2288号八楼836室）</w:t>
      </w:r>
    </w:p>
    <w:p w14:paraId="147FDF5D">
      <w:pPr>
        <w:ind w:firstLine="640" w:firstLineChars="200"/>
        <w:rPr>
          <w:rFonts w:hint="eastAsia" w:ascii="仿宋" w:hAnsi="仿宋" w:eastAsia="仿宋"/>
          <w:sz w:val="32"/>
          <w:szCs w:val="32"/>
        </w:rPr>
      </w:pPr>
      <w:r>
        <w:rPr>
          <w:rFonts w:hint="eastAsia" w:ascii="仿宋" w:hAnsi="仿宋" w:eastAsia="仿宋"/>
          <w:sz w:val="32"/>
          <w:szCs w:val="32"/>
        </w:rPr>
        <w:t>联系人：牟铁成，联系电话15764331555。</w:t>
      </w:r>
    </w:p>
    <w:p w14:paraId="34C92CED">
      <w:pPr>
        <w:ind w:firstLine="640" w:firstLineChars="200"/>
        <w:rPr>
          <w:rFonts w:ascii="仿宋" w:hAnsi="仿宋" w:eastAsia="仿宋"/>
          <w:sz w:val="32"/>
          <w:szCs w:val="32"/>
        </w:rPr>
      </w:pPr>
      <w:r>
        <w:rPr>
          <w:rFonts w:hint="eastAsia" w:ascii="仿宋" w:hAnsi="仿宋" w:eastAsia="仿宋"/>
          <w:sz w:val="32"/>
          <w:szCs w:val="32"/>
        </w:rPr>
        <w:t>附件:</w:t>
      </w:r>
      <w:r>
        <w:rPr>
          <w:rFonts w:hint="eastAsia"/>
        </w:rPr>
        <w:t xml:space="preserve"> </w:t>
      </w:r>
      <w:r>
        <w:rPr>
          <w:rFonts w:hint="eastAsia" w:ascii="仿宋" w:hAnsi="仿宋" w:eastAsia="仿宋"/>
          <w:sz w:val="32"/>
          <w:szCs w:val="32"/>
        </w:rPr>
        <w:t>1.</w:t>
      </w:r>
      <w:r>
        <w:rPr>
          <w:rFonts w:hint="eastAsia" w:ascii="仿宋" w:hAnsi="仿宋" w:eastAsia="仿宋"/>
          <w:spacing w:val="-14"/>
          <w:sz w:val="32"/>
          <w:szCs w:val="32"/>
        </w:rPr>
        <w:t>绿园区银发经济及康养产业链项目基本情况备案表</w:t>
      </w:r>
    </w:p>
    <w:p w14:paraId="1E2E29D6">
      <w:pPr>
        <w:ind w:firstLine="1558" w:firstLineChars="487"/>
        <w:rPr>
          <w:rFonts w:ascii="仿宋" w:hAnsi="仿宋" w:eastAsia="仿宋"/>
          <w:sz w:val="32"/>
          <w:szCs w:val="32"/>
        </w:rPr>
      </w:pPr>
      <w:r>
        <w:rPr>
          <w:rFonts w:hint="eastAsia" w:ascii="仿宋" w:hAnsi="仿宋" w:eastAsia="仿宋"/>
          <w:sz w:val="32"/>
          <w:szCs w:val="32"/>
        </w:rPr>
        <w:t>2.绿园区银发经济及康养产业链项目汇总表</w:t>
      </w:r>
    </w:p>
    <w:p w14:paraId="3A278248">
      <w:pPr>
        <w:ind w:firstLine="1558" w:firstLineChars="487"/>
        <w:rPr>
          <w:rFonts w:ascii="仿宋" w:hAnsi="仿宋" w:eastAsia="仿宋"/>
          <w:sz w:val="32"/>
          <w:szCs w:val="32"/>
        </w:rPr>
      </w:pPr>
      <w:r>
        <w:rPr>
          <w:rFonts w:hint="eastAsia" w:ascii="仿宋" w:hAnsi="仿宋" w:eastAsia="仿宋"/>
          <w:sz w:val="32"/>
          <w:szCs w:val="32"/>
        </w:rPr>
        <w:t>3.绿园区银发经济涉及产业及相关业态参考</w:t>
      </w:r>
    </w:p>
    <w:p w14:paraId="115758CC">
      <w:pPr>
        <w:rPr>
          <w:rFonts w:ascii="仿宋" w:hAnsi="仿宋" w:eastAsia="仿宋"/>
          <w:sz w:val="32"/>
          <w:szCs w:val="32"/>
        </w:rPr>
      </w:pPr>
    </w:p>
    <w:p w14:paraId="30DC45C9">
      <w:pPr>
        <w:rPr>
          <w:rFonts w:ascii="仿宋" w:hAnsi="仿宋" w:eastAsia="仿宋"/>
          <w:sz w:val="32"/>
          <w:szCs w:val="32"/>
        </w:rPr>
      </w:pPr>
    </w:p>
    <w:p w14:paraId="45AC189F">
      <w:pPr>
        <w:ind w:firstLine="4800" w:firstLineChars="1500"/>
        <w:jc w:val="right"/>
        <w:rPr>
          <w:rFonts w:ascii="仿宋" w:hAnsi="仿宋" w:eastAsia="仿宋"/>
          <w:sz w:val="32"/>
          <w:szCs w:val="32"/>
        </w:rPr>
      </w:pPr>
      <w:r>
        <w:rPr>
          <w:rFonts w:hint="eastAsia" w:ascii="仿宋" w:hAnsi="仿宋" w:eastAsia="仿宋"/>
          <w:sz w:val="32"/>
          <w:szCs w:val="32"/>
        </w:rPr>
        <w:t>长春市绿园区民政局</w:t>
      </w:r>
    </w:p>
    <w:p w14:paraId="69FBEE3C">
      <w:pPr>
        <w:ind w:firstLine="4960" w:firstLineChars="1550"/>
        <w:jc w:val="right"/>
        <w:rPr>
          <w:rFonts w:ascii="仿宋" w:hAnsi="仿宋" w:eastAsia="仿宋"/>
          <w:sz w:val="32"/>
          <w:szCs w:val="32"/>
        </w:rPr>
      </w:pPr>
      <w:r>
        <w:rPr>
          <w:rFonts w:hint="eastAsia" w:ascii="仿宋" w:hAnsi="仿宋" w:eastAsia="仿宋"/>
          <w:sz w:val="32"/>
          <w:szCs w:val="32"/>
        </w:rPr>
        <w:t>2025年2月</w:t>
      </w:r>
      <w:r>
        <w:rPr>
          <w:rFonts w:hint="eastAsia" w:ascii="仿宋" w:hAnsi="仿宋" w:eastAsia="仿宋"/>
          <w:sz w:val="32"/>
          <w:szCs w:val="32"/>
          <w:lang w:val="en-US" w:eastAsia="zh-CN"/>
        </w:rPr>
        <w:t>25</w:t>
      </w:r>
      <w:r>
        <w:rPr>
          <w:rFonts w:hint="eastAsia" w:ascii="仿宋" w:hAnsi="仿宋" w:eastAsia="仿宋"/>
          <w:sz w:val="32"/>
          <w:szCs w:val="32"/>
        </w:rPr>
        <w:t>日</w:t>
      </w:r>
    </w:p>
    <w:p w14:paraId="0BEB4025">
      <w:pPr>
        <w:rPr>
          <w:rFonts w:ascii="仿宋" w:hAnsi="仿宋" w:eastAsia="仿宋"/>
          <w:sz w:val="32"/>
          <w:szCs w:val="32"/>
        </w:rPr>
      </w:pPr>
    </w:p>
    <w:p w14:paraId="6673957C">
      <w:pPr>
        <w:rPr>
          <w:rFonts w:ascii="仿宋" w:hAnsi="仿宋" w:eastAsia="仿宋"/>
          <w:sz w:val="32"/>
          <w:szCs w:val="32"/>
        </w:rPr>
      </w:pPr>
      <w:bookmarkStart w:id="2" w:name="_GoBack"/>
      <w:bookmarkEnd w:id="2"/>
    </w:p>
    <w:p w14:paraId="3B5D0C53">
      <w:pPr>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1025495"/>
      <w:docPartObj>
        <w:docPartGallery w:val="autotext"/>
      </w:docPartObj>
    </w:sdtPr>
    <w:sdtContent>
      <w:p w14:paraId="024AFBD9">
        <w:pPr>
          <w:pStyle w:val="3"/>
          <w:jc w:val="center"/>
        </w:pPr>
        <w:r>
          <w:fldChar w:fldCharType="begin"/>
        </w:r>
        <w:r>
          <w:instrText xml:space="preserve">PAGE   \* MERGEFORMAT</w:instrText>
        </w:r>
        <w:r>
          <w:fldChar w:fldCharType="separate"/>
        </w:r>
        <w:r>
          <w:rPr>
            <w:lang w:val="zh-CN"/>
          </w:rPr>
          <w:t>3</w:t>
        </w:r>
        <w:r>
          <w:fldChar w:fldCharType="end"/>
        </w:r>
      </w:p>
    </w:sdtContent>
  </w:sdt>
  <w:p w14:paraId="482DEB3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427"/>
    <w:rsid w:val="0008115B"/>
    <w:rsid w:val="00291B3D"/>
    <w:rsid w:val="003D2502"/>
    <w:rsid w:val="004145D7"/>
    <w:rsid w:val="00530427"/>
    <w:rsid w:val="005E6FE2"/>
    <w:rsid w:val="006B058B"/>
    <w:rsid w:val="00717D5B"/>
    <w:rsid w:val="009B0431"/>
    <w:rsid w:val="00AE3D0E"/>
    <w:rsid w:val="00C11E1B"/>
    <w:rsid w:val="00C41E45"/>
    <w:rsid w:val="00FA54A9"/>
    <w:rsid w:val="02B50726"/>
    <w:rsid w:val="08122176"/>
    <w:rsid w:val="0D181FDD"/>
    <w:rsid w:val="105A290D"/>
    <w:rsid w:val="13517FF7"/>
    <w:rsid w:val="13BA0394"/>
    <w:rsid w:val="22F8223D"/>
    <w:rsid w:val="2D650C3E"/>
    <w:rsid w:val="2DE735DA"/>
    <w:rsid w:val="3FD669FF"/>
    <w:rsid w:val="4B645E12"/>
    <w:rsid w:val="4D333CEE"/>
    <w:rsid w:val="4FD33566"/>
    <w:rsid w:val="54414F42"/>
    <w:rsid w:val="551C5291"/>
    <w:rsid w:val="5C1967A5"/>
    <w:rsid w:val="5EDC705C"/>
    <w:rsid w:val="630E6937"/>
    <w:rsid w:val="649E3CEB"/>
    <w:rsid w:val="65F71905"/>
    <w:rsid w:val="69146C72"/>
    <w:rsid w:val="6CCD33BF"/>
    <w:rsid w:val="6DEE5CE3"/>
    <w:rsid w:val="6FB24AEE"/>
    <w:rsid w:val="787E7C64"/>
    <w:rsid w:val="7B494559"/>
    <w:rsid w:val="7B7A6E08"/>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1039</Words>
  <Characters>1072</Characters>
  <Lines>8</Lines>
  <Paragraphs>2</Paragraphs>
  <TotalTime>142</TotalTime>
  <ScaleCrop>false</ScaleCrop>
  <LinksUpToDate>false</LinksUpToDate>
  <CharactersWithSpaces>1073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2025-02-18T06:36:00Z</dcterms:created>
  <dc:creator>admin</dc:creator>
  <cp:lastModifiedBy>MMMM</cp:lastModifiedBy>
  <cp:lastPrinted>2025-02-25T04:22:48Z</cp:lastPrinted>
  <dcterms:modified xsi:type="dcterms:W3CDTF">2025-02-25T06:07:46Z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eyJoZGlkIjoiNjI3NjEzZDUzMTMwZTg4YWVjMDk5NWFmMjRkNDEyYTIiLCJ1c2VySWQiOiIxNTY2NjEzNTM5In0=</vt:lpwstr>
  </property>
  <property fmtid="{D5CDD505-2E9C-101B-9397-08002B2CF9AE}" pid="3" name="KSOProductBuildVer">
    <vt:lpwstr>2052-12.1.0.19302</vt:lpwstr>
  </property>
  <property fmtid="{D5CDD505-2E9C-101B-9397-08002B2CF9AE}" pid="4" name="ICV">
    <vt:lpwstr>9810EACD89E3419BA232C7A1C0F7429A_12</vt:lpwstr>
  </property>
</Properties>
</file>