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w w:val="18"/>
          <w:sz w:val="180"/>
          <w:szCs w:val="180"/>
          <w:lang w:val="en-US" w:eastAsia="zh-CN"/>
        </w:rPr>
      </w:pPr>
      <w:r>
        <w:rPr>
          <w:rFonts w:hint="eastAsia" w:ascii="方正小标宋简体" w:hAnsi="方正小标宋简体" w:eastAsia="方正小标宋简体" w:cs="方正小标宋简体"/>
          <w:color w:val="FF0000"/>
          <w:w w:val="18"/>
          <w:sz w:val="180"/>
          <w:szCs w:val="180"/>
          <w:lang w:val="en-US" w:eastAsia="zh-CN"/>
        </w:rPr>
        <w:t>长春莲花山生态旅游度假区政务服务和数字化建设管理局</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w w:val="100"/>
          <w:sz w:val="32"/>
          <w:szCs w:val="32"/>
          <w:lang w:val="en-US" w:eastAsia="zh-CN"/>
        </w:rPr>
        <w:t>长莲政数</w:t>
      </w:r>
      <w:r>
        <w:rPr>
          <w:rFonts w:hint="eastAsia" w:ascii="仿宋_GB2312" w:hAnsi="仿宋_GB2312" w:eastAsia="仿宋_GB2312" w:cs="仿宋_GB2312"/>
          <w:color w:val="000000"/>
          <w:kern w:val="0"/>
          <w:sz w:val="32"/>
          <w:szCs w:val="32"/>
          <w:lang w:val="en-US" w:eastAsia="zh-CN" w:bidi="ar"/>
        </w:rPr>
        <w:t>〔2020〕5号                  签发人：徐涛</w:t>
      </w:r>
    </w:p>
    <w:p>
      <w:pPr>
        <w:keepNext w:val="0"/>
        <w:keepLines w:val="0"/>
        <w:widowControl/>
        <w:suppressLineNumbers w:val="0"/>
        <w:ind w:firstLine="624" w:firstLineChars="200"/>
        <w:jc w:val="left"/>
        <w:rPr>
          <w:rFonts w:hint="eastAsia" w:ascii="仿宋_GB2312" w:hAnsi="仿宋_GB2312" w:eastAsia="仿宋_GB2312" w:cs="仿宋_GB2312"/>
          <w:color w:val="000000"/>
          <w:kern w:val="0"/>
          <w:sz w:val="32"/>
          <w:szCs w:val="32"/>
          <w:lang w:val="en-US" w:eastAsia="zh-CN" w:bidi="ar"/>
        </w:rPr>
      </w:pPr>
      <w:r>
        <w:rPr>
          <w:rFonts w:ascii="仿宋_GB2312" w:eastAsia="仿宋_GB2312"/>
          <w:spacing w:val="-4"/>
          <w:sz w:val="32"/>
          <w:szCs w:val="32"/>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111125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5pt;margin-top:8.75pt;height:0pt;width:441pt;z-index:251660288;mso-width-relative:page;mso-height-relative:page;" filled="f" stroked="t" coordsize="21600,21600" o:gfxdata="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4tGdfUAAAACAEAAA8A&#10;AAAAAAAAAQAgAAAAIgAAAGRycy9kb3ducmV2LnhtbFBLAQIUABQAAAAIAIdO4kBKquBT4gEAAKUD&#10;AAAOAAAAAAAAAAEAIAAAACMBAABkcnMvZTJvRG9jLnhtbFBLBQYAAAAABgAGAFkBAAB3BQAAAAA=&#10;">
                <v:fill on="f" focussize="0,0"/>
                <v:stroke weight="1.25pt" color="#FF0000" joinstyle="round"/>
                <v:imagedata o:title=""/>
                <o:lock v:ext="edit" aspectratio="f"/>
              </v:line>
            </w:pict>
          </mc:Fallback>
        </mc:AlternateContent>
      </w:r>
    </w:p>
    <w:p>
      <w:pPr>
        <w:pStyle w:val="3"/>
        <w:ind w:lef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华文中宋" w:eastAsia="方正小标宋简体" w:cs="宋体"/>
          <w:w w:val="90"/>
          <w:kern w:val="0"/>
          <w:sz w:val="44"/>
          <w:szCs w:val="44"/>
          <w:lang w:val="en-US" w:eastAsia="zh-CN" w:bidi="ar-SA"/>
        </w:rPr>
        <w:t>长春莲花山生态旅游度假区            全面推进基层政务公开标准化规范化工作实施方案</w:t>
      </w:r>
      <w:r>
        <w:rPr>
          <w:rFonts w:hint="eastAsia" w:ascii="方正小标宋简体" w:hAnsi="方正小标宋简体" w:eastAsia="方正小标宋简体" w:cs="方正小标宋简体"/>
          <w:sz w:val="44"/>
          <w:szCs w:val="44"/>
          <w:lang w:val="en-US" w:eastAsia="zh-CN"/>
        </w:rPr>
        <w:t>》的通知</w:t>
      </w:r>
    </w:p>
    <w:p>
      <w:pPr>
        <w:shd w:val="clear" w:color="auto" w:fill="FFFFFF"/>
        <w:spacing w:line="560" w:lineRule="exact"/>
        <w:rPr>
          <w:rFonts w:hint="eastAsia" w:ascii="仿宋_GB2312" w:hAnsi="仿宋_GB2312" w:eastAsia="仿宋_GB2312" w:cs="仿宋_GB2312"/>
          <w:color w:val="000000"/>
          <w:kern w:val="0"/>
          <w:sz w:val="32"/>
          <w:szCs w:val="32"/>
        </w:rPr>
      </w:pPr>
    </w:p>
    <w:p>
      <w:pPr>
        <w:shd w:val="clear" w:color="auto" w:fill="FFFFFF"/>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各乡镇，各</w:t>
      </w:r>
      <w:r>
        <w:rPr>
          <w:rFonts w:hint="eastAsia" w:ascii="仿宋_GB2312" w:hAnsi="仿宋_GB2312" w:eastAsia="仿宋_GB2312" w:cs="仿宋_GB2312"/>
          <w:color w:val="000000"/>
          <w:kern w:val="0"/>
          <w:sz w:val="32"/>
          <w:szCs w:val="32"/>
          <w:lang w:eastAsia="zh-CN"/>
        </w:rPr>
        <w:t>有关部门</w:t>
      </w:r>
      <w:r>
        <w:rPr>
          <w:rFonts w:hint="eastAsia" w:ascii="仿宋_GB2312" w:hAnsi="仿宋_GB2312" w:eastAsia="仿宋_GB2312" w:cs="仿宋_GB2312"/>
          <w:color w:val="000000"/>
          <w:kern w:val="0"/>
          <w:sz w:val="32"/>
          <w:szCs w:val="32"/>
        </w:rPr>
        <w:t>：</w:t>
      </w:r>
    </w:p>
    <w:p>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现将《</w:t>
      </w:r>
      <w:r>
        <w:rPr>
          <w:rFonts w:hint="eastAsia" w:ascii="仿宋_GB2312" w:hAnsi="仿宋_GB2312" w:eastAsia="仿宋_GB2312" w:cs="仿宋_GB2312"/>
          <w:color w:val="000000"/>
          <w:kern w:val="0"/>
          <w:sz w:val="32"/>
          <w:szCs w:val="32"/>
          <w:lang w:val="en-US" w:eastAsia="zh-CN"/>
        </w:rPr>
        <w:t>长春莲花山生态旅游度假区全面推进基层政务公开标准化规范化工作实施方案</w:t>
      </w:r>
      <w:r>
        <w:rPr>
          <w:rFonts w:hint="eastAsia" w:ascii="仿宋_GB2312" w:hAnsi="仿宋_GB2312" w:eastAsia="仿宋_GB2312" w:cs="仿宋_GB2312"/>
          <w:color w:val="000000"/>
          <w:kern w:val="0"/>
          <w:sz w:val="32"/>
          <w:szCs w:val="32"/>
        </w:rPr>
        <w:t>》印发给你们，请认真贯彻落实。</w:t>
      </w:r>
    </w:p>
    <w:p>
      <w:pPr>
        <w:shd w:val="clear" w:color="auto" w:fill="FFFFFF"/>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shd w:val="clear" w:color="auto" w:fill="FFFFFF"/>
        <w:spacing w:line="560" w:lineRule="exact"/>
        <w:rPr>
          <w:rFonts w:hint="eastAsia" w:ascii="仿宋_GB2312" w:hAnsi="仿宋_GB2312" w:eastAsia="仿宋_GB2312" w:cs="仿宋_GB2312"/>
          <w:color w:val="000000"/>
          <w:kern w:val="0"/>
          <w:sz w:val="32"/>
          <w:szCs w:val="32"/>
        </w:rPr>
      </w:pP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0" w:firstLineChars="200"/>
        <w:jc w:val="both"/>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长春莲花山生态旅游度假区政务服务和数字化建设管理局</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3840" w:firstLineChars="1200"/>
        <w:jc w:val="both"/>
        <w:textAlignment w:val="auto"/>
        <w:rPr>
          <w:rFonts w:hint="default" w:ascii="仿宋_GB2312" w:hAnsi="宋体" w:eastAsia="仿宋_GB2312" w:cs="宋体"/>
          <w:b w:val="0"/>
          <w:bCs w:val="0"/>
          <w:kern w:val="0"/>
          <w:sz w:val="32"/>
          <w:szCs w:val="32"/>
          <w:lang w:val="en-US" w:eastAsia="zh-CN" w:bidi="ar-SA"/>
        </w:rPr>
        <w:sectPr>
          <w:footerReference r:id="rId3" w:type="default"/>
          <w:pgSz w:w="11910" w:h="16840"/>
          <w:pgMar w:top="2098" w:right="1304" w:bottom="1928" w:left="1304" w:header="720" w:footer="975" w:gutter="0"/>
          <w:pgNumType w:start="1"/>
        </w:sectPr>
      </w:pPr>
      <w:r>
        <w:rPr>
          <w:rFonts w:hint="eastAsia" w:ascii="仿宋_GB2312" w:hAnsi="宋体" w:eastAsia="仿宋_GB2312" w:cs="宋体"/>
          <w:b w:val="0"/>
          <w:bCs w:val="0"/>
          <w:kern w:val="0"/>
          <w:sz w:val="32"/>
          <w:szCs w:val="32"/>
          <w:lang w:val="en-US" w:eastAsia="zh-CN" w:bidi="ar-SA"/>
        </w:rPr>
        <w:t>2020年6月16日</w:t>
      </w:r>
    </w:p>
    <w:p>
      <w:pPr>
        <w:pStyle w:val="3"/>
        <w:ind w:left="0"/>
        <w:jc w:val="center"/>
        <w:rPr>
          <w:rFonts w:hint="eastAsia" w:ascii="方正小标宋简体" w:hAnsi="华文中宋" w:eastAsia="方正小标宋简体" w:cs="宋体"/>
          <w:w w:val="9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hint="eastAsia" w:ascii="方正小标宋简体" w:hAnsi="华文中宋" w:eastAsia="方正小标宋简体" w:cs="宋体"/>
          <w:w w:val="90"/>
          <w:kern w:val="0"/>
          <w:sz w:val="44"/>
          <w:szCs w:val="44"/>
          <w:lang w:val="en-US" w:eastAsia="zh-CN" w:bidi="ar-SA"/>
        </w:rPr>
      </w:pPr>
      <w:r>
        <w:rPr>
          <w:rFonts w:hint="eastAsia" w:ascii="方正小标宋简体" w:hAnsi="华文中宋" w:eastAsia="方正小标宋简体" w:cs="宋体"/>
          <w:w w:val="90"/>
          <w:kern w:val="0"/>
          <w:sz w:val="44"/>
          <w:szCs w:val="44"/>
          <w:lang w:val="en-US" w:eastAsia="zh-CN" w:bidi="ar-SA"/>
        </w:rPr>
        <w:t>长春莲花山生态旅游度假区全面推进基层政务公开标准化规范化工作实施方案</w:t>
      </w:r>
    </w:p>
    <w:p>
      <w:pPr>
        <w:pStyle w:val="3"/>
        <w:ind w:left="0"/>
        <w:jc w:val="center"/>
        <w:rPr>
          <w:rFonts w:hint="eastAsia" w:ascii="方正小标宋简体" w:hAnsi="华文中宋" w:eastAsia="方正小标宋简体" w:cs="宋体"/>
          <w:w w:val="90"/>
          <w:kern w:val="0"/>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按照国家和省委、省政府及市委、市政府有关工作部署，为贯彻落实《国务院办公厅关于全面推进基层政务公开标准化规范化工作的指导意见》（国办发〔2019〕54号）《吉林省全面推进基层政务公开标准化规范化工作实施方案》（吉政公组〔2020〕1号）《长春市全面推进基层政务公开标准化规范化工作实施方案》（长府办发〔2020〕23号）要求，深入推进基层政务公开，不断增强政府公信力执行力，深化“放管服”改革，优化营商环境，加快法治政府和服务型政府建设，现结合度假区实际，制定本方案。</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一、总体要求</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3" w:firstLineChars="200"/>
        <w:textAlignment w:val="auto"/>
        <w:rPr>
          <w:rFonts w:hint="eastAsia" w:ascii="楷体" w:eastAsia="楷体"/>
          <w:b/>
          <w:bCs/>
          <w:color w:val="auto"/>
          <w:highlight w:val="none"/>
        </w:rPr>
      </w:pPr>
      <w:r>
        <w:rPr>
          <w:rFonts w:hint="eastAsia" w:ascii="楷体" w:eastAsia="楷体"/>
          <w:b/>
          <w:bCs/>
          <w:color w:val="auto"/>
          <w:highlight w:val="none"/>
        </w:rPr>
        <w:t>（一）指导思想</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以习近平新时代中国特色社会主义思想为指导，全面贯彻党的十九大和十九届二中、三中、四中全会精神，深入落实党中央、国务院和省委、省政府及市委、市政府有关政府信息公开的决策部署，坚持以人民为中心的发展思想，立足度假区全面深化改革实际，以全国26个试点领域基层政务公开标准体系为引领，围绕权力运行全流程、政务服务全过程，全面提升度假区政务公开和政务服务标准化规范化水平。</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3" w:firstLineChars="200"/>
        <w:textAlignment w:val="auto"/>
        <w:rPr>
          <w:rFonts w:hint="eastAsia" w:ascii="楷体" w:eastAsia="楷体"/>
          <w:b/>
          <w:bCs/>
          <w:color w:val="auto"/>
          <w:highlight w:val="none"/>
        </w:rPr>
      </w:pPr>
      <w:r>
        <w:rPr>
          <w:rFonts w:hint="eastAsia" w:ascii="楷体" w:eastAsia="楷体"/>
          <w:b/>
          <w:bCs/>
          <w:color w:val="auto"/>
          <w:highlight w:val="none"/>
        </w:rPr>
        <w:t>（二）基本原则</w:t>
      </w:r>
    </w:p>
    <w:p>
      <w:pPr>
        <w:pStyle w:val="9"/>
        <w:keepNext w:val="0"/>
        <w:keepLines w:val="0"/>
        <w:pageBreakBefore w:val="0"/>
        <w:widowControl w:val="0"/>
        <w:numPr>
          <w:ilvl w:val="0"/>
          <w:numId w:val="0"/>
        </w:numPr>
        <w:tabs>
          <w:tab w:val="left" w:pos="1001"/>
        </w:tabs>
        <w:kinsoku/>
        <w:wordWrap/>
        <w:overflowPunct/>
        <w:topLinePunct w:val="0"/>
        <w:autoSpaceDE w:val="0"/>
        <w:autoSpaceDN w:val="0"/>
        <w:bidi w:val="0"/>
        <w:snapToGrid/>
        <w:spacing w:before="0" w:after="0" w:line="540" w:lineRule="exact"/>
        <w:ind w:right="0" w:rightChars="0" w:firstLine="571"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仿宋_GB2312" w:eastAsia="仿宋_GB2312" w:cs="仿宋_GB2312"/>
          <w:b/>
          <w:color w:val="auto"/>
          <w:spacing w:val="-10"/>
          <w:w w:val="95"/>
          <w:sz w:val="32"/>
          <w:highlight w:val="none"/>
          <w:lang w:val="en-US" w:eastAsia="zh-CN"/>
        </w:rPr>
        <w:t>1.</w:t>
      </w:r>
      <w:r>
        <w:rPr>
          <w:rFonts w:hint="eastAsia" w:ascii="仿宋_GB2312" w:hAnsi="仿宋_GB2312" w:eastAsia="仿宋_GB2312" w:cs="仿宋_GB2312"/>
          <w:b/>
          <w:color w:val="auto"/>
          <w:spacing w:val="-10"/>
          <w:w w:val="95"/>
          <w:sz w:val="32"/>
          <w:highlight w:val="none"/>
        </w:rPr>
        <w:t>坚持标准引领，整体推进。</w:t>
      </w:r>
      <w:r>
        <w:rPr>
          <w:rFonts w:hint="eastAsia" w:ascii="仿宋_GB2312" w:hAnsi="宋体" w:eastAsia="仿宋_GB2312" w:cs="宋体"/>
          <w:kern w:val="0"/>
          <w:sz w:val="32"/>
          <w:szCs w:val="32"/>
          <w:lang w:val="en-US" w:eastAsia="zh-CN" w:bidi="ar-SA"/>
        </w:rPr>
        <w:t>依据国家各部委制定的《基层政务公开标准指引》，对标全国基层政务公开标准化规范化试点单位，充分运用试点成果编制公开事项目录。注重顶层设计，紧盯规范化、精细化管理，以政务公开标准化事项目录体系为引领，健全公开制度，规范公开流程，提升公开质量，推进政务公开与政务服务的标准化结合。</w:t>
      </w:r>
    </w:p>
    <w:p>
      <w:pPr>
        <w:pStyle w:val="9"/>
        <w:keepNext w:val="0"/>
        <w:keepLines w:val="0"/>
        <w:pageBreakBefore w:val="0"/>
        <w:widowControl w:val="0"/>
        <w:numPr>
          <w:ilvl w:val="0"/>
          <w:numId w:val="0"/>
        </w:numPr>
        <w:tabs>
          <w:tab w:val="left" w:pos="1003"/>
        </w:tabs>
        <w:kinsoku/>
        <w:wordWrap/>
        <w:overflowPunct/>
        <w:topLinePunct w:val="0"/>
        <w:autoSpaceDE w:val="0"/>
        <w:autoSpaceDN w:val="0"/>
        <w:bidi w:val="0"/>
        <w:snapToGrid/>
        <w:spacing w:before="0" w:after="0" w:line="540" w:lineRule="exact"/>
        <w:ind w:right="0" w:rightChars="0" w:firstLine="619" w:firstLineChars="200"/>
        <w:jc w:val="both"/>
        <w:textAlignment w:val="auto"/>
        <w:rPr>
          <w:rFonts w:ascii="Times New Roman" w:eastAsia="Times New Roman"/>
          <w:color w:val="auto"/>
          <w:sz w:val="30"/>
          <w:highlight w:val="none"/>
        </w:rPr>
      </w:pPr>
      <w:r>
        <w:rPr>
          <w:rFonts w:hint="eastAsia"/>
          <w:b/>
          <w:color w:val="auto"/>
          <w:spacing w:val="2"/>
          <w:w w:val="95"/>
          <w:sz w:val="32"/>
          <w:highlight w:val="none"/>
          <w:lang w:val="en-US" w:eastAsia="zh-CN"/>
        </w:rPr>
        <w:t>2.</w:t>
      </w:r>
      <w:r>
        <w:rPr>
          <w:b/>
          <w:color w:val="auto"/>
          <w:spacing w:val="2"/>
          <w:w w:val="95"/>
          <w:sz w:val="32"/>
          <w:highlight w:val="none"/>
        </w:rPr>
        <w:t>坚持需求导向，注重实效。</w:t>
      </w:r>
      <w:r>
        <w:rPr>
          <w:rFonts w:hint="eastAsia" w:ascii="仿宋_GB2312" w:hAnsi="宋体" w:eastAsia="仿宋_GB2312" w:cs="宋体"/>
          <w:kern w:val="0"/>
          <w:sz w:val="32"/>
          <w:szCs w:val="32"/>
          <w:lang w:val="en-US" w:eastAsia="zh-CN" w:bidi="ar-SA"/>
        </w:rPr>
        <w:t>以服务大局、服务群众为目标，以主动服务、便民快捷为基本要求，不断强化服务思维，紧贴市场主体和人民群众实际需求，全方位回应公众关切，涉及群众切身利益的事项必须应公开尽公开，增强基层政务公开的针对性、实效性，真正让群众能看到、听得懂、会办事、能监督，切实保障人民群众的知情权、参与权、表达权和监督权。</w:t>
      </w:r>
    </w:p>
    <w:p>
      <w:pPr>
        <w:pStyle w:val="9"/>
        <w:keepNext w:val="0"/>
        <w:keepLines w:val="0"/>
        <w:pageBreakBefore w:val="0"/>
        <w:widowControl w:val="0"/>
        <w:numPr>
          <w:ilvl w:val="0"/>
          <w:numId w:val="0"/>
        </w:numPr>
        <w:tabs>
          <w:tab w:val="left" w:pos="1003"/>
        </w:tabs>
        <w:kinsoku/>
        <w:wordWrap/>
        <w:overflowPunct/>
        <w:topLinePunct w:val="0"/>
        <w:autoSpaceDE w:val="0"/>
        <w:autoSpaceDN w:val="0"/>
        <w:bidi w:val="0"/>
        <w:snapToGrid/>
        <w:spacing w:before="0" w:after="0" w:line="540" w:lineRule="exact"/>
        <w:ind w:right="0" w:rightChars="0" w:firstLine="619" w:firstLineChars="200"/>
        <w:jc w:val="both"/>
        <w:textAlignment w:val="auto"/>
        <w:rPr>
          <w:rFonts w:hint="eastAsia" w:ascii="仿宋_GB2312" w:hAnsi="宋体" w:eastAsia="仿宋_GB2312" w:cs="宋体"/>
          <w:kern w:val="0"/>
          <w:sz w:val="32"/>
          <w:szCs w:val="32"/>
          <w:lang w:val="en-US" w:eastAsia="zh-CN" w:bidi="ar-SA"/>
        </w:rPr>
      </w:pPr>
      <w:r>
        <w:rPr>
          <w:rFonts w:hint="eastAsia"/>
          <w:b/>
          <w:color w:val="auto"/>
          <w:spacing w:val="2"/>
          <w:w w:val="95"/>
          <w:sz w:val="32"/>
          <w:highlight w:val="none"/>
          <w:lang w:val="en-US" w:eastAsia="zh-CN"/>
        </w:rPr>
        <w:t>3.</w:t>
      </w:r>
      <w:r>
        <w:rPr>
          <w:b/>
          <w:color w:val="auto"/>
          <w:spacing w:val="2"/>
          <w:w w:val="95"/>
          <w:sz w:val="32"/>
          <w:highlight w:val="none"/>
        </w:rPr>
        <w:t>坚持依法依规，稳妥有序。</w:t>
      </w:r>
      <w:r>
        <w:rPr>
          <w:rFonts w:hint="eastAsia" w:ascii="仿宋_GB2312" w:hAnsi="宋体" w:eastAsia="仿宋_GB2312" w:cs="宋体"/>
          <w:kern w:val="0"/>
          <w:sz w:val="32"/>
          <w:szCs w:val="32"/>
          <w:lang w:val="en-US" w:eastAsia="zh-CN" w:bidi="ar-SA"/>
        </w:rPr>
        <w:t>按照加快建设法治政府、创新政府、廉洁政府和服务型政府建设的总体要求，强化法治思维和法治方式，严格落实《中华人民共和国政府信息公开条例》，认真履行政务公开法定职责，提高依法公开、依法行政工作水平。</w:t>
      </w:r>
    </w:p>
    <w:p>
      <w:pPr>
        <w:pStyle w:val="9"/>
        <w:keepNext w:val="0"/>
        <w:keepLines w:val="0"/>
        <w:pageBreakBefore w:val="0"/>
        <w:widowControl w:val="0"/>
        <w:numPr>
          <w:ilvl w:val="0"/>
          <w:numId w:val="0"/>
        </w:numPr>
        <w:tabs>
          <w:tab w:val="left" w:pos="1003"/>
        </w:tabs>
        <w:kinsoku/>
        <w:wordWrap/>
        <w:overflowPunct/>
        <w:topLinePunct w:val="0"/>
        <w:autoSpaceDE w:val="0"/>
        <w:autoSpaceDN w:val="0"/>
        <w:bidi w:val="0"/>
        <w:snapToGrid/>
        <w:spacing w:before="0" w:after="0" w:line="540" w:lineRule="exact"/>
        <w:ind w:right="0" w:rightChars="0" w:firstLine="599" w:firstLineChars="200"/>
        <w:jc w:val="both"/>
        <w:textAlignment w:val="auto"/>
        <w:rPr>
          <w:rFonts w:hint="eastAsia" w:ascii="仿宋_GB2312" w:hAnsi="宋体" w:eastAsia="仿宋_GB2312" w:cs="宋体"/>
          <w:kern w:val="0"/>
          <w:sz w:val="32"/>
          <w:szCs w:val="32"/>
          <w:lang w:val="en-US" w:eastAsia="zh-CN" w:bidi="ar-SA"/>
        </w:rPr>
      </w:pPr>
      <w:r>
        <w:rPr>
          <w:rFonts w:hint="eastAsia"/>
          <w:b/>
          <w:color w:val="auto"/>
          <w:spacing w:val="-11"/>
          <w:sz w:val="32"/>
          <w:highlight w:val="none"/>
          <w:lang w:val="en-US" w:eastAsia="zh-CN"/>
        </w:rPr>
        <w:t>4.</w:t>
      </w:r>
      <w:r>
        <w:rPr>
          <w:b/>
          <w:color w:val="auto"/>
          <w:spacing w:val="-11"/>
          <w:sz w:val="32"/>
          <w:highlight w:val="none"/>
        </w:rPr>
        <w:t>坚持改革创新，惠民利民。</w:t>
      </w:r>
      <w:r>
        <w:rPr>
          <w:rFonts w:hint="eastAsia" w:ascii="仿宋_GB2312" w:hAnsi="宋体" w:eastAsia="仿宋_GB2312" w:cs="宋体"/>
          <w:kern w:val="0"/>
          <w:sz w:val="32"/>
          <w:szCs w:val="32"/>
          <w:lang w:val="en-US" w:eastAsia="zh-CN" w:bidi="ar-SA"/>
        </w:rPr>
        <w:t>强化创新思维和问题导向，积极推行“互联网+政务”，全链条加强政府信息管理，在集成发布、精准推送、智能查询、管理利用等方面探索创新，加速推进政务公开和政务服务提质增效，打通政府联系服务群众“最后一公里”，赢得人民群众更多理解、信任和支持。</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3" w:firstLineChars="200"/>
        <w:textAlignment w:val="auto"/>
        <w:rPr>
          <w:rFonts w:hint="eastAsia" w:ascii="楷体" w:eastAsia="楷体"/>
          <w:b/>
          <w:bCs/>
          <w:color w:val="auto"/>
          <w:highlight w:val="none"/>
        </w:rPr>
      </w:pPr>
      <w:r>
        <w:rPr>
          <w:rFonts w:hint="eastAsia" w:ascii="楷体" w:eastAsia="楷体"/>
          <w:b/>
          <w:bCs/>
          <w:color w:val="auto"/>
          <w:highlight w:val="none"/>
        </w:rPr>
        <w:t>（三）工作目标</w:t>
      </w:r>
    </w:p>
    <w:p>
      <w:pPr>
        <w:pStyle w:val="9"/>
        <w:keepNext w:val="0"/>
        <w:keepLines w:val="0"/>
        <w:pageBreakBefore w:val="0"/>
        <w:widowControl w:val="0"/>
        <w:numPr>
          <w:ilvl w:val="0"/>
          <w:numId w:val="0"/>
        </w:numPr>
        <w:tabs>
          <w:tab w:val="left" w:pos="1003"/>
        </w:tabs>
        <w:kinsoku/>
        <w:wordWrap/>
        <w:overflowPunct/>
        <w:topLinePunct w:val="0"/>
        <w:autoSpaceDE w:val="0"/>
        <w:autoSpaceDN w:val="0"/>
        <w:bidi w:val="0"/>
        <w:snapToGrid/>
        <w:spacing w:before="0" w:after="0" w:line="540" w:lineRule="exact"/>
        <w:ind w:left="0" w:leftChars="0"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2020年12月底前，度假区各对口部门编制完成本部门涉及26个领域政务公开事项的标准目录，公开事项信息，完善政务公开各项制度，规范政务公开工作流程。</w:t>
      </w:r>
    </w:p>
    <w:p>
      <w:pPr>
        <w:pStyle w:val="9"/>
        <w:keepNext w:val="0"/>
        <w:keepLines w:val="0"/>
        <w:pageBreakBefore w:val="0"/>
        <w:widowControl w:val="0"/>
        <w:numPr>
          <w:ilvl w:val="0"/>
          <w:numId w:val="0"/>
        </w:numPr>
        <w:tabs>
          <w:tab w:val="left" w:pos="1003"/>
        </w:tabs>
        <w:kinsoku/>
        <w:wordWrap/>
        <w:overflowPunct/>
        <w:topLinePunct w:val="0"/>
        <w:autoSpaceDE w:val="0"/>
        <w:autoSpaceDN w:val="0"/>
        <w:bidi w:val="0"/>
        <w:snapToGrid/>
        <w:spacing w:before="0" w:after="0" w:line="540" w:lineRule="exact"/>
        <w:ind w:left="0" w:leftChars="0"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2021年12月底前，度假区各对口部门对照国务院部门确定的其他领域基层政务公开标准指引，按照省市区政府相关部门的督促指导，抓好标准指引的落实工作，推动基层政务公开标准化规范化水平再提升。</w:t>
      </w:r>
    </w:p>
    <w:p>
      <w:pPr>
        <w:pStyle w:val="9"/>
        <w:keepNext w:val="0"/>
        <w:keepLines w:val="0"/>
        <w:pageBreakBefore w:val="0"/>
        <w:widowControl w:val="0"/>
        <w:numPr>
          <w:ilvl w:val="0"/>
          <w:numId w:val="0"/>
        </w:numPr>
        <w:tabs>
          <w:tab w:val="left" w:pos="1003"/>
        </w:tabs>
        <w:kinsoku/>
        <w:wordWrap/>
        <w:overflowPunct/>
        <w:topLinePunct w:val="0"/>
        <w:autoSpaceDE w:val="0"/>
        <w:autoSpaceDN w:val="0"/>
        <w:bidi w:val="0"/>
        <w:snapToGrid/>
        <w:spacing w:before="0" w:after="0" w:line="540" w:lineRule="exact"/>
        <w:ind w:left="0" w:leftChars="0"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2022年12月底前，实现政务公开与村务公开协同发展，有效衔接。</w:t>
      </w:r>
    </w:p>
    <w:p>
      <w:pPr>
        <w:pStyle w:val="9"/>
        <w:keepNext w:val="0"/>
        <w:keepLines w:val="0"/>
        <w:pageBreakBefore w:val="0"/>
        <w:widowControl w:val="0"/>
        <w:numPr>
          <w:ilvl w:val="0"/>
          <w:numId w:val="0"/>
        </w:numPr>
        <w:tabs>
          <w:tab w:val="left" w:pos="1003"/>
        </w:tabs>
        <w:kinsoku/>
        <w:wordWrap/>
        <w:overflowPunct/>
        <w:topLinePunct w:val="0"/>
        <w:autoSpaceDE w:val="0"/>
        <w:autoSpaceDN w:val="0"/>
        <w:bidi w:val="0"/>
        <w:snapToGrid/>
        <w:spacing w:before="0" w:after="0" w:line="540" w:lineRule="exact"/>
        <w:ind w:left="0" w:leftChars="0"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2023年，基本建成全区统一的基层政务公开标准体系， 公开内容覆盖度假区管委会行政权力运行全过程和政务服务全流程。</w:t>
      </w:r>
    </w:p>
    <w:p>
      <w:pPr>
        <w:pStyle w:val="3"/>
        <w:keepNext w:val="0"/>
        <w:keepLines w:val="0"/>
        <w:pageBreakBefore w:val="0"/>
        <w:widowControl w:val="0"/>
        <w:numPr>
          <w:ilvl w:val="0"/>
          <w:numId w:val="1"/>
        </w:numPr>
        <w:kinsoku/>
        <w:wordWrap/>
        <w:overflowPunct/>
        <w:topLinePunct w:val="0"/>
        <w:autoSpaceDE w:val="0"/>
        <w:autoSpaceDN w:val="0"/>
        <w:bidi w:val="0"/>
        <w:snapToGrid/>
        <w:spacing w:before="0" w:line="540" w:lineRule="exact"/>
        <w:ind w:left="0" w:leftChars="0" w:right="0" w:firstLine="640" w:firstLineChars="200"/>
        <w:textAlignment w:val="auto"/>
        <w:rPr>
          <w:rFonts w:hint="eastAsia" w:ascii="黑体" w:eastAsia="黑体"/>
          <w:color w:val="auto"/>
          <w:highlight w:val="none"/>
        </w:rPr>
      </w:pPr>
      <w:r>
        <w:rPr>
          <w:rFonts w:hint="eastAsia" w:ascii="黑体" w:eastAsia="黑体"/>
          <w:color w:val="auto"/>
          <w:highlight w:val="none"/>
        </w:rPr>
        <w:t>主要任务</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3" w:firstLineChars="200"/>
        <w:jc w:val="both"/>
        <w:textAlignment w:val="auto"/>
        <w:rPr>
          <w:rFonts w:hint="eastAsia" w:ascii="楷体" w:hAnsi="楷体" w:eastAsia="楷体" w:cs="楷体"/>
          <w:b/>
          <w:bCs/>
          <w:color w:val="auto"/>
          <w:spacing w:val="-1"/>
          <w:highlight w:val="none"/>
        </w:rPr>
      </w:pPr>
      <w:r>
        <w:rPr>
          <w:rFonts w:hint="eastAsia" w:ascii="楷体" w:hAnsi="楷体" w:eastAsia="楷体" w:cs="楷体"/>
          <w:b/>
          <w:bCs/>
          <w:color w:val="auto"/>
          <w:highlight w:val="none"/>
        </w:rPr>
        <w:t>（</w:t>
      </w:r>
      <w:r>
        <w:rPr>
          <w:rFonts w:hint="eastAsia" w:ascii="楷体" w:hAnsi="楷体" w:eastAsia="楷体" w:cs="楷体"/>
          <w:b/>
          <w:bCs/>
          <w:color w:val="auto"/>
          <w:spacing w:val="-1"/>
          <w:highlight w:val="none"/>
        </w:rPr>
        <w:t>一）编制26个领域政务公开事项标准目录。</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度假区各对口部门要按照省、市政府对口部门统一要求，对照国务院部门制定的国土空间规划、重大建设项目、公共资源交易、财政预决算、安全生产、税收管理、征地补偿、国有土地上房屋征收、保障性住房、农村危房改造、环境保护、公共文化服务、公共法律服务、扶贫、救灾、食品药品监管、城市综合执法、就业创业、社会保险、社会救助、养老服务、户籍管理、涉农补贴、义务教育、医疗卫生、市政服务等26个领域标准指引，结合度假区工作实际和度假区权责清单以及公共服务事项清单内容，制定本级政务公开事项标准目录。实现度假区各对口部门公开事项产生的信息与国家部委标准指引中要求各事项公开发布的平台渠道相符合，公开的事项在承诺发布的平台渠道中均能精准链接、查阅到对应信息。</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度假区各对口部门梳理、细化的各领域政务公开事项， 要参照国家部委印发的标准指引目录格式制作形成清单，目录中每个公开事项至少应包括事项的名称、内容、依据、时限、主体、方式、渠道、公开对象、公开层级等9个方面要素。编制目录清单要因地制宜，体现莲花山特点，目录中涉及的办事服务类公开事项要与全省一体化在线政务服务平台办事服务事项的信息协同一致，衔接顺畅。公开主体涉及到乡镇的公开事项统一由度假区各对口部门在梳理公开事项时汇总到对应领域的目录中，通过标准化要素中的公开层级进行区分。</w:t>
      </w:r>
    </w:p>
    <w:p>
      <w:pPr>
        <w:pStyle w:val="3"/>
        <w:keepNext w:val="0"/>
        <w:keepLines w:val="0"/>
        <w:pageBreakBefore w:val="0"/>
        <w:widowControl w:val="0"/>
        <w:numPr>
          <w:ilvl w:val="0"/>
          <w:numId w:val="2"/>
        </w:numPr>
        <w:kinsoku/>
        <w:wordWrap/>
        <w:overflowPunct/>
        <w:topLinePunct w:val="0"/>
        <w:autoSpaceDE w:val="0"/>
        <w:autoSpaceDN w:val="0"/>
        <w:bidi w:val="0"/>
        <w:snapToGrid/>
        <w:spacing w:before="0" w:line="540" w:lineRule="exact"/>
        <w:ind w:left="0" w:leftChars="0" w:right="0" w:firstLine="643" w:firstLineChars="200"/>
        <w:jc w:val="both"/>
        <w:textAlignment w:val="auto"/>
        <w:rPr>
          <w:rFonts w:hint="eastAsia" w:ascii="仿宋_GB2312" w:hAnsi="宋体" w:eastAsia="仿宋_GB2312" w:cs="宋体"/>
          <w:b/>
          <w:bCs/>
          <w:kern w:val="0"/>
          <w:sz w:val="32"/>
          <w:szCs w:val="32"/>
          <w:lang w:val="en-US" w:eastAsia="zh-CN" w:bidi="ar-SA"/>
        </w:rPr>
      </w:pPr>
      <w:r>
        <w:rPr>
          <w:rFonts w:hint="eastAsia" w:ascii="楷体" w:hAnsi="楷体" w:eastAsia="楷体"/>
          <w:b/>
          <w:bCs/>
          <w:color w:val="auto"/>
          <w:highlight w:val="none"/>
        </w:rPr>
        <w:t>实现政务公开事项信息集成发布在线查</w:t>
      </w:r>
      <w:r>
        <w:rPr>
          <w:rFonts w:hint="eastAsia" w:ascii="楷体" w:hAnsi="楷体" w:eastAsia="楷体"/>
          <w:b/>
          <w:bCs/>
          <w:color w:val="auto"/>
          <w:spacing w:val="6"/>
          <w:highlight w:val="none"/>
        </w:rPr>
        <w:t>询。</w:t>
      </w:r>
    </w:p>
    <w:p>
      <w:pPr>
        <w:pStyle w:val="3"/>
        <w:keepNext w:val="0"/>
        <w:keepLines w:val="0"/>
        <w:pageBreakBefore w:val="0"/>
        <w:widowControl w:val="0"/>
        <w:numPr>
          <w:ilvl w:val="0"/>
          <w:numId w:val="0"/>
        </w:numPr>
        <w:kinsoku/>
        <w:wordWrap/>
        <w:overflowPunct/>
        <w:topLinePunct w:val="0"/>
        <w:autoSpaceDE w:val="0"/>
        <w:autoSpaceDN w:val="0"/>
        <w:bidi w:val="0"/>
        <w:snapToGrid/>
        <w:spacing w:before="0" w:line="54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依托全省统一的基层政务公开事项查询系统，公开重点领域政务公开事项标准目录和事项信息。依据政府信息公开条例和国家及省、市政务公开工作的有关规定，将决策、执行、管理、服务、结果“五公开”中涉及的共性公开事项融入各自领域的政务公开事项目录中，度假区管委会政务公开工作主管部门将对各对口职能部门梳理编制的26个重点领域政务公开事项目录进行复核，防止缺项少项，实现公开事项应公开尽公开，在事项承诺公开的渠道上可以找到对应信息。同时，组织各对口职能部门将梳理出的事项逐项上传至全省统一开发的基层政务公开事项查询系统。度假区各对口部门在梳理26个领域政务公开事项时，除本领域指引中要求公开的事项进行梳理外，还要将已梳理出来的本部门权责清单和公共服务事项清单中的涉及本领域事项在合理归类后，全部纳入政务公开事项目录，确保公开事项目录与权责清单及公共服务清单的编制、调整、优化相协同。全省统一的基层政务公开事项查询系统在度假区门户网站开设专栏，为社会公众提供公开查询的便利服务，同时接受社会公众对行政机关承诺公开的事项信息是否准确、渠道是否畅通、公开是否及时、内容是否清晰进行监督。</w:t>
      </w:r>
    </w:p>
    <w:p>
      <w:pPr>
        <w:pStyle w:val="3"/>
        <w:keepNext w:val="0"/>
        <w:keepLines w:val="0"/>
        <w:pageBreakBefore w:val="0"/>
        <w:widowControl w:val="0"/>
        <w:numPr>
          <w:ilvl w:val="0"/>
          <w:numId w:val="2"/>
        </w:numPr>
        <w:kinsoku/>
        <w:wordWrap/>
        <w:overflowPunct/>
        <w:topLinePunct w:val="0"/>
        <w:autoSpaceDE w:val="0"/>
        <w:autoSpaceDN w:val="0"/>
        <w:bidi w:val="0"/>
        <w:adjustRightInd w:val="0"/>
        <w:snapToGrid/>
        <w:spacing w:before="0" w:line="540" w:lineRule="exact"/>
        <w:ind w:left="0" w:leftChars="0" w:right="0" w:rightChars="0" w:firstLine="635" w:firstLineChars="200"/>
        <w:jc w:val="left"/>
        <w:textAlignment w:val="auto"/>
        <w:rPr>
          <w:rFonts w:hint="eastAsia" w:ascii="楷体" w:hAnsi="楷体" w:eastAsia="楷体" w:cs="楷体"/>
          <w:b/>
          <w:bCs/>
          <w:color w:val="auto"/>
          <w:spacing w:val="-2"/>
          <w:highlight w:val="none"/>
        </w:rPr>
      </w:pPr>
      <w:r>
        <w:rPr>
          <w:rFonts w:hint="eastAsia" w:ascii="楷体" w:hAnsi="楷体" w:eastAsia="楷体" w:cs="楷体"/>
          <w:b/>
          <w:bCs/>
          <w:color w:val="auto"/>
          <w:spacing w:val="-2"/>
          <w:highlight w:val="none"/>
        </w:rPr>
        <w:t>加强政务公开平台的规范化建设。</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before="0" w:line="540" w:lineRule="exact"/>
        <w:ind w:right="0" w:rightChars="0"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依托全市“一张网”平台顶层设计和统筹推进，加强基层政务公开网络平台和实体平台的规范化管理，实现</w:t>
      </w:r>
      <w:r>
        <w:rPr>
          <w:b/>
          <w:color w:val="auto"/>
          <w:spacing w:val="-10"/>
          <w:w w:val="95"/>
          <w:highlight w:val="none"/>
        </w:rPr>
        <w:t>“一网一区五关联”</w:t>
      </w:r>
      <w:r>
        <w:rPr>
          <w:color w:val="auto"/>
          <w:w w:val="95"/>
          <w:highlight w:val="none"/>
        </w:rPr>
        <w:t>。</w:t>
      </w:r>
      <w:r>
        <w:rPr>
          <w:b/>
          <w:color w:val="auto"/>
          <w:spacing w:val="9"/>
          <w:highlight w:val="none"/>
        </w:rPr>
        <w:t>“一网”</w:t>
      </w:r>
      <w:r>
        <w:rPr>
          <w:rFonts w:hint="eastAsia" w:ascii="仿宋_GB2312" w:hAnsi="宋体" w:eastAsia="仿宋_GB2312" w:cs="宋体"/>
          <w:kern w:val="0"/>
          <w:sz w:val="32"/>
          <w:szCs w:val="32"/>
          <w:lang w:val="en-US" w:eastAsia="zh-CN" w:bidi="ar-SA"/>
        </w:rPr>
        <w:t>即度假区门户网站作为政务公开第一平台，要集中发布管委会及乡镇、部门应当主动公开的信息，开设统一的政府信息公开专栏、政务公开事项查询系统、互动交流栏目和在线办事平台，方便企业和群众获取信息、了解政策和网上办事。</w:t>
      </w:r>
      <w:r>
        <w:rPr>
          <w:b/>
          <w:color w:val="auto"/>
          <w:spacing w:val="3"/>
          <w:highlight w:val="none"/>
        </w:rPr>
        <w:t>“一区”</w:t>
      </w:r>
      <w:r>
        <w:rPr>
          <w:rFonts w:hint="eastAsia" w:ascii="仿宋_GB2312" w:hAnsi="宋体" w:eastAsia="仿宋_GB2312" w:cs="宋体"/>
          <w:kern w:val="0"/>
          <w:sz w:val="32"/>
          <w:szCs w:val="32"/>
          <w:lang w:val="en-US" w:eastAsia="zh-CN" w:bidi="ar-SA"/>
        </w:rPr>
        <w:t>即在档案馆、图书馆、政务服务等场所设立政务公开专区，提供政府信息查询、在线申请、办事咨询等公共服务。</w:t>
      </w:r>
      <w:r>
        <w:rPr>
          <w:b/>
          <w:color w:val="auto"/>
          <w:spacing w:val="6"/>
          <w:highlight w:val="none"/>
        </w:rPr>
        <w:t>“五关</w:t>
      </w:r>
      <w:r>
        <w:rPr>
          <w:b/>
          <w:color w:val="auto"/>
          <w:spacing w:val="9"/>
          <w:highlight w:val="none"/>
        </w:rPr>
        <w:t>联”</w:t>
      </w:r>
      <w:r>
        <w:rPr>
          <w:rFonts w:hint="eastAsia" w:ascii="仿宋_GB2312" w:hAnsi="宋体" w:eastAsia="仿宋_GB2312" w:cs="宋体"/>
          <w:kern w:val="0"/>
          <w:sz w:val="32"/>
          <w:szCs w:val="32"/>
          <w:lang w:val="en-US" w:eastAsia="zh-CN" w:bidi="ar-SA"/>
        </w:rPr>
        <w:t>即基层政务公开事项查询系统中的办事服务事项要与度假区网上办事系统中的各项服务办理项目相关联，做到数据互联共享，点击查询系统中的办事服务事项即可直接跳转至办事服务办理流程页面；查询系统中的公开事项涉及到政策类的信息要与度假区门户网站中的政府信息公开专栏中对应发布的信息相关联，确保公开内容同源一致；查询系统中的法定共性公开事项要与度假区门户网站政府信息公开专栏相关联，度假区政务公开工作主管部门要对政府信息公开专栏加强管理、及时更新维护；度假区各级政务新媒体，也应当采用数据同源方式，同步公开相关信息，扩大政府信息传播力和影响力；探索将政务公开事项、标准规范嵌入度假区各部门业务系统，促进公开工作与其他业务工作融合发展。</w:t>
      </w:r>
    </w:p>
    <w:p>
      <w:pPr>
        <w:pStyle w:val="3"/>
        <w:keepNext w:val="0"/>
        <w:keepLines w:val="0"/>
        <w:pageBreakBefore w:val="0"/>
        <w:widowControl w:val="0"/>
        <w:numPr>
          <w:ilvl w:val="0"/>
          <w:numId w:val="2"/>
        </w:numPr>
        <w:kinsoku/>
        <w:wordWrap/>
        <w:overflowPunct/>
        <w:topLinePunct w:val="0"/>
        <w:autoSpaceDE w:val="0"/>
        <w:autoSpaceDN w:val="0"/>
        <w:bidi w:val="0"/>
        <w:snapToGrid/>
        <w:spacing w:before="0" w:line="540" w:lineRule="exact"/>
        <w:ind w:left="0" w:leftChars="0" w:right="0" w:firstLine="639" w:firstLineChars="200"/>
        <w:textAlignment w:val="auto"/>
        <w:rPr>
          <w:rFonts w:hint="eastAsia" w:ascii="楷体" w:hAnsi="楷体" w:eastAsia="楷体"/>
          <w:b/>
          <w:bCs/>
          <w:color w:val="auto"/>
          <w:spacing w:val="-1"/>
          <w:highlight w:val="none"/>
        </w:rPr>
      </w:pPr>
      <w:r>
        <w:rPr>
          <w:rFonts w:hint="eastAsia" w:ascii="楷体" w:hAnsi="楷体" w:eastAsia="楷体"/>
          <w:b/>
          <w:bCs/>
          <w:color w:val="auto"/>
          <w:spacing w:val="-1"/>
          <w:highlight w:val="none"/>
        </w:rPr>
        <w:t>推进办事服务公开标准化和信息获取便利化。</w:t>
      </w:r>
    </w:p>
    <w:p>
      <w:pPr>
        <w:pStyle w:val="3"/>
        <w:keepNext w:val="0"/>
        <w:keepLines w:val="0"/>
        <w:pageBreakBefore w:val="0"/>
        <w:widowControl w:val="0"/>
        <w:numPr>
          <w:ilvl w:val="0"/>
          <w:numId w:val="0"/>
        </w:numPr>
        <w:kinsoku/>
        <w:wordWrap/>
        <w:overflowPunct/>
        <w:topLinePunct w:val="0"/>
        <w:autoSpaceDE w:val="0"/>
        <w:autoSpaceDN w:val="0"/>
        <w:bidi w:val="0"/>
        <w:snapToGrid/>
        <w:spacing w:before="0" w:line="540" w:lineRule="exact"/>
        <w:ind w:right="0" w:righ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要通过实体政务大厅和度假区门户网站全面准确公开办事服务事项清单、办事指南、办事流程、办事机构、常见问题、监督举报方式和网办进度等信息，实行办事服务一次告知、信息主动推送等方式，让办事群众对事前准备清晰明了、事中进展实时掌握、事后结果及时获知。办事服务公开项目的信息和全省一体化在线政务服务平台办事服务信息要保持协同联动，并依托度假区门户网站和移动端主动推送办事进度、结果等信息，确保材料不完整或审批未通过要一次告知清楚，避免群众往返补材料。以为企业和群众“办好一件事”为主题，要将梳理出来的与“一件事”办理相关联办事服务事项，统一归类、整合到同类办事服务公开的事项中，推动一张表单受理，围绕“一件事”的办事服务逻辑，逐步推动实现串并联审批。此外，要进一步整合优化实体政务服务大厅“一站式” 功能，实现政务服务事项进驻大厅“应进必进”和“一窗受理、集成服务”。同时，要组织编制《办事指南一本通》汇编，放置政务公开专区供群众免费取阅，最大限度利企便民。</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0" w:leftChars="0" w:right="0" w:firstLine="643" w:firstLineChars="200"/>
        <w:textAlignment w:val="auto"/>
        <w:rPr>
          <w:rFonts w:hint="eastAsia" w:ascii="楷体" w:eastAsia="楷体"/>
          <w:b/>
          <w:bCs/>
          <w:color w:val="auto"/>
          <w:highlight w:val="none"/>
        </w:rPr>
      </w:pPr>
      <w:r>
        <w:rPr>
          <w:rFonts w:hint="eastAsia" w:ascii="楷体" w:eastAsia="楷体"/>
          <w:b/>
          <w:bCs/>
          <w:color w:val="auto"/>
          <w:highlight w:val="none"/>
        </w:rPr>
        <w:t>完善行政决策公众参与机制。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0" w:righ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要强化行政决策透明度，政务公开工作主管部门要结合职责权限和本地实际，围绕群众关切，细化公众参与事项的范围和方式，并录入到基层政务公开事项查询系统向社会公开， 让公众更大程度参与政策制定、执行和监督。要建立和完善利益相关方、群众代表、专家、媒体等列席管委会和职能部门有关会议制度，增进人民群众对管委会工作的认同和支持。对出台的涉及重大公共利益和公众权益的重要决策，除依法应当保密的外，须通过调查研究、听证座谈、实地走访、咨询协商、列席会议、媒体沟通等方式扩大公众参与，通过听民意、汇民智，认真修改完善。听证座谈、征求意见的采纳情况要在度假区门户网站等平台集中公布，对于相对集中的意见建议不予采纳的，要说明理由并通过度假区门户网站等平台向社会公开。</w:t>
      </w:r>
    </w:p>
    <w:p>
      <w:pPr>
        <w:pStyle w:val="3"/>
        <w:keepNext w:val="0"/>
        <w:keepLines w:val="0"/>
        <w:pageBreakBefore w:val="0"/>
        <w:widowControl w:val="0"/>
        <w:numPr>
          <w:ilvl w:val="0"/>
          <w:numId w:val="2"/>
        </w:numPr>
        <w:kinsoku/>
        <w:wordWrap/>
        <w:overflowPunct/>
        <w:topLinePunct w:val="0"/>
        <w:autoSpaceDE w:val="0"/>
        <w:autoSpaceDN w:val="0"/>
        <w:bidi w:val="0"/>
        <w:snapToGrid/>
        <w:spacing w:before="0" w:line="540" w:lineRule="exact"/>
        <w:ind w:left="0" w:leftChars="0" w:right="0" w:rightChars="0" w:firstLine="643" w:firstLineChars="200"/>
        <w:textAlignment w:val="auto"/>
        <w:rPr>
          <w:rFonts w:hint="eastAsia" w:ascii="楷体" w:eastAsia="楷体"/>
          <w:b/>
          <w:bCs/>
          <w:color w:val="auto"/>
          <w:highlight w:val="none"/>
          <w:lang w:eastAsia="zh-CN"/>
        </w:rPr>
      </w:pPr>
      <w:r>
        <w:rPr>
          <w:rFonts w:hint="eastAsia" w:ascii="楷体" w:eastAsia="楷体"/>
          <w:b/>
          <w:bCs/>
          <w:color w:val="auto"/>
          <w:highlight w:val="none"/>
        </w:rPr>
        <w:t>细化政务公开工作流程和解读回应工作机制</w:t>
      </w:r>
      <w:r>
        <w:rPr>
          <w:rFonts w:hint="eastAsia" w:ascii="楷体" w:eastAsia="楷体"/>
          <w:b/>
          <w:bCs/>
          <w:color w:val="auto"/>
          <w:highlight w:val="none"/>
          <w:lang w:eastAsia="zh-CN"/>
        </w:rPr>
        <w:t>。</w:t>
      </w:r>
    </w:p>
    <w:p>
      <w:pPr>
        <w:pStyle w:val="3"/>
        <w:keepNext w:val="0"/>
        <w:keepLines w:val="0"/>
        <w:pageBreakBefore w:val="0"/>
        <w:widowControl w:val="0"/>
        <w:numPr>
          <w:ilvl w:val="0"/>
          <w:numId w:val="0"/>
        </w:numPr>
        <w:kinsoku/>
        <w:wordWrap/>
        <w:overflowPunct/>
        <w:topLinePunct w:val="0"/>
        <w:autoSpaceDE w:val="0"/>
        <w:autoSpaceDN w:val="0"/>
        <w:bidi w:val="0"/>
        <w:snapToGrid/>
        <w:spacing w:before="0" w:line="540" w:lineRule="exact"/>
        <w:ind w:right="0" w:righ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要依托政府网站构建公众参与、信息发布、政策解读、回应关切有序衔接的政务公开工作格局，完善政策出台后的解读机制，并将相关要求写入度假区工作规则。要明确公众参与、信息管理、信息发布、解读回应、依申请公开、监督考核等主体责任和工作流程。特别是在党和国家相关政策出台后，要第一时间解读本地贯彻执行措施，认真落实政策解读方案、解读材料与政策文件同步组织、同步审签、同步部署工作，运用新闻发布会、简明问答、图表图解、案例说明等多种方式，对涉及群众切身利益、影响市场预期等重要政策进行解读。针对政策实施和重大项目推进过程中出现的误解疑虑，要及时回应、解释疑惑。</w:t>
      </w:r>
    </w:p>
    <w:p>
      <w:pPr>
        <w:pStyle w:val="3"/>
        <w:keepNext w:val="0"/>
        <w:keepLines w:val="0"/>
        <w:pageBreakBefore w:val="0"/>
        <w:widowControl w:val="0"/>
        <w:numPr>
          <w:ilvl w:val="0"/>
          <w:numId w:val="2"/>
        </w:numPr>
        <w:kinsoku/>
        <w:wordWrap/>
        <w:overflowPunct/>
        <w:topLinePunct w:val="0"/>
        <w:autoSpaceDE w:val="0"/>
        <w:autoSpaceDN w:val="0"/>
        <w:bidi w:val="0"/>
        <w:snapToGrid/>
        <w:spacing w:before="0" w:line="540" w:lineRule="exact"/>
        <w:ind w:left="0" w:leftChars="0" w:right="0" w:firstLine="643" w:firstLineChars="200"/>
        <w:textAlignment w:val="auto"/>
        <w:rPr>
          <w:rFonts w:hint="eastAsia" w:ascii="楷体" w:hAnsi="楷体" w:eastAsia="楷体"/>
          <w:b/>
          <w:bCs/>
          <w:color w:val="auto"/>
          <w:highlight w:val="none"/>
        </w:rPr>
      </w:pPr>
      <w:r>
        <w:rPr>
          <w:rFonts w:hint="eastAsia" w:ascii="楷体" w:hAnsi="楷体" w:eastAsia="楷体"/>
          <w:b/>
          <w:bCs/>
          <w:color w:val="auto"/>
          <w:highlight w:val="none"/>
        </w:rPr>
        <w:t>做好村务公开与政务公开的有序衔接。</w:t>
      </w:r>
    </w:p>
    <w:p>
      <w:pPr>
        <w:pStyle w:val="3"/>
        <w:keepNext w:val="0"/>
        <w:keepLines w:val="0"/>
        <w:pageBreakBefore w:val="0"/>
        <w:widowControl w:val="0"/>
        <w:numPr>
          <w:ilvl w:val="0"/>
          <w:numId w:val="0"/>
        </w:numPr>
        <w:kinsoku/>
        <w:wordWrap/>
        <w:overflowPunct/>
        <w:topLinePunct w:val="0"/>
        <w:autoSpaceDE w:val="0"/>
        <w:autoSpaceDN w:val="0"/>
        <w:bidi w:val="0"/>
        <w:snapToGrid/>
        <w:spacing w:before="0" w:line="540" w:lineRule="exact"/>
        <w:ind w:right="0" w:righ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各乡镇人民政府要指导推动村民委员会公开属于自治范围内的事项，编制公开事项目录，并录入到基层政务公开事项查询系统，推动基层政务公开与村务公开协同发展、有效衔接、相同事项的公开内容对应一致。要拓展村屯政务公开渠道，通过公开栏、微信群、广播等贴近村民生活的方式，扩大政策传播范围。重点公开脱贫攻坚、乡村振兴、村级财务、惠农政策、养老服务、社会救助等方面内容。各村民委员会可结合实际情况，组织开展政务公开系列特色活动，探索适合本区域的政务公开新路径，打通政务公开“最后一公里”。</w:t>
      </w:r>
    </w:p>
    <w:p>
      <w:pPr>
        <w:pStyle w:val="3"/>
        <w:keepNext w:val="0"/>
        <w:keepLines w:val="0"/>
        <w:pageBreakBefore w:val="0"/>
        <w:widowControl w:val="0"/>
        <w:numPr>
          <w:ilvl w:val="0"/>
          <w:numId w:val="2"/>
        </w:numPr>
        <w:kinsoku/>
        <w:wordWrap/>
        <w:overflowPunct/>
        <w:topLinePunct w:val="0"/>
        <w:autoSpaceDE w:val="0"/>
        <w:autoSpaceDN w:val="0"/>
        <w:bidi w:val="0"/>
        <w:snapToGrid/>
        <w:spacing w:before="0" w:line="540" w:lineRule="exact"/>
        <w:ind w:left="0" w:leftChars="0" w:right="0" w:firstLine="639" w:firstLineChars="200"/>
        <w:jc w:val="both"/>
        <w:textAlignment w:val="auto"/>
        <w:rPr>
          <w:rFonts w:hint="eastAsia" w:ascii="楷体" w:eastAsia="楷体"/>
          <w:b/>
          <w:bCs/>
          <w:color w:val="auto"/>
          <w:spacing w:val="-1"/>
          <w:highlight w:val="none"/>
        </w:rPr>
      </w:pPr>
      <w:r>
        <w:rPr>
          <w:rFonts w:hint="eastAsia" w:ascii="楷体" w:eastAsia="楷体"/>
          <w:b/>
          <w:bCs/>
          <w:color w:val="auto"/>
          <w:spacing w:val="-1"/>
          <w:highlight w:val="none"/>
        </w:rPr>
        <w:t>编制完成其他领域政务公开事项目录。</w:t>
      </w:r>
    </w:p>
    <w:p>
      <w:pPr>
        <w:pStyle w:val="3"/>
        <w:keepNext w:val="0"/>
        <w:keepLines w:val="0"/>
        <w:pageBreakBefore w:val="0"/>
        <w:widowControl w:val="0"/>
        <w:numPr>
          <w:ilvl w:val="0"/>
          <w:numId w:val="0"/>
        </w:numPr>
        <w:kinsoku/>
        <w:wordWrap/>
        <w:overflowPunct/>
        <w:topLinePunct w:val="0"/>
        <w:autoSpaceDE w:val="0"/>
        <w:autoSpaceDN w:val="0"/>
        <w:bidi w:val="0"/>
        <w:snapToGrid/>
        <w:spacing w:before="0" w:line="540" w:lineRule="exact"/>
        <w:ind w:right="0" w:rightChars="0"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度假区各对口部门要按照国务院部门编制确定的其他领域政务公开标准指引，比照以上工作方式开展对应领域的事项梳理和公开，于2021年底前编制完成相关领域政务公开事项目录，在统一平台向社会公开。同时，依据法律法规和职责变化情况，做好标准目录的调整完善、动态更新工作。</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0" w:firstLineChars="200"/>
        <w:textAlignment w:val="auto"/>
        <w:rPr>
          <w:rFonts w:hint="eastAsia" w:ascii="黑体" w:eastAsia="黑体"/>
          <w:color w:val="auto"/>
          <w:highlight w:val="none"/>
        </w:rPr>
      </w:pPr>
      <w:r>
        <w:rPr>
          <w:rFonts w:hint="eastAsia" w:ascii="黑体" w:eastAsia="黑体"/>
          <w:color w:val="auto"/>
          <w:highlight w:val="none"/>
        </w:rPr>
        <w:t>三、进度安排及任务分工</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3" w:firstLineChars="200"/>
        <w:jc w:val="both"/>
        <w:textAlignment w:val="auto"/>
        <w:rPr>
          <w:rFonts w:hint="eastAsia" w:ascii="仿宋_GB2312" w:hAnsi="宋体" w:eastAsia="仿宋_GB2312" w:cs="宋体"/>
          <w:kern w:val="0"/>
          <w:sz w:val="32"/>
          <w:szCs w:val="32"/>
          <w:lang w:val="en-US" w:eastAsia="zh-CN" w:bidi="ar-SA"/>
        </w:rPr>
      </w:pPr>
      <w:r>
        <w:rPr>
          <w:rFonts w:hint="eastAsia" w:ascii="楷体" w:eastAsia="楷体"/>
          <w:b/>
          <w:bCs/>
          <w:color w:val="auto"/>
          <w:highlight w:val="none"/>
        </w:rPr>
        <w:t>（一）编制目录。</w:t>
      </w:r>
      <w:r>
        <w:rPr>
          <w:rFonts w:hint="eastAsia" w:ascii="楷体" w:eastAsia="楷体"/>
          <w:color w:val="auto"/>
          <w:highlight w:val="none"/>
          <w:lang w:eastAsia="zh-CN"/>
        </w:rPr>
        <w:t>度假区</w:t>
      </w:r>
      <w:r>
        <w:rPr>
          <w:rFonts w:hint="eastAsia" w:ascii="仿宋_GB2312" w:hAnsi="宋体" w:eastAsia="仿宋_GB2312" w:cs="宋体"/>
          <w:kern w:val="0"/>
          <w:sz w:val="32"/>
          <w:szCs w:val="32"/>
          <w:lang w:val="en-US" w:eastAsia="zh-CN" w:bidi="ar-SA"/>
        </w:rPr>
        <w:t>26个领域涉及到的对口职能部门要参照国家部委和省直部门印发的对应领域基层政务公开标准指引制定本领域基层政务公开事项目录梳理编制的工作方案，提出具体要求，明确时间节点。于2020年6月30日前完成度假区26个领域基层政务公开事项梳理、目录编制以及目录中承诺公开事项的信息发布，在承诺公开的平台渠道中能够查阅到对应公开的信息。</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3" w:firstLineChars="200"/>
        <w:jc w:val="both"/>
        <w:textAlignment w:val="auto"/>
        <w:rPr>
          <w:rFonts w:hint="eastAsia" w:ascii="仿宋_GB2312" w:hAnsi="宋体" w:eastAsia="仿宋_GB2312" w:cs="宋体"/>
          <w:kern w:val="0"/>
          <w:sz w:val="32"/>
          <w:szCs w:val="32"/>
          <w:lang w:val="en-US" w:eastAsia="zh-CN" w:bidi="ar-SA"/>
        </w:rPr>
      </w:pPr>
      <w:r>
        <w:rPr>
          <w:rFonts w:hint="eastAsia" w:ascii="楷体" w:eastAsia="楷体"/>
          <w:b/>
          <w:bCs/>
          <w:color w:val="auto"/>
          <w:highlight w:val="none"/>
        </w:rPr>
        <w:t>（二）组织培训。</w:t>
      </w:r>
      <w:r>
        <w:rPr>
          <w:rFonts w:hint="eastAsia" w:ascii="仿宋_GB2312" w:hAnsi="宋体" w:eastAsia="仿宋_GB2312" w:cs="宋体"/>
          <w:kern w:val="0"/>
          <w:sz w:val="32"/>
          <w:szCs w:val="32"/>
          <w:lang w:val="en-US" w:eastAsia="zh-CN" w:bidi="ar-SA"/>
        </w:rPr>
        <w:t>2020年7月上旬开始，省市政府政务公开工作主管部门将对基层政务公开标准化规范化工作统一思路、答疑解惑，对梳理编制目录及信息发布工作中存在的问题逐个研究解决，对基层政务公开事项查询系统的操作使用方法进行培训。</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71" w:firstLineChars="200"/>
        <w:jc w:val="both"/>
        <w:textAlignment w:val="auto"/>
        <w:rPr>
          <w:rFonts w:hint="eastAsia" w:ascii="仿宋_GB2312" w:hAnsi="宋体" w:eastAsia="仿宋_GB2312" w:cs="宋体"/>
          <w:kern w:val="0"/>
          <w:sz w:val="32"/>
          <w:szCs w:val="32"/>
          <w:lang w:val="en-US" w:eastAsia="zh-CN" w:bidi="ar-SA"/>
        </w:rPr>
      </w:pPr>
      <w:r>
        <w:rPr>
          <w:rFonts w:hint="eastAsia" w:ascii="楷体" w:eastAsia="楷体"/>
          <w:b/>
          <w:bCs/>
          <w:color w:val="auto"/>
          <w:spacing w:val="7"/>
          <w:highlight w:val="none"/>
        </w:rPr>
        <w:t>（</w:t>
      </w:r>
      <w:r>
        <w:rPr>
          <w:rFonts w:hint="eastAsia" w:ascii="楷体" w:eastAsia="楷体"/>
          <w:b/>
          <w:bCs/>
          <w:color w:val="auto"/>
          <w:spacing w:val="9"/>
          <w:highlight w:val="none"/>
        </w:rPr>
        <w:t>三</w:t>
      </w:r>
      <w:r>
        <w:rPr>
          <w:rFonts w:hint="eastAsia" w:ascii="楷体" w:eastAsia="楷体"/>
          <w:b/>
          <w:bCs/>
          <w:color w:val="auto"/>
          <w:spacing w:val="7"/>
          <w:highlight w:val="none"/>
        </w:rPr>
        <w:t>）复核目录。</w:t>
      </w:r>
      <w:r>
        <w:rPr>
          <w:rFonts w:hint="eastAsia" w:ascii="仿宋_GB2312" w:hAnsi="宋体" w:eastAsia="仿宋_GB2312" w:cs="宋体"/>
          <w:kern w:val="0"/>
          <w:sz w:val="32"/>
          <w:szCs w:val="32"/>
          <w:lang w:val="en-US" w:eastAsia="zh-CN" w:bidi="ar-SA"/>
        </w:rPr>
        <w:t>2020年8月15日前，度假区政务公开工作主管部门统筹调度推进各对口部门目录的编制情况，并完成对26个领域政务公开事项的复核。10月15日前，组织度假区各对口业务部门将复核后的政务公开事项目录录入全省统一基层政务公开事项查询系统。</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71" w:firstLineChars="200"/>
        <w:jc w:val="both"/>
        <w:textAlignment w:val="auto"/>
        <w:rPr>
          <w:rFonts w:hint="eastAsia" w:ascii="仿宋_GB2312" w:hAnsi="宋体" w:eastAsia="仿宋_GB2312" w:cs="宋体"/>
          <w:kern w:val="0"/>
          <w:sz w:val="32"/>
          <w:szCs w:val="32"/>
          <w:lang w:val="en-US" w:eastAsia="zh-CN" w:bidi="ar-SA"/>
        </w:rPr>
      </w:pPr>
      <w:r>
        <w:rPr>
          <w:rFonts w:hint="eastAsia" w:ascii="楷体" w:eastAsia="楷体"/>
          <w:b/>
          <w:bCs/>
          <w:color w:val="auto"/>
          <w:spacing w:val="7"/>
          <w:highlight w:val="none"/>
        </w:rPr>
        <w:t>（四）验收目录。</w:t>
      </w:r>
      <w:r>
        <w:rPr>
          <w:rFonts w:hint="eastAsia" w:ascii="仿宋_GB2312" w:hAnsi="宋体" w:eastAsia="仿宋_GB2312" w:cs="宋体"/>
          <w:kern w:val="0"/>
          <w:sz w:val="32"/>
          <w:szCs w:val="32"/>
          <w:lang w:val="en-US" w:eastAsia="zh-CN" w:bidi="ar-SA"/>
        </w:rPr>
        <w:t>2020年11月15日前，度假区政务公开主管部门对上传到基层政务公开事项查询系统的各领域公开事项的要素进行验收，查找不足、指出问题、反馈改正。2020年12月底前，全区基层政务公开事项标准目录查询系统正式上线公开。</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71" w:firstLineChars="200"/>
        <w:jc w:val="both"/>
        <w:textAlignment w:val="auto"/>
        <w:rPr>
          <w:rFonts w:hint="eastAsia" w:ascii="仿宋_GB2312" w:hAnsi="宋体" w:eastAsia="仿宋_GB2312" w:cs="宋体"/>
          <w:b w:val="0"/>
          <w:bCs w:val="0"/>
          <w:kern w:val="0"/>
          <w:sz w:val="32"/>
          <w:szCs w:val="32"/>
          <w:lang w:val="en-US" w:eastAsia="zh-CN" w:bidi="ar-SA"/>
        </w:rPr>
      </w:pPr>
      <w:r>
        <w:rPr>
          <w:rFonts w:hint="eastAsia" w:ascii="楷体" w:eastAsia="楷体"/>
          <w:b/>
          <w:bCs/>
          <w:color w:val="auto"/>
          <w:spacing w:val="7"/>
          <w:highlight w:val="none"/>
        </w:rPr>
        <w:t>（五）其他任务。</w:t>
      </w:r>
      <w:r>
        <w:rPr>
          <w:rFonts w:hint="eastAsia" w:ascii="仿宋_GB2312" w:hAnsi="宋体" w:eastAsia="仿宋_GB2312" w:cs="宋体"/>
          <w:b w:val="0"/>
          <w:bCs w:val="0"/>
          <w:kern w:val="0"/>
          <w:sz w:val="32"/>
          <w:szCs w:val="32"/>
          <w:lang w:val="en-US" w:eastAsia="zh-CN" w:bidi="ar-SA"/>
        </w:rPr>
        <w:t>政务公开事项目录梳理及标准目录编制工作以外的其它具体任务，由度假区政务公开主管部门在规定的时限内自主安排开展相应工作，并对工作进度和成效进行核验。</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0" w:firstLineChars="200"/>
        <w:textAlignment w:val="auto"/>
        <w:rPr>
          <w:rFonts w:hint="eastAsia" w:ascii="黑体" w:eastAsia="黑体"/>
          <w:color w:val="auto"/>
          <w:highlight w:val="none"/>
        </w:rPr>
      </w:pPr>
      <w:r>
        <w:rPr>
          <w:rFonts w:hint="eastAsia" w:ascii="黑体" w:eastAsia="黑体"/>
          <w:color w:val="auto"/>
          <w:highlight w:val="none"/>
        </w:rPr>
        <w:t>四、保障措施</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71" w:firstLineChars="200"/>
        <w:jc w:val="both"/>
        <w:textAlignment w:val="auto"/>
        <w:rPr>
          <w:rFonts w:hint="eastAsia" w:ascii="仿宋_GB2312" w:hAnsi="宋体" w:eastAsia="仿宋_GB2312" w:cs="宋体"/>
          <w:b w:val="0"/>
          <w:bCs w:val="0"/>
          <w:kern w:val="0"/>
          <w:sz w:val="32"/>
          <w:szCs w:val="32"/>
          <w:lang w:val="en-US" w:eastAsia="zh-CN" w:bidi="ar-SA"/>
        </w:rPr>
      </w:pPr>
      <w:r>
        <w:rPr>
          <w:rFonts w:hint="eastAsia" w:ascii="楷体" w:eastAsia="楷体"/>
          <w:b/>
          <w:bCs/>
          <w:color w:val="auto"/>
          <w:spacing w:val="7"/>
          <w:highlight w:val="none"/>
        </w:rPr>
        <w:t>（一）加强组织领导。</w:t>
      </w:r>
      <w:r>
        <w:rPr>
          <w:rFonts w:hint="eastAsia" w:ascii="仿宋_GB2312" w:hAnsi="宋体" w:eastAsia="仿宋_GB2312" w:cs="宋体"/>
          <w:b w:val="0"/>
          <w:bCs w:val="0"/>
          <w:kern w:val="0"/>
          <w:sz w:val="32"/>
          <w:szCs w:val="32"/>
          <w:lang w:val="en-US" w:eastAsia="zh-CN" w:bidi="ar-SA"/>
        </w:rPr>
        <w:t>基层政务公开标准化规范化工作要在度假区政务公开领导小组统一领导下，由政务公开工作主管部门负责统筹协调推进。度假区各部门要高度重视，按照各自职责分工，切实担负起主体责任；要完善工作机制，加强督促指导、协调调度、核查核验；要制定工作方案，明确具体任务和时间节点，压实责任；要强化经费保障，精心组织实施，确保工作取得实效。</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71" w:firstLineChars="200"/>
        <w:jc w:val="both"/>
        <w:textAlignment w:val="auto"/>
        <w:rPr>
          <w:rFonts w:hint="eastAsia" w:ascii="仿宋_GB2312" w:hAnsi="宋体" w:eastAsia="仿宋_GB2312" w:cs="宋体"/>
          <w:b w:val="0"/>
          <w:bCs w:val="0"/>
          <w:kern w:val="0"/>
          <w:sz w:val="32"/>
          <w:szCs w:val="32"/>
          <w:lang w:val="en-US" w:eastAsia="zh-CN" w:bidi="ar-SA"/>
        </w:rPr>
      </w:pPr>
      <w:r>
        <w:rPr>
          <w:rFonts w:hint="eastAsia" w:ascii="楷体" w:eastAsia="楷体"/>
          <w:b/>
          <w:bCs/>
          <w:color w:val="auto"/>
          <w:spacing w:val="7"/>
          <w:highlight w:val="none"/>
        </w:rPr>
        <w:t>（二）强化队伍建设。</w:t>
      </w:r>
      <w:r>
        <w:rPr>
          <w:rFonts w:hint="eastAsia" w:ascii="仿宋_GB2312" w:hAnsi="宋体" w:eastAsia="仿宋_GB2312" w:cs="宋体"/>
          <w:b w:val="0"/>
          <w:bCs w:val="0"/>
          <w:kern w:val="0"/>
          <w:sz w:val="32"/>
          <w:szCs w:val="32"/>
          <w:lang w:val="en-US" w:eastAsia="zh-CN" w:bidi="ar-SA"/>
        </w:rPr>
        <w:t>度假区各部门要强化政务公开工作法定职责，确保政务公开工作有专人负责。要加大教育培训力度，把政务公开、政务服务、政府信息公开条例等相关内容纳入基层领导干部和公务员教育培训课程，每年至少组织1次集中培训学习，切实增强依法公开、主动公开意识，不断提高基层政务公开工作能力和水平。</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71" w:firstLineChars="200"/>
        <w:jc w:val="both"/>
        <w:textAlignment w:val="auto"/>
        <w:rPr>
          <w:rFonts w:hint="eastAsia" w:ascii="仿宋_GB2312" w:hAnsi="宋体" w:eastAsia="仿宋_GB2312" w:cs="宋体"/>
          <w:b w:val="0"/>
          <w:bCs w:val="0"/>
          <w:kern w:val="0"/>
          <w:sz w:val="32"/>
          <w:szCs w:val="32"/>
          <w:lang w:val="en-US" w:eastAsia="zh-CN" w:bidi="ar-SA"/>
        </w:rPr>
      </w:pPr>
      <w:r>
        <w:rPr>
          <w:rFonts w:hint="eastAsia" w:ascii="楷体" w:eastAsia="楷体"/>
          <w:b/>
          <w:bCs/>
          <w:color w:val="auto"/>
          <w:spacing w:val="7"/>
          <w:highlight w:val="none"/>
        </w:rPr>
        <w:t>（三）鼓励创新交流。</w:t>
      </w:r>
      <w:r>
        <w:rPr>
          <w:rFonts w:hint="eastAsia" w:ascii="仿宋_GB2312" w:hAnsi="宋体" w:eastAsia="仿宋_GB2312" w:cs="宋体"/>
          <w:b w:val="0"/>
          <w:bCs w:val="0"/>
          <w:kern w:val="0"/>
          <w:sz w:val="32"/>
          <w:szCs w:val="32"/>
          <w:lang w:val="en-US" w:eastAsia="zh-CN" w:bidi="ar-SA"/>
        </w:rPr>
        <w:t>度假区各部门要加强与省、市政府对口部门的沟通交流。要主动加强与外省市标准化试点地区的互动交流，学习借鉴先进经验和好的做法。度假区政务公开工作主管部门要加强工作指导调研，探索试点先行，通过示范引领，推动工作开展。</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71" w:firstLineChars="200"/>
        <w:jc w:val="both"/>
        <w:textAlignment w:val="auto"/>
        <w:rPr>
          <w:rFonts w:hint="eastAsia" w:ascii="仿宋_GB2312" w:hAnsi="宋体" w:eastAsia="仿宋_GB2312" w:cs="宋体"/>
          <w:b w:val="0"/>
          <w:bCs w:val="0"/>
          <w:kern w:val="0"/>
          <w:sz w:val="32"/>
          <w:szCs w:val="32"/>
          <w:lang w:val="en-US" w:eastAsia="zh-CN" w:bidi="ar-SA"/>
        </w:rPr>
      </w:pPr>
      <w:r>
        <w:rPr>
          <w:rFonts w:hint="eastAsia" w:ascii="楷体" w:eastAsia="楷体"/>
          <w:b/>
          <w:bCs/>
          <w:color w:val="auto"/>
          <w:spacing w:val="7"/>
          <w:highlight w:val="none"/>
        </w:rPr>
        <w:t>（四）强化监督考核。</w:t>
      </w:r>
      <w:r>
        <w:rPr>
          <w:rFonts w:hint="eastAsia" w:ascii="仿宋_GB2312" w:hAnsi="宋体" w:eastAsia="仿宋_GB2312" w:cs="宋体"/>
          <w:b w:val="0"/>
          <w:bCs w:val="0"/>
          <w:kern w:val="0"/>
          <w:sz w:val="32"/>
          <w:szCs w:val="32"/>
          <w:lang w:val="en-US" w:eastAsia="zh-CN" w:bidi="ar-SA"/>
        </w:rPr>
        <w:t>度假区各对口部门要做好相关领域目录标准编制、审核工作。度假区政务公开工作主管部门将对各对口部门事项梳理、目录编制、信息公开等工作推进情况，列入全区绩效考核指标，并适时组织专业机构、第三方机构等多方参与考核评估，确保工作统筹协调、有序推进。</w:t>
      </w: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640" w:firstLineChars="200"/>
        <w:jc w:val="both"/>
        <w:textAlignment w:val="auto"/>
        <w:rPr>
          <w:rFonts w:hint="eastAsia" w:ascii="仿宋_GB2312" w:hAnsi="宋体" w:eastAsia="仿宋_GB2312" w:cs="宋体"/>
          <w:b w:val="0"/>
          <w:bCs w:val="0"/>
          <w:kern w:val="0"/>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596" w:firstLineChars="200"/>
        <w:jc w:val="both"/>
        <w:textAlignment w:val="auto"/>
        <w:rPr>
          <w:color w:val="auto"/>
          <w:highlight w:val="none"/>
        </w:rPr>
      </w:pPr>
      <w:r>
        <w:rPr>
          <w:rFonts w:hint="eastAsia"/>
          <w:color w:val="auto"/>
          <w:spacing w:val="-11"/>
          <w:highlight w:val="none"/>
          <w:lang w:eastAsia="zh-CN"/>
        </w:rPr>
        <w:t>附件：</w:t>
      </w:r>
      <w:r>
        <w:rPr>
          <w:rFonts w:hint="eastAsia" w:ascii="仿宋_GB2312" w:hAnsi="宋体" w:eastAsia="仿宋_GB2312" w:cs="宋体"/>
          <w:b w:val="0"/>
          <w:bCs w:val="0"/>
          <w:kern w:val="0"/>
          <w:sz w:val="32"/>
          <w:szCs w:val="32"/>
          <w:lang w:val="en-US" w:eastAsia="zh-CN" w:bidi="ar-SA"/>
        </w:rPr>
        <w:t>1.</w:t>
      </w:r>
      <w:r>
        <w:rPr>
          <w:color w:val="auto"/>
          <w:spacing w:val="-11"/>
          <w:highlight w:val="none"/>
        </w:rPr>
        <w:t>国务院有关部门</w:t>
      </w:r>
      <w:r>
        <w:rPr>
          <w:rFonts w:ascii="Times New Roman" w:eastAsia="Times New Roman"/>
          <w:color w:val="auto"/>
          <w:highlight w:val="none"/>
        </w:rPr>
        <w:t>26</w:t>
      </w:r>
      <w:r>
        <w:rPr>
          <w:color w:val="auto"/>
          <w:spacing w:val="-13"/>
          <w:highlight w:val="none"/>
        </w:rPr>
        <w:t>个试点领域标准指引</w:t>
      </w:r>
      <w:r>
        <w:rPr>
          <w:color w:val="auto"/>
          <w:spacing w:val="-5"/>
          <w:highlight w:val="none"/>
        </w:rPr>
        <w:t>（</w:t>
      </w:r>
      <w:r>
        <w:rPr>
          <w:color w:val="auto"/>
          <w:spacing w:val="-4"/>
          <w:highlight w:val="none"/>
        </w:rPr>
        <w:t>查询网</w:t>
      </w:r>
      <w:r>
        <w:rPr>
          <w:rFonts w:hint="eastAsia"/>
          <w:color w:val="auto"/>
          <w:spacing w:val="-4"/>
          <w:highlight w:val="none"/>
          <w:lang w:eastAsia="zh-CN"/>
        </w:rPr>
        <w:t>址：</w:t>
      </w:r>
      <w:r>
        <w:rPr>
          <w:color w:val="auto"/>
          <w:highlight w:val="none"/>
        </w:rPr>
        <w:fldChar w:fldCharType="begin"/>
      </w:r>
      <w:r>
        <w:rPr>
          <w:color w:val="auto"/>
          <w:highlight w:val="none"/>
        </w:rPr>
        <w:instrText xml:space="preserve"> HYPERLINK "http://xxgk.jl.gov.cn/wdfj/202002/t20200216_6838784.html" \h </w:instrText>
      </w:r>
      <w:r>
        <w:rPr>
          <w:color w:val="auto"/>
          <w:highlight w:val="none"/>
        </w:rPr>
        <w:fldChar w:fldCharType="separate"/>
      </w:r>
      <w:r>
        <w:rPr>
          <w:rFonts w:ascii="Times New Roman" w:eastAsia="Times New Roman"/>
          <w:color w:val="auto"/>
          <w:highlight w:val="none"/>
        </w:rPr>
        <w:t>http://xxgk.jl.gov.cn/wdfj/202002/t20200216_6838784.html</w:t>
      </w:r>
      <w:r>
        <w:rPr>
          <w:rFonts w:ascii="Times New Roman" w:eastAsia="Times New Roman"/>
          <w:color w:val="auto"/>
          <w:highlight w:val="none"/>
        </w:rPr>
        <w:fldChar w:fldCharType="end"/>
      </w:r>
      <w:r>
        <w:rPr>
          <w:rFonts w:ascii="Times New Roman" w:eastAsia="Times New Roman"/>
          <w:color w:val="auto"/>
          <w:highlight w:val="none"/>
        </w:rPr>
        <w:t xml:space="preserve"> </w:t>
      </w:r>
      <w:r>
        <w:rPr>
          <w:color w:val="auto"/>
          <w:highlight w:val="none"/>
        </w:rPr>
        <w:t>）</w:t>
      </w:r>
    </w:p>
    <w:p>
      <w:pPr>
        <w:pStyle w:val="3"/>
        <w:keepNext w:val="0"/>
        <w:keepLines w:val="0"/>
        <w:pageBreakBefore w:val="0"/>
        <w:widowControl w:val="0"/>
        <w:numPr>
          <w:ilvl w:val="0"/>
          <w:numId w:val="0"/>
        </w:numPr>
        <w:kinsoku/>
        <w:wordWrap/>
        <w:overflowPunct/>
        <w:topLinePunct w:val="0"/>
        <w:autoSpaceDE w:val="0"/>
        <w:autoSpaceDN w:val="0"/>
        <w:bidi w:val="0"/>
        <w:snapToGrid/>
        <w:spacing w:before="0" w:line="540" w:lineRule="exact"/>
        <w:ind w:right="0" w:rightChars="0" w:firstLine="1280" w:firstLineChars="400"/>
        <w:jc w:val="both"/>
        <w:textAlignment w:val="auto"/>
        <w:rPr>
          <w:rFonts w:hint="eastAsia"/>
          <w:color w:val="auto"/>
          <w:highlight w:val="none"/>
          <w:lang w:val="en-US" w:eastAsia="zh-CN"/>
        </w:rPr>
      </w:pPr>
      <w:r>
        <w:rPr>
          <w:rFonts w:hint="eastAsia" w:ascii="仿宋_GB2312" w:hAnsi="宋体" w:eastAsia="仿宋_GB2312" w:cs="宋体"/>
          <w:b w:val="0"/>
          <w:bCs w:val="0"/>
          <w:kern w:val="0"/>
          <w:sz w:val="32"/>
          <w:szCs w:val="32"/>
          <w:lang w:val="en-US" w:eastAsia="zh-CN" w:bidi="ar-SA"/>
        </w:rPr>
        <w:t>2.基</w:t>
      </w:r>
      <w:r>
        <w:rPr>
          <w:rFonts w:hint="eastAsia"/>
          <w:color w:val="auto"/>
          <w:highlight w:val="none"/>
          <w:lang w:val="en-US" w:eastAsia="zh-CN"/>
        </w:rPr>
        <w:t>层政务公开事项标准目录查询系统录入模板样式</w:t>
      </w:r>
    </w:p>
    <w:p>
      <w:pPr>
        <w:ind w:firstLine="1280" w:firstLineChars="400"/>
        <w:jc w:val="both"/>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3.《莲花山26个重点领域涉及部门分工表》</w:t>
      </w:r>
    </w:p>
    <w:p>
      <w:pPr>
        <w:ind w:firstLine="1280" w:firstLineChars="400"/>
        <w:jc w:val="both"/>
        <w:rPr>
          <w:rFonts w:hint="eastAsia" w:ascii="仿宋_GB2312" w:hAnsi="宋体" w:eastAsia="仿宋_GB2312" w:cs="宋体"/>
          <w:b w:val="0"/>
          <w:bCs w:val="0"/>
          <w:kern w:val="0"/>
          <w:sz w:val="32"/>
          <w:szCs w:val="32"/>
          <w:lang w:val="en-US" w:eastAsia="zh-CN" w:bidi="ar-SA"/>
        </w:rPr>
      </w:pPr>
    </w:p>
    <w:p>
      <w:pPr>
        <w:ind w:firstLine="1280" w:firstLineChars="400"/>
        <w:jc w:val="both"/>
        <w:rPr>
          <w:rFonts w:hint="eastAsia" w:ascii="仿宋_GB2312" w:hAnsi="宋体" w:eastAsia="仿宋_GB2312" w:cs="宋体"/>
          <w:b w:val="0"/>
          <w:bCs w:val="0"/>
          <w:kern w:val="0"/>
          <w:sz w:val="32"/>
          <w:szCs w:val="32"/>
          <w:lang w:val="en-US" w:eastAsia="zh-CN" w:bidi="ar-SA"/>
        </w:rPr>
      </w:pPr>
    </w:p>
    <w:p>
      <w:pPr>
        <w:ind w:firstLine="1280" w:firstLineChars="400"/>
        <w:jc w:val="both"/>
        <w:rPr>
          <w:rFonts w:hint="eastAsia" w:ascii="仿宋_GB2312" w:hAnsi="宋体" w:eastAsia="仿宋_GB2312" w:cs="宋体"/>
          <w:b w:val="0"/>
          <w:bCs w:val="0"/>
          <w:kern w:val="0"/>
          <w:sz w:val="32"/>
          <w:szCs w:val="32"/>
          <w:lang w:val="en-US" w:eastAsia="zh-CN" w:bidi="ar-SA"/>
        </w:rPr>
      </w:pPr>
    </w:p>
    <w:p>
      <w:pPr>
        <w:ind w:firstLine="1280" w:firstLineChars="400"/>
        <w:jc w:val="both"/>
        <w:rPr>
          <w:rFonts w:hint="eastAsia" w:ascii="仿宋_GB2312" w:hAnsi="宋体" w:eastAsia="仿宋_GB2312" w:cs="宋体"/>
          <w:b w:val="0"/>
          <w:bCs w:val="0"/>
          <w:kern w:val="0"/>
          <w:sz w:val="32"/>
          <w:szCs w:val="32"/>
          <w:lang w:val="en-US" w:eastAsia="zh-CN" w:bidi="ar-SA"/>
        </w:rPr>
      </w:pPr>
    </w:p>
    <w:p>
      <w:pPr>
        <w:ind w:firstLine="1280" w:firstLineChars="400"/>
        <w:jc w:val="both"/>
        <w:rPr>
          <w:rFonts w:hint="eastAsia" w:ascii="仿宋_GB2312" w:hAnsi="宋体" w:eastAsia="仿宋_GB2312" w:cs="宋体"/>
          <w:b w:val="0"/>
          <w:bCs w:val="0"/>
          <w:kern w:val="0"/>
          <w:sz w:val="32"/>
          <w:szCs w:val="32"/>
          <w:lang w:val="en-US" w:eastAsia="zh-CN" w:bidi="ar-SA"/>
        </w:rPr>
      </w:pPr>
    </w:p>
    <w:p>
      <w:pPr>
        <w:ind w:firstLine="1280" w:firstLineChars="400"/>
        <w:jc w:val="both"/>
        <w:rPr>
          <w:rFonts w:hint="eastAsia" w:ascii="仿宋_GB2312" w:hAnsi="宋体" w:eastAsia="仿宋_GB2312" w:cs="宋体"/>
          <w:b w:val="0"/>
          <w:bCs w:val="0"/>
          <w:kern w:val="0"/>
          <w:sz w:val="32"/>
          <w:szCs w:val="32"/>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79" w:lineRule="auto"/>
        <w:jc w:val="left"/>
        <w:textAlignment w:val="auto"/>
        <w:rPr>
          <w:rFonts w:hint="eastAsia" w:ascii="仿宋_GB2312" w:hAnsi="仿宋_GB2312" w:eastAsia="仿宋_GB2312" w:cs="仿宋_GB2312"/>
          <w:b w:val="0"/>
          <w:bCs/>
          <w:sz w:val="24"/>
          <w:szCs w:val="24"/>
          <w:lang w:val="en-US" w:eastAsia="zh-CN"/>
        </w:rPr>
      </w:pPr>
      <w:bookmarkStart w:id="0" w:name="_Toc24724713"/>
      <w:r>
        <w:rPr>
          <w:rFonts w:hint="eastAsia" w:ascii="仿宋_GB2312" w:hAnsi="仿宋_GB2312" w:eastAsia="仿宋_GB2312" w:cs="仿宋_GB2312"/>
          <w:b w:val="0"/>
          <w:bCs/>
          <w:sz w:val="24"/>
          <w:szCs w:val="24"/>
          <w:lang w:eastAsia="zh-CN"/>
        </w:rPr>
        <w:t>附件</w:t>
      </w:r>
      <w:r>
        <w:rPr>
          <w:rFonts w:hint="eastAsia" w:ascii="仿宋_GB2312" w:hAnsi="仿宋_GB2312" w:eastAsia="仿宋_GB2312" w:cs="仿宋_GB2312"/>
          <w:b w:val="0"/>
          <w:bCs/>
          <w:sz w:val="24"/>
          <w:szCs w:val="24"/>
          <w:lang w:val="en-US" w:eastAsia="zh-CN"/>
        </w:rPr>
        <w:t>2：</w:t>
      </w:r>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方正小标宋_GBK" w:eastAsia="方正小标宋_GBK"/>
          <w:b w:val="0"/>
          <w:sz w:val="30"/>
          <w:szCs w:val="30"/>
        </w:rPr>
      </w:pPr>
      <w:r>
        <w:rPr>
          <w:rFonts w:hint="eastAsia" w:ascii="方正小标宋_GBK" w:eastAsia="方正小标宋_GBK"/>
          <w:b w:val="0"/>
          <w:sz w:val="30"/>
          <w:szCs w:val="30"/>
        </w:rPr>
        <w:t>（</w:t>
      </w:r>
      <w:r>
        <w:rPr>
          <w:rFonts w:hint="eastAsia" w:ascii="方正小标宋_GBK" w:eastAsia="方正小标宋_GBK"/>
          <w:b w:val="0"/>
          <w:sz w:val="30"/>
          <w:szCs w:val="30"/>
          <w:lang w:val="en-US" w:eastAsia="zh-CN"/>
        </w:rPr>
        <w:t>X</w:t>
      </w:r>
      <w:r>
        <w:rPr>
          <w:rFonts w:hint="eastAsia" w:ascii="方正小标宋_GBK" w:eastAsia="方正小标宋_GBK"/>
          <w:b w:val="0"/>
          <w:sz w:val="30"/>
          <w:szCs w:val="30"/>
        </w:rPr>
        <w:t>）</w:t>
      </w:r>
      <w:r>
        <w:rPr>
          <w:rFonts w:hint="eastAsia" w:ascii="方正小标宋_GBK" w:eastAsia="方正小标宋_GBK"/>
          <w:b w:val="0"/>
          <w:sz w:val="30"/>
          <w:szCs w:val="30"/>
          <w:lang w:val="en-US" w:eastAsia="zh-CN"/>
        </w:rPr>
        <w:t>XXXX</w:t>
      </w:r>
      <w:r>
        <w:rPr>
          <w:rFonts w:hint="eastAsia" w:ascii="方正小标宋_GBK" w:eastAsia="方正小标宋_GBK"/>
          <w:b w:val="0"/>
          <w:sz w:val="30"/>
          <w:szCs w:val="30"/>
        </w:rPr>
        <w:t>领域基层政务公开标准目录</w:t>
      </w:r>
      <w:bookmarkEnd w:id="0"/>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方正小标宋_GBK" w:eastAsia="方正小标宋_GBK"/>
          <w:b w:val="0"/>
          <w:sz w:val="30"/>
          <w:szCs w:val="30"/>
          <w:lang w:eastAsia="zh-CN"/>
        </w:rPr>
      </w:pPr>
      <w:r>
        <w:rPr>
          <w:rFonts w:hint="eastAsia" w:ascii="方正小标宋_GBK" w:eastAsia="方正小标宋_GBK"/>
          <w:b w:val="0"/>
          <w:sz w:val="30"/>
          <w:szCs w:val="30"/>
          <w:lang w:eastAsia="zh-CN"/>
        </w:rPr>
        <w:t>（基层政务公开事项标准目录查询系统录入模板样式）</w:t>
      </w:r>
    </w:p>
    <w:p>
      <w:pPr>
        <w:rPr>
          <w:rFonts w:hint="default"/>
          <w:lang w:val="en-US" w:eastAsia="zh-CN"/>
        </w:rPr>
      </w:pPr>
    </w:p>
    <w:tbl>
      <w:tblPr>
        <w:tblStyle w:val="5"/>
        <w:tblW w:w="15694"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19"/>
        <w:gridCol w:w="1079"/>
        <w:gridCol w:w="3056"/>
        <w:gridCol w:w="2033"/>
        <w:gridCol w:w="1618"/>
        <w:gridCol w:w="1022"/>
        <w:gridCol w:w="1494"/>
        <w:gridCol w:w="719"/>
        <w:gridCol w:w="719"/>
        <w:gridCol w:w="539"/>
        <w:gridCol w:w="719"/>
        <w:gridCol w:w="71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39"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79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5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3"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18"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2"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（标明部门）</w:t>
            </w:r>
          </w:p>
        </w:tc>
        <w:tc>
          <w:tcPr>
            <w:tcW w:w="1494"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3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5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3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539" w:type="dxa"/>
            <w:vMerge w:val="continue"/>
            <w:noWrap w:val="0"/>
            <w:vAlign w:val="center"/>
          </w:tcPr>
          <w:p>
            <w:pPr>
              <w:widowControl/>
              <w:jc w:val="left"/>
              <w:rPr>
                <w:rFonts w:ascii="Times New Roman" w:hAnsi="Times New Roman"/>
                <w:color w:val="000000"/>
                <w:kern w:val="0"/>
                <w:sz w:val="15"/>
                <w:szCs w:val="15"/>
              </w:rPr>
            </w:pPr>
          </w:p>
        </w:tc>
        <w:tc>
          <w:tcPr>
            <w:tcW w:w="71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7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56" w:type="dxa"/>
            <w:vMerge w:val="continue"/>
            <w:noWrap w:val="0"/>
            <w:vAlign w:val="center"/>
          </w:tcPr>
          <w:p>
            <w:pPr>
              <w:widowControl/>
              <w:rPr>
                <w:rFonts w:ascii="黑体" w:hAnsi="宋体" w:eastAsia="黑体" w:cs="宋体"/>
                <w:color w:val="000000"/>
                <w:kern w:val="0"/>
                <w:sz w:val="22"/>
              </w:rPr>
            </w:pPr>
          </w:p>
        </w:tc>
        <w:tc>
          <w:tcPr>
            <w:tcW w:w="2033" w:type="dxa"/>
            <w:vMerge w:val="continue"/>
            <w:noWrap w:val="0"/>
            <w:vAlign w:val="center"/>
          </w:tcPr>
          <w:p>
            <w:pPr>
              <w:widowControl/>
              <w:jc w:val="left"/>
              <w:rPr>
                <w:rFonts w:ascii="黑体" w:hAnsi="宋体" w:eastAsia="黑体" w:cs="宋体"/>
                <w:color w:val="000000"/>
                <w:kern w:val="0"/>
                <w:sz w:val="22"/>
              </w:rPr>
            </w:pPr>
          </w:p>
        </w:tc>
        <w:tc>
          <w:tcPr>
            <w:tcW w:w="1618" w:type="dxa"/>
            <w:vMerge w:val="continue"/>
            <w:noWrap w:val="0"/>
            <w:vAlign w:val="center"/>
          </w:tcPr>
          <w:p>
            <w:pPr>
              <w:widowControl/>
              <w:jc w:val="left"/>
              <w:rPr>
                <w:rFonts w:ascii="黑体" w:hAnsi="宋体" w:eastAsia="黑体" w:cs="宋体"/>
                <w:color w:val="000000"/>
                <w:kern w:val="0"/>
                <w:sz w:val="22"/>
              </w:rPr>
            </w:pPr>
          </w:p>
        </w:tc>
        <w:tc>
          <w:tcPr>
            <w:tcW w:w="1022" w:type="dxa"/>
            <w:vMerge w:val="continue"/>
            <w:noWrap w:val="0"/>
            <w:vAlign w:val="center"/>
          </w:tcPr>
          <w:p>
            <w:pPr>
              <w:widowControl/>
              <w:jc w:val="left"/>
              <w:rPr>
                <w:rFonts w:ascii="黑体" w:hAnsi="宋体" w:eastAsia="黑体" w:cs="宋体"/>
                <w:color w:val="000000"/>
                <w:kern w:val="0"/>
                <w:sz w:val="22"/>
              </w:rPr>
            </w:pPr>
          </w:p>
        </w:tc>
        <w:tc>
          <w:tcPr>
            <w:tcW w:w="1494" w:type="dxa"/>
            <w:vMerge w:val="continue"/>
            <w:noWrap w:val="0"/>
            <w:vAlign w:val="center"/>
          </w:tcPr>
          <w:p>
            <w:pPr>
              <w:widowControl/>
              <w:jc w:val="left"/>
              <w:rPr>
                <w:rFonts w:ascii="黑体" w:hAnsi="宋体" w:eastAsia="黑体" w:cs="宋体"/>
                <w:kern w:val="0"/>
                <w:sz w:val="22"/>
              </w:rPr>
            </w:pPr>
          </w:p>
        </w:tc>
        <w:tc>
          <w:tcPr>
            <w:tcW w:w="71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3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1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区</w:t>
            </w:r>
            <w:r>
              <w:rPr>
                <w:rFonts w:hint="eastAsia" w:ascii="黑体" w:hAnsi="宋体" w:eastAsia="黑体" w:cs="宋体"/>
                <w:color w:val="000000"/>
                <w:kern w:val="0"/>
                <w:sz w:val="22"/>
              </w:rPr>
              <w:t>级</w:t>
            </w:r>
          </w:p>
        </w:tc>
        <w:tc>
          <w:tcPr>
            <w:tcW w:w="71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乡镇</w:t>
            </w:r>
            <w:bookmarkStart w:id="1" w:name="_GoBack"/>
            <w:bookmarkEnd w:id="1"/>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39" w:type="dxa"/>
            <w:noWrap w:val="0"/>
            <w:vAlign w:val="center"/>
          </w:tcPr>
          <w:p>
            <w:pPr>
              <w:widowControl/>
              <w:jc w:val="left"/>
              <w:rPr>
                <w:rFonts w:ascii="Times New Roman" w:hAnsi="Times New Roman"/>
                <w:color w:val="000000"/>
                <w:kern w:val="0"/>
                <w:sz w:val="15"/>
                <w:szCs w:val="15"/>
              </w:rPr>
            </w:pPr>
          </w:p>
        </w:tc>
        <w:tc>
          <w:tcPr>
            <w:tcW w:w="719" w:type="dxa"/>
            <w:noWrap w:val="0"/>
            <w:vAlign w:val="center"/>
          </w:tcPr>
          <w:p>
            <w:pPr>
              <w:widowControl/>
              <w:jc w:val="center"/>
              <w:rPr>
                <w:rFonts w:hint="eastAsia" w:ascii="黑体" w:hAnsi="宋体" w:eastAsia="黑体" w:cs="宋体"/>
                <w:color w:val="000000"/>
                <w:kern w:val="0"/>
                <w:sz w:val="22"/>
              </w:rPr>
            </w:pPr>
          </w:p>
        </w:tc>
        <w:tc>
          <w:tcPr>
            <w:tcW w:w="1079" w:type="dxa"/>
            <w:noWrap w:val="0"/>
            <w:vAlign w:val="center"/>
          </w:tcPr>
          <w:p>
            <w:pPr>
              <w:widowControl/>
              <w:jc w:val="center"/>
              <w:rPr>
                <w:rFonts w:hint="eastAsia" w:ascii="黑体" w:hAnsi="宋体" w:eastAsia="黑体" w:cs="宋体"/>
                <w:color w:val="000000"/>
                <w:kern w:val="0"/>
                <w:sz w:val="22"/>
              </w:rPr>
            </w:pPr>
          </w:p>
        </w:tc>
        <w:tc>
          <w:tcPr>
            <w:tcW w:w="3056" w:type="dxa"/>
            <w:noWrap w:val="0"/>
            <w:vAlign w:val="center"/>
          </w:tcPr>
          <w:p>
            <w:pPr>
              <w:widowControl/>
              <w:rPr>
                <w:rFonts w:ascii="黑体" w:hAnsi="宋体" w:eastAsia="黑体" w:cs="宋体"/>
                <w:color w:val="000000"/>
                <w:kern w:val="0"/>
                <w:sz w:val="22"/>
              </w:rPr>
            </w:pPr>
          </w:p>
        </w:tc>
        <w:tc>
          <w:tcPr>
            <w:tcW w:w="2033" w:type="dxa"/>
            <w:noWrap w:val="0"/>
            <w:vAlign w:val="center"/>
          </w:tcPr>
          <w:p>
            <w:pPr>
              <w:widowControl/>
              <w:jc w:val="left"/>
              <w:rPr>
                <w:rFonts w:ascii="黑体" w:hAnsi="宋体" w:eastAsia="黑体" w:cs="宋体"/>
                <w:color w:val="000000"/>
                <w:kern w:val="0"/>
                <w:sz w:val="22"/>
              </w:rPr>
            </w:pPr>
          </w:p>
        </w:tc>
        <w:tc>
          <w:tcPr>
            <w:tcW w:w="1618" w:type="dxa"/>
            <w:noWrap w:val="0"/>
            <w:vAlign w:val="center"/>
          </w:tcPr>
          <w:p>
            <w:pPr>
              <w:widowControl/>
              <w:jc w:val="left"/>
              <w:rPr>
                <w:rFonts w:ascii="黑体" w:hAnsi="宋体" w:eastAsia="黑体" w:cs="宋体"/>
                <w:color w:val="000000"/>
                <w:kern w:val="0"/>
                <w:sz w:val="22"/>
              </w:rPr>
            </w:pPr>
          </w:p>
        </w:tc>
        <w:tc>
          <w:tcPr>
            <w:tcW w:w="1022" w:type="dxa"/>
            <w:noWrap w:val="0"/>
            <w:vAlign w:val="center"/>
          </w:tcPr>
          <w:p>
            <w:pPr>
              <w:widowControl/>
              <w:jc w:val="left"/>
              <w:rPr>
                <w:rFonts w:ascii="黑体" w:hAnsi="宋体" w:eastAsia="黑体" w:cs="宋体"/>
                <w:color w:val="000000"/>
                <w:kern w:val="0"/>
                <w:sz w:val="22"/>
              </w:rPr>
            </w:pPr>
          </w:p>
        </w:tc>
        <w:tc>
          <w:tcPr>
            <w:tcW w:w="1494" w:type="dxa"/>
            <w:noWrap w:val="0"/>
            <w:vAlign w:val="center"/>
          </w:tcPr>
          <w:p>
            <w:pPr>
              <w:widowControl/>
              <w:jc w:val="left"/>
              <w:rPr>
                <w:rFonts w:ascii="黑体" w:hAnsi="宋体" w:eastAsia="黑体" w:cs="宋体"/>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53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39" w:type="dxa"/>
            <w:noWrap w:val="0"/>
            <w:vAlign w:val="center"/>
          </w:tcPr>
          <w:p>
            <w:pPr>
              <w:widowControl/>
              <w:jc w:val="left"/>
              <w:rPr>
                <w:rFonts w:ascii="Times New Roman" w:hAnsi="Times New Roman"/>
                <w:color w:val="000000"/>
                <w:kern w:val="0"/>
                <w:sz w:val="15"/>
                <w:szCs w:val="15"/>
              </w:rPr>
            </w:pPr>
          </w:p>
        </w:tc>
        <w:tc>
          <w:tcPr>
            <w:tcW w:w="719" w:type="dxa"/>
            <w:noWrap w:val="0"/>
            <w:vAlign w:val="center"/>
          </w:tcPr>
          <w:p>
            <w:pPr>
              <w:widowControl/>
              <w:jc w:val="center"/>
              <w:rPr>
                <w:rFonts w:hint="eastAsia" w:ascii="黑体" w:hAnsi="宋体" w:eastAsia="黑体" w:cs="宋体"/>
                <w:color w:val="000000"/>
                <w:kern w:val="0"/>
                <w:sz w:val="22"/>
              </w:rPr>
            </w:pPr>
          </w:p>
        </w:tc>
        <w:tc>
          <w:tcPr>
            <w:tcW w:w="1079" w:type="dxa"/>
            <w:noWrap w:val="0"/>
            <w:vAlign w:val="center"/>
          </w:tcPr>
          <w:p>
            <w:pPr>
              <w:widowControl/>
              <w:jc w:val="center"/>
              <w:rPr>
                <w:rFonts w:hint="eastAsia" w:ascii="黑体" w:hAnsi="宋体" w:eastAsia="黑体" w:cs="宋体"/>
                <w:color w:val="000000"/>
                <w:kern w:val="0"/>
                <w:sz w:val="22"/>
              </w:rPr>
            </w:pPr>
          </w:p>
        </w:tc>
        <w:tc>
          <w:tcPr>
            <w:tcW w:w="3056" w:type="dxa"/>
            <w:noWrap w:val="0"/>
            <w:vAlign w:val="center"/>
          </w:tcPr>
          <w:p>
            <w:pPr>
              <w:widowControl/>
              <w:rPr>
                <w:rFonts w:ascii="黑体" w:hAnsi="宋体" w:eastAsia="黑体" w:cs="宋体"/>
                <w:color w:val="000000"/>
                <w:kern w:val="0"/>
                <w:sz w:val="22"/>
              </w:rPr>
            </w:pPr>
          </w:p>
        </w:tc>
        <w:tc>
          <w:tcPr>
            <w:tcW w:w="2033" w:type="dxa"/>
            <w:noWrap w:val="0"/>
            <w:vAlign w:val="center"/>
          </w:tcPr>
          <w:p>
            <w:pPr>
              <w:widowControl/>
              <w:jc w:val="left"/>
              <w:rPr>
                <w:rFonts w:ascii="黑体" w:hAnsi="宋体" w:eastAsia="黑体" w:cs="宋体"/>
                <w:color w:val="000000"/>
                <w:kern w:val="0"/>
                <w:sz w:val="22"/>
              </w:rPr>
            </w:pPr>
          </w:p>
        </w:tc>
        <w:tc>
          <w:tcPr>
            <w:tcW w:w="1618" w:type="dxa"/>
            <w:noWrap w:val="0"/>
            <w:vAlign w:val="center"/>
          </w:tcPr>
          <w:p>
            <w:pPr>
              <w:widowControl/>
              <w:jc w:val="left"/>
              <w:rPr>
                <w:rFonts w:ascii="黑体" w:hAnsi="宋体" w:eastAsia="黑体" w:cs="宋体"/>
                <w:color w:val="000000"/>
                <w:kern w:val="0"/>
                <w:sz w:val="22"/>
              </w:rPr>
            </w:pPr>
          </w:p>
        </w:tc>
        <w:tc>
          <w:tcPr>
            <w:tcW w:w="1022" w:type="dxa"/>
            <w:noWrap w:val="0"/>
            <w:vAlign w:val="center"/>
          </w:tcPr>
          <w:p>
            <w:pPr>
              <w:widowControl/>
              <w:jc w:val="left"/>
              <w:rPr>
                <w:rFonts w:ascii="黑体" w:hAnsi="宋体" w:eastAsia="黑体" w:cs="宋体"/>
                <w:color w:val="000000"/>
                <w:kern w:val="0"/>
                <w:sz w:val="22"/>
              </w:rPr>
            </w:pPr>
          </w:p>
        </w:tc>
        <w:tc>
          <w:tcPr>
            <w:tcW w:w="1494" w:type="dxa"/>
            <w:noWrap w:val="0"/>
            <w:vAlign w:val="center"/>
          </w:tcPr>
          <w:p>
            <w:pPr>
              <w:widowControl/>
              <w:jc w:val="left"/>
              <w:rPr>
                <w:rFonts w:ascii="黑体" w:hAnsi="宋体" w:eastAsia="黑体" w:cs="宋体"/>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53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39" w:type="dxa"/>
            <w:noWrap w:val="0"/>
            <w:vAlign w:val="center"/>
          </w:tcPr>
          <w:p>
            <w:pPr>
              <w:widowControl/>
              <w:jc w:val="left"/>
              <w:rPr>
                <w:rFonts w:ascii="Times New Roman" w:hAnsi="Times New Roman"/>
                <w:color w:val="000000"/>
                <w:kern w:val="0"/>
                <w:sz w:val="15"/>
                <w:szCs w:val="15"/>
              </w:rPr>
            </w:pPr>
          </w:p>
        </w:tc>
        <w:tc>
          <w:tcPr>
            <w:tcW w:w="719" w:type="dxa"/>
            <w:noWrap w:val="0"/>
            <w:vAlign w:val="center"/>
          </w:tcPr>
          <w:p>
            <w:pPr>
              <w:widowControl/>
              <w:jc w:val="center"/>
              <w:rPr>
                <w:rFonts w:hint="eastAsia" w:ascii="黑体" w:hAnsi="宋体" w:eastAsia="黑体" w:cs="宋体"/>
                <w:color w:val="000000"/>
                <w:kern w:val="0"/>
                <w:sz w:val="22"/>
              </w:rPr>
            </w:pPr>
          </w:p>
        </w:tc>
        <w:tc>
          <w:tcPr>
            <w:tcW w:w="1079" w:type="dxa"/>
            <w:noWrap w:val="0"/>
            <w:vAlign w:val="center"/>
          </w:tcPr>
          <w:p>
            <w:pPr>
              <w:widowControl/>
              <w:jc w:val="center"/>
              <w:rPr>
                <w:rFonts w:hint="eastAsia" w:ascii="黑体" w:hAnsi="宋体" w:eastAsia="黑体" w:cs="宋体"/>
                <w:color w:val="000000"/>
                <w:kern w:val="0"/>
                <w:sz w:val="22"/>
              </w:rPr>
            </w:pPr>
          </w:p>
        </w:tc>
        <w:tc>
          <w:tcPr>
            <w:tcW w:w="3056" w:type="dxa"/>
            <w:noWrap w:val="0"/>
            <w:vAlign w:val="center"/>
          </w:tcPr>
          <w:p>
            <w:pPr>
              <w:widowControl/>
              <w:rPr>
                <w:rFonts w:ascii="黑体" w:hAnsi="宋体" w:eastAsia="黑体" w:cs="宋体"/>
                <w:color w:val="000000"/>
                <w:kern w:val="0"/>
                <w:sz w:val="22"/>
              </w:rPr>
            </w:pPr>
          </w:p>
        </w:tc>
        <w:tc>
          <w:tcPr>
            <w:tcW w:w="2033" w:type="dxa"/>
            <w:noWrap w:val="0"/>
            <w:vAlign w:val="center"/>
          </w:tcPr>
          <w:p>
            <w:pPr>
              <w:widowControl/>
              <w:jc w:val="left"/>
              <w:rPr>
                <w:rFonts w:ascii="黑体" w:hAnsi="宋体" w:eastAsia="黑体" w:cs="宋体"/>
                <w:color w:val="000000"/>
                <w:kern w:val="0"/>
                <w:sz w:val="22"/>
              </w:rPr>
            </w:pPr>
          </w:p>
        </w:tc>
        <w:tc>
          <w:tcPr>
            <w:tcW w:w="1618" w:type="dxa"/>
            <w:noWrap w:val="0"/>
            <w:vAlign w:val="center"/>
          </w:tcPr>
          <w:p>
            <w:pPr>
              <w:widowControl/>
              <w:jc w:val="left"/>
              <w:rPr>
                <w:rFonts w:ascii="黑体" w:hAnsi="宋体" w:eastAsia="黑体" w:cs="宋体"/>
                <w:color w:val="000000"/>
                <w:kern w:val="0"/>
                <w:sz w:val="22"/>
              </w:rPr>
            </w:pPr>
          </w:p>
        </w:tc>
        <w:tc>
          <w:tcPr>
            <w:tcW w:w="1022" w:type="dxa"/>
            <w:noWrap w:val="0"/>
            <w:vAlign w:val="center"/>
          </w:tcPr>
          <w:p>
            <w:pPr>
              <w:widowControl/>
              <w:jc w:val="left"/>
              <w:rPr>
                <w:rFonts w:ascii="黑体" w:hAnsi="宋体" w:eastAsia="黑体" w:cs="宋体"/>
                <w:color w:val="000000"/>
                <w:kern w:val="0"/>
                <w:sz w:val="22"/>
              </w:rPr>
            </w:pPr>
          </w:p>
        </w:tc>
        <w:tc>
          <w:tcPr>
            <w:tcW w:w="1494" w:type="dxa"/>
            <w:noWrap w:val="0"/>
            <w:vAlign w:val="center"/>
          </w:tcPr>
          <w:p>
            <w:pPr>
              <w:widowControl/>
              <w:jc w:val="left"/>
              <w:rPr>
                <w:rFonts w:ascii="黑体" w:hAnsi="宋体" w:eastAsia="黑体" w:cs="宋体"/>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53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39" w:type="dxa"/>
            <w:noWrap w:val="0"/>
            <w:vAlign w:val="center"/>
          </w:tcPr>
          <w:p>
            <w:pPr>
              <w:widowControl/>
              <w:jc w:val="left"/>
              <w:rPr>
                <w:rFonts w:ascii="Times New Roman" w:hAnsi="Times New Roman"/>
                <w:color w:val="000000"/>
                <w:kern w:val="0"/>
                <w:sz w:val="15"/>
                <w:szCs w:val="15"/>
              </w:rPr>
            </w:pPr>
          </w:p>
        </w:tc>
        <w:tc>
          <w:tcPr>
            <w:tcW w:w="719" w:type="dxa"/>
            <w:noWrap w:val="0"/>
            <w:vAlign w:val="center"/>
          </w:tcPr>
          <w:p>
            <w:pPr>
              <w:widowControl/>
              <w:jc w:val="center"/>
              <w:rPr>
                <w:rFonts w:hint="eastAsia" w:ascii="黑体" w:hAnsi="宋体" w:eastAsia="黑体" w:cs="宋体"/>
                <w:color w:val="000000"/>
                <w:kern w:val="0"/>
                <w:sz w:val="22"/>
              </w:rPr>
            </w:pPr>
          </w:p>
        </w:tc>
        <w:tc>
          <w:tcPr>
            <w:tcW w:w="1079" w:type="dxa"/>
            <w:noWrap w:val="0"/>
            <w:vAlign w:val="center"/>
          </w:tcPr>
          <w:p>
            <w:pPr>
              <w:widowControl/>
              <w:jc w:val="center"/>
              <w:rPr>
                <w:rFonts w:hint="eastAsia" w:ascii="黑体" w:hAnsi="宋体" w:eastAsia="黑体" w:cs="宋体"/>
                <w:color w:val="000000"/>
                <w:kern w:val="0"/>
                <w:sz w:val="22"/>
              </w:rPr>
            </w:pPr>
          </w:p>
        </w:tc>
        <w:tc>
          <w:tcPr>
            <w:tcW w:w="3056" w:type="dxa"/>
            <w:noWrap w:val="0"/>
            <w:vAlign w:val="center"/>
          </w:tcPr>
          <w:p>
            <w:pPr>
              <w:widowControl/>
              <w:rPr>
                <w:rFonts w:ascii="黑体" w:hAnsi="宋体" w:eastAsia="黑体" w:cs="宋体"/>
                <w:color w:val="000000"/>
                <w:kern w:val="0"/>
                <w:sz w:val="22"/>
              </w:rPr>
            </w:pPr>
          </w:p>
        </w:tc>
        <w:tc>
          <w:tcPr>
            <w:tcW w:w="2033" w:type="dxa"/>
            <w:noWrap w:val="0"/>
            <w:vAlign w:val="center"/>
          </w:tcPr>
          <w:p>
            <w:pPr>
              <w:widowControl/>
              <w:jc w:val="left"/>
              <w:rPr>
                <w:rFonts w:ascii="黑体" w:hAnsi="宋体" w:eastAsia="黑体" w:cs="宋体"/>
                <w:color w:val="000000"/>
                <w:kern w:val="0"/>
                <w:sz w:val="22"/>
              </w:rPr>
            </w:pPr>
          </w:p>
        </w:tc>
        <w:tc>
          <w:tcPr>
            <w:tcW w:w="1618" w:type="dxa"/>
            <w:noWrap w:val="0"/>
            <w:vAlign w:val="center"/>
          </w:tcPr>
          <w:p>
            <w:pPr>
              <w:widowControl/>
              <w:jc w:val="left"/>
              <w:rPr>
                <w:rFonts w:ascii="黑体" w:hAnsi="宋体" w:eastAsia="黑体" w:cs="宋体"/>
                <w:color w:val="000000"/>
                <w:kern w:val="0"/>
                <w:sz w:val="22"/>
              </w:rPr>
            </w:pPr>
          </w:p>
        </w:tc>
        <w:tc>
          <w:tcPr>
            <w:tcW w:w="1022" w:type="dxa"/>
            <w:noWrap w:val="0"/>
            <w:vAlign w:val="center"/>
          </w:tcPr>
          <w:p>
            <w:pPr>
              <w:widowControl/>
              <w:jc w:val="left"/>
              <w:rPr>
                <w:rFonts w:ascii="黑体" w:hAnsi="宋体" w:eastAsia="黑体" w:cs="宋体"/>
                <w:color w:val="000000"/>
                <w:kern w:val="0"/>
                <w:sz w:val="22"/>
              </w:rPr>
            </w:pPr>
          </w:p>
        </w:tc>
        <w:tc>
          <w:tcPr>
            <w:tcW w:w="1494" w:type="dxa"/>
            <w:noWrap w:val="0"/>
            <w:vAlign w:val="center"/>
          </w:tcPr>
          <w:p>
            <w:pPr>
              <w:widowControl/>
              <w:jc w:val="left"/>
              <w:rPr>
                <w:rFonts w:ascii="黑体" w:hAnsi="宋体" w:eastAsia="黑体" w:cs="宋体"/>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53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39" w:type="dxa"/>
            <w:noWrap w:val="0"/>
            <w:vAlign w:val="center"/>
          </w:tcPr>
          <w:p>
            <w:pPr>
              <w:widowControl/>
              <w:jc w:val="left"/>
              <w:rPr>
                <w:rFonts w:ascii="Times New Roman" w:hAnsi="Times New Roman"/>
                <w:color w:val="000000"/>
                <w:kern w:val="0"/>
                <w:sz w:val="15"/>
                <w:szCs w:val="15"/>
              </w:rPr>
            </w:pPr>
          </w:p>
        </w:tc>
        <w:tc>
          <w:tcPr>
            <w:tcW w:w="719" w:type="dxa"/>
            <w:noWrap w:val="0"/>
            <w:vAlign w:val="center"/>
          </w:tcPr>
          <w:p>
            <w:pPr>
              <w:widowControl/>
              <w:jc w:val="center"/>
              <w:rPr>
                <w:rFonts w:hint="eastAsia" w:ascii="黑体" w:hAnsi="宋体" w:eastAsia="黑体" w:cs="宋体"/>
                <w:color w:val="000000"/>
                <w:kern w:val="0"/>
                <w:sz w:val="22"/>
              </w:rPr>
            </w:pPr>
          </w:p>
        </w:tc>
        <w:tc>
          <w:tcPr>
            <w:tcW w:w="1079" w:type="dxa"/>
            <w:noWrap w:val="0"/>
            <w:vAlign w:val="center"/>
          </w:tcPr>
          <w:p>
            <w:pPr>
              <w:widowControl/>
              <w:jc w:val="center"/>
              <w:rPr>
                <w:rFonts w:hint="eastAsia" w:ascii="黑体" w:hAnsi="宋体" w:eastAsia="黑体" w:cs="宋体"/>
                <w:color w:val="000000"/>
                <w:kern w:val="0"/>
                <w:sz w:val="22"/>
              </w:rPr>
            </w:pPr>
          </w:p>
        </w:tc>
        <w:tc>
          <w:tcPr>
            <w:tcW w:w="3056" w:type="dxa"/>
            <w:noWrap w:val="0"/>
            <w:vAlign w:val="center"/>
          </w:tcPr>
          <w:p>
            <w:pPr>
              <w:widowControl/>
              <w:rPr>
                <w:rFonts w:ascii="黑体" w:hAnsi="宋体" w:eastAsia="黑体" w:cs="宋体"/>
                <w:color w:val="000000"/>
                <w:kern w:val="0"/>
                <w:sz w:val="22"/>
              </w:rPr>
            </w:pPr>
          </w:p>
        </w:tc>
        <w:tc>
          <w:tcPr>
            <w:tcW w:w="2033" w:type="dxa"/>
            <w:noWrap w:val="0"/>
            <w:vAlign w:val="center"/>
          </w:tcPr>
          <w:p>
            <w:pPr>
              <w:widowControl/>
              <w:jc w:val="left"/>
              <w:rPr>
                <w:rFonts w:ascii="黑体" w:hAnsi="宋体" w:eastAsia="黑体" w:cs="宋体"/>
                <w:color w:val="000000"/>
                <w:kern w:val="0"/>
                <w:sz w:val="22"/>
              </w:rPr>
            </w:pPr>
          </w:p>
        </w:tc>
        <w:tc>
          <w:tcPr>
            <w:tcW w:w="1618" w:type="dxa"/>
            <w:noWrap w:val="0"/>
            <w:vAlign w:val="center"/>
          </w:tcPr>
          <w:p>
            <w:pPr>
              <w:widowControl/>
              <w:jc w:val="left"/>
              <w:rPr>
                <w:rFonts w:ascii="黑体" w:hAnsi="宋体" w:eastAsia="黑体" w:cs="宋体"/>
                <w:color w:val="000000"/>
                <w:kern w:val="0"/>
                <w:sz w:val="22"/>
              </w:rPr>
            </w:pPr>
          </w:p>
        </w:tc>
        <w:tc>
          <w:tcPr>
            <w:tcW w:w="1022" w:type="dxa"/>
            <w:noWrap w:val="0"/>
            <w:vAlign w:val="center"/>
          </w:tcPr>
          <w:p>
            <w:pPr>
              <w:widowControl/>
              <w:jc w:val="left"/>
              <w:rPr>
                <w:rFonts w:ascii="黑体" w:hAnsi="宋体" w:eastAsia="黑体" w:cs="宋体"/>
                <w:color w:val="000000"/>
                <w:kern w:val="0"/>
                <w:sz w:val="22"/>
              </w:rPr>
            </w:pPr>
          </w:p>
        </w:tc>
        <w:tc>
          <w:tcPr>
            <w:tcW w:w="1494" w:type="dxa"/>
            <w:noWrap w:val="0"/>
            <w:vAlign w:val="center"/>
          </w:tcPr>
          <w:p>
            <w:pPr>
              <w:widowControl/>
              <w:jc w:val="left"/>
              <w:rPr>
                <w:rFonts w:ascii="黑体" w:hAnsi="宋体" w:eastAsia="黑体" w:cs="宋体"/>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53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39" w:type="dxa"/>
            <w:noWrap w:val="0"/>
            <w:vAlign w:val="center"/>
          </w:tcPr>
          <w:p>
            <w:pPr>
              <w:widowControl/>
              <w:jc w:val="left"/>
              <w:rPr>
                <w:rFonts w:ascii="Times New Roman" w:hAnsi="Times New Roman"/>
                <w:color w:val="000000"/>
                <w:kern w:val="0"/>
                <w:sz w:val="15"/>
                <w:szCs w:val="15"/>
              </w:rPr>
            </w:pPr>
          </w:p>
        </w:tc>
        <w:tc>
          <w:tcPr>
            <w:tcW w:w="719" w:type="dxa"/>
            <w:noWrap w:val="0"/>
            <w:vAlign w:val="center"/>
          </w:tcPr>
          <w:p>
            <w:pPr>
              <w:widowControl/>
              <w:jc w:val="center"/>
              <w:rPr>
                <w:rFonts w:hint="eastAsia" w:ascii="黑体" w:hAnsi="宋体" w:eastAsia="黑体" w:cs="宋体"/>
                <w:color w:val="000000"/>
                <w:kern w:val="0"/>
                <w:sz w:val="22"/>
              </w:rPr>
            </w:pPr>
          </w:p>
        </w:tc>
        <w:tc>
          <w:tcPr>
            <w:tcW w:w="1079" w:type="dxa"/>
            <w:noWrap w:val="0"/>
            <w:vAlign w:val="center"/>
          </w:tcPr>
          <w:p>
            <w:pPr>
              <w:widowControl/>
              <w:jc w:val="center"/>
              <w:rPr>
                <w:rFonts w:hint="eastAsia" w:ascii="黑体" w:hAnsi="宋体" w:eastAsia="黑体" w:cs="宋体"/>
                <w:color w:val="000000"/>
                <w:kern w:val="0"/>
                <w:sz w:val="22"/>
              </w:rPr>
            </w:pPr>
          </w:p>
        </w:tc>
        <w:tc>
          <w:tcPr>
            <w:tcW w:w="3056" w:type="dxa"/>
            <w:noWrap w:val="0"/>
            <w:vAlign w:val="center"/>
          </w:tcPr>
          <w:p>
            <w:pPr>
              <w:widowControl/>
              <w:rPr>
                <w:rFonts w:ascii="黑体" w:hAnsi="宋体" w:eastAsia="黑体" w:cs="宋体"/>
                <w:color w:val="000000"/>
                <w:kern w:val="0"/>
                <w:sz w:val="22"/>
              </w:rPr>
            </w:pPr>
          </w:p>
        </w:tc>
        <w:tc>
          <w:tcPr>
            <w:tcW w:w="2033" w:type="dxa"/>
            <w:noWrap w:val="0"/>
            <w:vAlign w:val="center"/>
          </w:tcPr>
          <w:p>
            <w:pPr>
              <w:widowControl/>
              <w:jc w:val="left"/>
              <w:rPr>
                <w:rFonts w:ascii="黑体" w:hAnsi="宋体" w:eastAsia="黑体" w:cs="宋体"/>
                <w:color w:val="000000"/>
                <w:kern w:val="0"/>
                <w:sz w:val="22"/>
              </w:rPr>
            </w:pPr>
          </w:p>
        </w:tc>
        <w:tc>
          <w:tcPr>
            <w:tcW w:w="1618" w:type="dxa"/>
            <w:noWrap w:val="0"/>
            <w:vAlign w:val="center"/>
          </w:tcPr>
          <w:p>
            <w:pPr>
              <w:widowControl/>
              <w:jc w:val="left"/>
              <w:rPr>
                <w:rFonts w:ascii="黑体" w:hAnsi="宋体" w:eastAsia="黑体" w:cs="宋体"/>
                <w:color w:val="000000"/>
                <w:kern w:val="0"/>
                <w:sz w:val="22"/>
              </w:rPr>
            </w:pPr>
          </w:p>
        </w:tc>
        <w:tc>
          <w:tcPr>
            <w:tcW w:w="1022" w:type="dxa"/>
            <w:noWrap w:val="0"/>
            <w:vAlign w:val="center"/>
          </w:tcPr>
          <w:p>
            <w:pPr>
              <w:widowControl/>
              <w:jc w:val="left"/>
              <w:rPr>
                <w:rFonts w:ascii="黑体" w:hAnsi="宋体" w:eastAsia="黑体" w:cs="宋体"/>
                <w:color w:val="000000"/>
                <w:kern w:val="0"/>
                <w:sz w:val="22"/>
              </w:rPr>
            </w:pPr>
          </w:p>
        </w:tc>
        <w:tc>
          <w:tcPr>
            <w:tcW w:w="1494" w:type="dxa"/>
            <w:noWrap w:val="0"/>
            <w:vAlign w:val="center"/>
          </w:tcPr>
          <w:p>
            <w:pPr>
              <w:widowControl/>
              <w:jc w:val="left"/>
              <w:rPr>
                <w:rFonts w:ascii="黑体" w:hAnsi="宋体" w:eastAsia="黑体" w:cs="宋体"/>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53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39" w:type="dxa"/>
            <w:noWrap w:val="0"/>
            <w:vAlign w:val="center"/>
          </w:tcPr>
          <w:p>
            <w:pPr>
              <w:widowControl/>
              <w:jc w:val="left"/>
              <w:rPr>
                <w:rFonts w:ascii="Times New Roman" w:hAnsi="Times New Roman"/>
                <w:color w:val="000000"/>
                <w:kern w:val="0"/>
                <w:sz w:val="15"/>
                <w:szCs w:val="15"/>
              </w:rPr>
            </w:pPr>
          </w:p>
        </w:tc>
        <w:tc>
          <w:tcPr>
            <w:tcW w:w="719" w:type="dxa"/>
            <w:noWrap w:val="0"/>
            <w:vAlign w:val="center"/>
          </w:tcPr>
          <w:p>
            <w:pPr>
              <w:widowControl/>
              <w:jc w:val="center"/>
              <w:rPr>
                <w:rFonts w:hint="eastAsia" w:ascii="黑体" w:hAnsi="宋体" w:eastAsia="黑体" w:cs="宋体"/>
                <w:color w:val="000000"/>
                <w:kern w:val="0"/>
                <w:sz w:val="22"/>
              </w:rPr>
            </w:pPr>
          </w:p>
        </w:tc>
        <w:tc>
          <w:tcPr>
            <w:tcW w:w="1079" w:type="dxa"/>
            <w:noWrap w:val="0"/>
            <w:vAlign w:val="center"/>
          </w:tcPr>
          <w:p>
            <w:pPr>
              <w:widowControl/>
              <w:jc w:val="center"/>
              <w:rPr>
                <w:rFonts w:hint="eastAsia" w:ascii="黑体" w:hAnsi="宋体" w:eastAsia="黑体" w:cs="宋体"/>
                <w:color w:val="000000"/>
                <w:kern w:val="0"/>
                <w:sz w:val="22"/>
              </w:rPr>
            </w:pPr>
          </w:p>
        </w:tc>
        <w:tc>
          <w:tcPr>
            <w:tcW w:w="3056" w:type="dxa"/>
            <w:noWrap w:val="0"/>
            <w:vAlign w:val="center"/>
          </w:tcPr>
          <w:p>
            <w:pPr>
              <w:widowControl/>
              <w:rPr>
                <w:rFonts w:ascii="黑体" w:hAnsi="宋体" w:eastAsia="黑体" w:cs="宋体"/>
                <w:color w:val="000000"/>
                <w:kern w:val="0"/>
                <w:sz w:val="22"/>
              </w:rPr>
            </w:pPr>
          </w:p>
        </w:tc>
        <w:tc>
          <w:tcPr>
            <w:tcW w:w="2033" w:type="dxa"/>
            <w:noWrap w:val="0"/>
            <w:vAlign w:val="center"/>
          </w:tcPr>
          <w:p>
            <w:pPr>
              <w:widowControl/>
              <w:jc w:val="left"/>
              <w:rPr>
                <w:rFonts w:ascii="黑体" w:hAnsi="宋体" w:eastAsia="黑体" w:cs="宋体"/>
                <w:color w:val="000000"/>
                <w:kern w:val="0"/>
                <w:sz w:val="22"/>
              </w:rPr>
            </w:pPr>
          </w:p>
        </w:tc>
        <w:tc>
          <w:tcPr>
            <w:tcW w:w="1618" w:type="dxa"/>
            <w:noWrap w:val="0"/>
            <w:vAlign w:val="center"/>
          </w:tcPr>
          <w:p>
            <w:pPr>
              <w:widowControl/>
              <w:jc w:val="left"/>
              <w:rPr>
                <w:rFonts w:ascii="黑体" w:hAnsi="宋体" w:eastAsia="黑体" w:cs="宋体"/>
                <w:color w:val="000000"/>
                <w:kern w:val="0"/>
                <w:sz w:val="22"/>
              </w:rPr>
            </w:pPr>
          </w:p>
        </w:tc>
        <w:tc>
          <w:tcPr>
            <w:tcW w:w="1022" w:type="dxa"/>
            <w:noWrap w:val="0"/>
            <w:vAlign w:val="center"/>
          </w:tcPr>
          <w:p>
            <w:pPr>
              <w:widowControl/>
              <w:jc w:val="left"/>
              <w:rPr>
                <w:rFonts w:ascii="黑体" w:hAnsi="宋体" w:eastAsia="黑体" w:cs="宋体"/>
                <w:color w:val="000000"/>
                <w:kern w:val="0"/>
                <w:sz w:val="22"/>
              </w:rPr>
            </w:pPr>
          </w:p>
        </w:tc>
        <w:tc>
          <w:tcPr>
            <w:tcW w:w="1494" w:type="dxa"/>
            <w:noWrap w:val="0"/>
            <w:vAlign w:val="center"/>
          </w:tcPr>
          <w:p>
            <w:pPr>
              <w:widowControl/>
              <w:jc w:val="left"/>
              <w:rPr>
                <w:rFonts w:ascii="黑体" w:hAnsi="宋体" w:eastAsia="黑体" w:cs="宋体"/>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53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c>
          <w:tcPr>
            <w:tcW w:w="719" w:type="dxa"/>
            <w:noWrap w:val="0"/>
            <w:vAlign w:val="center"/>
          </w:tcPr>
          <w:p>
            <w:pPr>
              <w:widowControl/>
              <w:jc w:val="center"/>
              <w:rPr>
                <w:rFonts w:hint="eastAsia" w:ascii="黑体" w:hAnsi="宋体" w:eastAsia="黑体" w:cs="宋体"/>
                <w:color w:val="000000"/>
                <w:kern w:val="0"/>
                <w:sz w:val="22"/>
                <w:lang w:eastAsia="zh-CN"/>
              </w:rPr>
            </w:pPr>
          </w:p>
        </w:tc>
      </w:tr>
    </w:tbl>
    <w:p>
      <w:pPr>
        <w:jc w:val="left"/>
        <w:rPr>
          <w:rFonts w:hint="eastAsia" w:ascii="仿宋_GB2312" w:hAnsi="仿宋_GB2312" w:eastAsia="仿宋_GB2312" w:cs="仿宋_GB2312"/>
          <w:b w:val="0"/>
          <w:bCs w:val="0"/>
          <w:kern w:val="44"/>
          <w:sz w:val="30"/>
          <w:szCs w:val="44"/>
          <w:lang w:val="en-US" w:eastAsia="zh-CN" w:bidi="ar-SA"/>
        </w:rPr>
      </w:pPr>
      <w:r>
        <w:rPr>
          <w:rFonts w:hint="eastAsia" w:ascii="仿宋_GB2312" w:hAnsi="仿宋_GB2312" w:eastAsia="仿宋_GB2312" w:cs="仿宋_GB2312"/>
          <w:b w:val="0"/>
          <w:bCs w:val="0"/>
          <w:kern w:val="44"/>
          <w:sz w:val="30"/>
          <w:szCs w:val="44"/>
          <w:lang w:val="en-US" w:eastAsia="zh-CN" w:bidi="ar-SA"/>
        </w:rPr>
        <w:t>附件3：</w:t>
      </w:r>
    </w:p>
    <w:p>
      <w:pPr>
        <w:jc w:val="center"/>
        <w:rPr>
          <w:rFonts w:hint="eastAsia" w:ascii="方正小标宋_GBK" w:hAnsi="方正小标宋_GBK" w:eastAsia="方正小标宋_GBK" w:cs="Times New Roman"/>
          <w:b w:val="0"/>
          <w:bCs w:val="0"/>
          <w:kern w:val="44"/>
          <w:sz w:val="30"/>
          <w:szCs w:val="44"/>
          <w:lang w:val="en-US" w:eastAsia="zh-CN" w:bidi="ar-SA"/>
        </w:rPr>
      </w:pPr>
      <w:r>
        <w:rPr>
          <w:rFonts w:hint="eastAsia" w:ascii="方正小标宋_GBK" w:hAnsi="方正小标宋_GBK" w:eastAsia="方正小标宋_GBK" w:cs="Times New Roman"/>
          <w:b w:val="0"/>
          <w:bCs w:val="0"/>
          <w:kern w:val="44"/>
          <w:sz w:val="30"/>
          <w:szCs w:val="44"/>
          <w:lang w:val="en-US" w:eastAsia="zh-CN" w:bidi="ar-SA"/>
        </w:rPr>
        <w:t>莲花山26个重点领域涉及部门分工表</w:t>
      </w:r>
    </w:p>
    <w:tbl>
      <w:tblPr>
        <w:tblStyle w:val="6"/>
        <w:tblpPr w:leftFromText="180" w:rightFromText="180" w:vertAnchor="text" w:horzAnchor="page" w:tblpX="2106" w:tblpY="798"/>
        <w:tblOverlap w:val="never"/>
        <w:tblW w:w="12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3777"/>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序号</w:t>
            </w:r>
          </w:p>
        </w:tc>
        <w:tc>
          <w:tcPr>
            <w:tcW w:w="3777"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领域</w:t>
            </w:r>
          </w:p>
        </w:tc>
        <w:tc>
          <w:tcPr>
            <w:tcW w:w="7586"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重大建设项目</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发改局、规自分局、生态环境分局、建委、水利水务局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2</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公共资源交易</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财政局、规自分局、建委、国资局、项目评审中心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3</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义务教育</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教卫局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4</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户籍管理</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公安分局、社会事业局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5</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社会救助</w:t>
            </w:r>
          </w:p>
        </w:tc>
        <w:tc>
          <w:tcPr>
            <w:tcW w:w="7586"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lang w:eastAsia="zh-CN"/>
              </w:rPr>
              <w:t>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6</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养老服务</w:t>
            </w:r>
          </w:p>
        </w:tc>
        <w:tc>
          <w:tcPr>
            <w:tcW w:w="7586"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lang w:eastAsia="zh-CN"/>
              </w:rPr>
              <w:t>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7</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公共法律服务</w:t>
            </w:r>
          </w:p>
        </w:tc>
        <w:tc>
          <w:tcPr>
            <w:tcW w:w="7586"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lang w:eastAsia="zh-CN"/>
              </w:rPr>
              <w:t>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8</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财政预决算</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eastAsia"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9</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就业领域</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10</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社会保险</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11</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城乡规划</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12</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农村集体土地征收</w:t>
            </w:r>
          </w:p>
        </w:tc>
        <w:tc>
          <w:tcPr>
            <w:tcW w:w="7586"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lang w:eastAsia="zh-CN"/>
              </w:rPr>
              <w:t>规自分局、安居办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13</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生态环境</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生态环境分局、林园局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14</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保障性住房</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15</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国有土地上房屋征收与补偿</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建委、安居办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16</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农村危房改造</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建委、财政局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17</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市政服务</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18</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城市综合执法</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建委、城管局、规自分局、林园局、人社局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19</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涉农补贴</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20</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公共文化服务</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文体旅科局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21</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卫生健康</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教卫局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22</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安全生产</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23</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救灾生产</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24</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食品药品监管</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25</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税收管理</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tcPr>
          <w:p>
            <w:pPr>
              <w:jc w:val="center"/>
              <w:rPr>
                <w:rStyle w:val="8"/>
                <w:rFonts w:hint="default" w:ascii="仿宋_GB2312" w:hAnsi="仿宋_GB2312" w:eastAsia="仿宋_GB2312" w:cs="仿宋_GB2312"/>
                <w:color w:val="auto"/>
                <w:sz w:val="28"/>
                <w:szCs w:val="28"/>
                <w:u w:val="none"/>
                <w:lang w:val="en-US" w:eastAsia="zh-CN"/>
              </w:rPr>
            </w:pPr>
            <w:r>
              <w:rPr>
                <w:rStyle w:val="8"/>
                <w:rFonts w:hint="eastAsia" w:ascii="仿宋_GB2312" w:hAnsi="仿宋_GB2312" w:eastAsia="仿宋_GB2312" w:cs="仿宋_GB2312"/>
                <w:color w:val="auto"/>
                <w:sz w:val="28"/>
                <w:szCs w:val="28"/>
                <w:u w:val="none"/>
                <w:lang w:val="en-US" w:eastAsia="zh-CN"/>
              </w:rPr>
              <w:t>26</w:t>
            </w:r>
          </w:p>
        </w:tc>
        <w:tc>
          <w:tcPr>
            <w:tcW w:w="3777" w:type="dxa"/>
          </w:tcPr>
          <w:p>
            <w:pPr>
              <w:jc w:val="center"/>
              <w:rPr>
                <w:rStyle w:val="8"/>
                <w:rFonts w:hint="eastAsia" w:ascii="仿宋_GB2312" w:hAnsi="仿宋_GB2312" w:eastAsia="仿宋_GB2312" w:cs="仿宋_GB2312"/>
                <w:color w:val="auto"/>
                <w:sz w:val="28"/>
                <w:szCs w:val="28"/>
                <w:u w:val="none"/>
              </w:rPr>
            </w:pPr>
            <w:r>
              <w:rPr>
                <w:rStyle w:val="8"/>
                <w:rFonts w:hint="eastAsia" w:ascii="仿宋_GB2312" w:hAnsi="仿宋_GB2312" w:eastAsia="仿宋_GB2312" w:cs="仿宋_GB2312"/>
                <w:color w:val="auto"/>
                <w:sz w:val="28"/>
                <w:szCs w:val="28"/>
                <w:u w:val="none"/>
              </w:rPr>
              <w:t>扶贫</w:t>
            </w:r>
          </w:p>
        </w:tc>
        <w:tc>
          <w:tcPr>
            <w:tcW w:w="7586" w:type="dxa"/>
          </w:tcPr>
          <w:p>
            <w:pPr>
              <w:jc w:val="center"/>
              <w:rPr>
                <w:rStyle w:val="8"/>
                <w:rFonts w:hint="eastAsia" w:ascii="仿宋_GB2312" w:hAnsi="仿宋_GB2312" w:eastAsia="仿宋_GB2312" w:cs="仿宋_GB2312"/>
                <w:color w:val="auto"/>
                <w:sz w:val="28"/>
                <w:szCs w:val="28"/>
                <w:u w:val="none"/>
                <w:lang w:eastAsia="zh-CN"/>
              </w:rPr>
            </w:pPr>
            <w:r>
              <w:rPr>
                <w:rStyle w:val="8"/>
                <w:rFonts w:hint="eastAsia" w:ascii="仿宋_GB2312" w:hAnsi="仿宋_GB2312" w:eastAsia="仿宋_GB2312" w:cs="仿宋_GB2312"/>
                <w:color w:val="auto"/>
                <w:sz w:val="28"/>
                <w:szCs w:val="28"/>
                <w:u w:val="none"/>
                <w:lang w:eastAsia="zh-CN"/>
              </w:rPr>
              <w:t>扶贫办</w:t>
            </w:r>
          </w:p>
        </w:tc>
      </w:tr>
    </w:tbl>
    <w:p>
      <w:pPr>
        <w:jc w:val="both"/>
        <w:rPr>
          <w:rFonts w:hint="default" w:ascii="方正小标宋_GBK" w:hAnsi="方正小标宋_GBK" w:eastAsia="方正小标宋_GBK" w:cs="Times New Roman"/>
          <w:b w:val="0"/>
          <w:bCs w:val="0"/>
          <w:kern w:val="44"/>
          <w:sz w:val="30"/>
          <w:szCs w:val="44"/>
          <w:lang w:val="en-US" w:eastAsia="zh-CN" w:bidi="ar-SA"/>
        </w:rPr>
      </w:pPr>
    </w:p>
    <w:p>
      <w:pPr>
        <w:ind w:firstLine="1280" w:firstLineChars="400"/>
        <w:jc w:val="both"/>
        <w:rPr>
          <w:rFonts w:hint="eastAsia" w:ascii="仿宋_GB2312" w:hAnsi="宋体" w:eastAsia="仿宋_GB2312" w:cs="宋体"/>
          <w:b w:val="0"/>
          <w:bCs w:val="0"/>
          <w:kern w:val="0"/>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val="0"/>
        <w:autoSpaceDN w:val="0"/>
        <w:bidi w:val="0"/>
        <w:snapToGrid/>
        <w:spacing w:before="0" w:line="540" w:lineRule="exact"/>
        <w:ind w:right="0" w:rightChars="0" w:firstLine="1280" w:firstLineChars="400"/>
        <w:jc w:val="both"/>
        <w:textAlignment w:val="auto"/>
        <w:rPr>
          <w:rFonts w:hint="default"/>
          <w:color w:val="auto"/>
          <w:highlight w:val="none"/>
          <w:lang w:val="en-US" w:eastAsia="zh-CN"/>
        </w:rPr>
      </w:pP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0" w:firstLineChars="0"/>
        <w:jc w:val="both"/>
        <w:textAlignment w:val="auto"/>
        <w:rPr>
          <w:rFonts w:hint="eastAsia"/>
          <w:color w:val="auto"/>
          <w:highlight w:val="none"/>
          <w:lang w:val="en-US" w:eastAsia="zh-CN"/>
        </w:rPr>
      </w:pPr>
    </w:p>
    <w:p>
      <w:pPr>
        <w:pStyle w:val="3"/>
        <w:keepNext w:val="0"/>
        <w:keepLines w:val="0"/>
        <w:pageBreakBefore w:val="0"/>
        <w:widowControl w:val="0"/>
        <w:kinsoku/>
        <w:wordWrap/>
        <w:overflowPunct/>
        <w:topLinePunct w:val="0"/>
        <w:autoSpaceDE w:val="0"/>
        <w:autoSpaceDN w:val="0"/>
        <w:bidi w:val="0"/>
        <w:snapToGrid/>
        <w:spacing w:before="0" w:line="540" w:lineRule="exact"/>
        <w:ind w:left="0" w:leftChars="0" w:right="0" w:firstLine="0" w:firstLineChars="0"/>
        <w:jc w:val="both"/>
        <w:textAlignment w:val="auto"/>
        <w:rPr>
          <w:rFonts w:hint="default" w:ascii="仿宋_GB2312" w:hAnsi="宋体" w:eastAsia="仿宋_GB2312" w:cs="宋体"/>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w w:val="90"/>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F33FF2-2414-416C-9827-27B0B50DCA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DA710C9D-4DB4-4D7B-A3F7-B4CC1CC97224}"/>
  </w:font>
  <w:font w:name="方正小标宋简体">
    <w:panose1 w:val="02000000000000000000"/>
    <w:charset w:val="86"/>
    <w:family w:val="auto"/>
    <w:pitch w:val="default"/>
    <w:sig w:usb0="00000001" w:usb1="080E0000" w:usb2="00000000" w:usb3="00000000" w:csb0="00040000" w:csb1="00000000"/>
    <w:embedRegular r:id="rId3" w:fontKey="{C7F29BE7-06FE-4B4B-AD21-4CB836DEB0A0}"/>
  </w:font>
  <w:font w:name="仿宋_GB2312">
    <w:panose1 w:val="02010609030101010101"/>
    <w:charset w:val="86"/>
    <w:family w:val="auto"/>
    <w:pitch w:val="default"/>
    <w:sig w:usb0="00000001" w:usb1="080E0000" w:usb2="00000000" w:usb3="00000000" w:csb0="00040000" w:csb1="00000000"/>
    <w:embedRegular r:id="rId4" w:fontKey="{69529775-7E5D-42CC-8D6E-1C18BB9C07C4}"/>
  </w:font>
  <w:font w:name="华文中宋">
    <w:panose1 w:val="02010600040101010101"/>
    <w:charset w:val="86"/>
    <w:family w:val="auto"/>
    <w:pitch w:val="default"/>
    <w:sig w:usb0="00000287" w:usb1="080F0000" w:usb2="00000000" w:usb3="00000000" w:csb0="0004009F" w:csb1="DFD70000"/>
    <w:embedRegular r:id="rId5" w:fontKey="{54D90058-8DDE-4D33-830C-9B4B11CE398A}"/>
  </w:font>
  <w:font w:name="楷体">
    <w:panose1 w:val="02010609060101010101"/>
    <w:charset w:val="86"/>
    <w:family w:val="modern"/>
    <w:pitch w:val="default"/>
    <w:sig w:usb0="800002BF" w:usb1="38CF7CFA" w:usb2="00000016" w:usb3="00000000" w:csb0="00040001" w:csb1="00000000"/>
    <w:embedRegular r:id="rId6" w:fontKey="{90AC35CC-2D8A-4A78-91A5-B0613F9A6C50}"/>
  </w:font>
  <w:font w:name="方正小标宋_GBK">
    <w:panose1 w:val="02000000000000000000"/>
    <w:charset w:val="86"/>
    <w:family w:val="script"/>
    <w:pitch w:val="default"/>
    <w:sig w:usb0="A00002BF" w:usb1="38CF7CFA" w:usb2="00082016" w:usb3="00000000" w:csb0="00040001" w:csb1="00000000"/>
    <w:embedRegular r:id="rId7" w:fontKey="{9870507B-7E97-41CD-8017-3A13CAA6D0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4B8E2"/>
    <w:multiLevelType w:val="singleLevel"/>
    <w:tmpl w:val="82D4B8E2"/>
    <w:lvl w:ilvl="0" w:tentative="0">
      <w:start w:val="2"/>
      <w:numFmt w:val="chineseCounting"/>
      <w:suff w:val="nothing"/>
      <w:lvlText w:val="（%1）"/>
      <w:lvlJc w:val="left"/>
      <w:rPr>
        <w:rFonts w:hint="eastAsia"/>
      </w:rPr>
    </w:lvl>
  </w:abstractNum>
  <w:abstractNum w:abstractNumId="1">
    <w:nsid w:val="579BC866"/>
    <w:multiLevelType w:val="singleLevel"/>
    <w:tmpl w:val="579BC86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A2C3C"/>
    <w:rsid w:val="001249FC"/>
    <w:rsid w:val="00A7343D"/>
    <w:rsid w:val="02F7514B"/>
    <w:rsid w:val="0BB67511"/>
    <w:rsid w:val="0D8909CB"/>
    <w:rsid w:val="12CA518A"/>
    <w:rsid w:val="19997E8A"/>
    <w:rsid w:val="21997370"/>
    <w:rsid w:val="268A1823"/>
    <w:rsid w:val="2885452B"/>
    <w:rsid w:val="2C5F4BC3"/>
    <w:rsid w:val="2CAE64FC"/>
    <w:rsid w:val="30B67419"/>
    <w:rsid w:val="3583799A"/>
    <w:rsid w:val="367640A6"/>
    <w:rsid w:val="40063FCA"/>
    <w:rsid w:val="43B914D6"/>
    <w:rsid w:val="45414A13"/>
    <w:rsid w:val="4B324312"/>
    <w:rsid w:val="5566070C"/>
    <w:rsid w:val="583D1829"/>
    <w:rsid w:val="5A004E33"/>
    <w:rsid w:val="5ABA0C17"/>
    <w:rsid w:val="5EEF5877"/>
    <w:rsid w:val="60C00E7C"/>
    <w:rsid w:val="643A1CEC"/>
    <w:rsid w:val="6563038E"/>
    <w:rsid w:val="65F102EF"/>
    <w:rsid w:val="6A6D410A"/>
    <w:rsid w:val="76AB45EA"/>
    <w:rsid w:val="7A9A2C3C"/>
    <w:rsid w:val="7E62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paragraph" w:styleId="9">
    <w:name w:val="List Paragraph"/>
    <w:basedOn w:val="1"/>
    <w:qFormat/>
    <w:uiPriority w:val="1"/>
    <w:pPr>
      <w:spacing w:before="4"/>
      <w:ind w:left="120" w:firstLine="640"/>
      <w:jc w:val="both"/>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2020-04-03T02:22:00Z</dcterms:created>
  <dc:creator>Jyoso</dc:creator>
  <cp:lastModifiedBy>Drenched1397823474</cp:lastModifiedBy>
  <cp:lastPrinted>2020-04-29T05:46:00Z</cp:lastPrinted>
  <dcterms:modified xsi:type="dcterms:W3CDTF">2020-06-16T06:57:59Z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