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cs="宋体" w:asciiTheme="majorEastAsia" w:hAnsiTheme="majorEastAsia" w:eastAsiaTheme="majorEastAsia"/>
          <w:b/>
          <w:color w:val="333333"/>
          <w:sz w:val="44"/>
          <w:szCs w:val="44"/>
          <w:shd w:val="clear" w:color="auto" w:fill="FFFFFF"/>
        </w:rPr>
      </w:pPr>
      <w:r>
        <w:rPr>
          <w:rFonts w:hint="eastAsia" w:cs="宋体" w:asciiTheme="majorEastAsia" w:hAnsiTheme="majorEastAsia" w:eastAsiaTheme="majorEastAsia"/>
          <w:b/>
          <w:color w:val="333333"/>
          <w:sz w:val="44"/>
          <w:szCs w:val="44"/>
          <w:shd w:val="clear" w:color="auto" w:fill="FFFFFF"/>
        </w:rPr>
        <w:t>教育卫生</w:t>
      </w:r>
      <w:r>
        <w:rPr>
          <w:rFonts w:hint="eastAsia" w:cs="宋体" w:asciiTheme="majorEastAsia" w:hAnsiTheme="majorEastAsia" w:eastAsiaTheme="majorEastAsia"/>
          <w:b/>
          <w:color w:val="333333"/>
          <w:sz w:val="44"/>
          <w:szCs w:val="44"/>
          <w:shd w:val="clear" w:color="auto" w:fill="FFFFFF"/>
          <w:lang w:eastAsia="zh-CN"/>
        </w:rPr>
        <w:t>健康</w:t>
      </w:r>
      <w:r>
        <w:rPr>
          <w:rFonts w:hint="eastAsia" w:cs="宋体" w:asciiTheme="majorEastAsia" w:hAnsiTheme="majorEastAsia" w:eastAsiaTheme="majorEastAsia"/>
          <w:b/>
          <w:color w:val="333333"/>
          <w:sz w:val="44"/>
          <w:szCs w:val="44"/>
          <w:shd w:val="clear" w:color="auto" w:fill="FFFFFF"/>
        </w:rPr>
        <w:t>局政府信息公开工作</w:t>
      </w:r>
    </w:p>
    <w:p>
      <w:pPr>
        <w:widowControl/>
        <w:shd w:val="clear" w:color="auto" w:fill="FFFFFF"/>
        <w:jc w:val="center"/>
        <w:rPr>
          <w:rFonts w:hint="eastAsia" w:ascii="宋体" w:hAnsi="宋体" w:eastAsia="宋体" w:cs="宋体"/>
          <w:b/>
          <w:bCs/>
          <w:color w:val="333333"/>
          <w:kern w:val="0"/>
          <w:sz w:val="36"/>
          <w:szCs w:val="36"/>
          <w:lang w:eastAsia="zh-CN"/>
        </w:rPr>
      </w:pPr>
      <w:r>
        <w:rPr>
          <w:rFonts w:hint="eastAsia" w:cs="宋体" w:asciiTheme="majorEastAsia" w:hAnsiTheme="majorEastAsia" w:eastAsiaTheme="majorEastAsia"/>
          <w:b/>
          <w:color w:val="333333"/>
          <w:sz w:val="44"/>
          <w:szCs w:val="44"/>
          <w:shd w:val="clear" w:color="auto" w:fill="FFFFFF"/>
        </w:rPr>
        <w:t>年度报告</w:t>
      </w:r>
    </w:p>
    <w:p>
      <w:pPr>
        <w:widowControl/>
        <w:shd w:val="clear" w:color="auto" w:fill="FFFFFF"/>
        <w:rPr>
          <w:rFonts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一、总体情况</w:t>
      </w:r>
    </w:p>
    <w:p>
      <w:pPr>
        <w:widowControl/>
        <w:shd w:val="clear" w:color="auto" w:fill="FFFFFF"/>
        <w:spacing w:after="240"/>
        <w:ind w:firstLine="480"/>
        <w:rPr>
          <w:rFonts w:hint="default"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2020年，我局积极推动政府信息公开工作，提高政务工作的透明度，我局严格按照政府信息公开保密审查程序公开信息10篇，其中财政预决算1篇。共处理行政许可事项26条，政府集中采购项目2个。未收到依申请公开及行政复议、行政诉讼情况。</w:t>
      </w:r>
      <w:bookmarkStart w:id="0" w:name="_GoBack"/>
      <w:bookmarkEnd w:id="0"/>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3"/>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148</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504.355</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1</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after="240"/>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3"/>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31"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52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38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1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ascii="宋体" w:hAnsi="宋体" w:eastAsia="宋体" w:cs="宋体"/>
          <w:color w:val="333333"/>
          <w:kern w:val="0"/>
          <w:sz w:val="24"/>
          <w:szCs w:val="24"/>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 xml:space="preserve">（一）存在的主要问题。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20</w:t>
      </w:r>
      <w:r>
        <w:rPr>
          <w:rFonts w:hint="eastAsia" w:ascii="宋体" w:hAnsi="宋体" w:eastAsia="宋体" w:cs="宋体"/>
          <w:b w:val="0"/>
          <w:bCs w:val="0"/>
          <w:color w:val="auto"/>
          <w:kern w:val="0"/>
          <w:sz w:val="24"/>
          <w:szCs w:val="24"/>
          <w:lang w:val="en-US" w:eastAsia="zh-CN"/>
        </w:rPr>
        <w:t>20</w:t>
      </w:r>
      <w:r>
        <w:rPr>
          <w:rFonts w:hint="eastAsia" w:ascii="宋体" w:hAnsi="宋体" w:eastAsia="宋体" w:cs="宋体"/>
          <w:b w:val="0"/>
          <w:bCs w:val="0"/>
          <w:color w:val="auto"/>
          <w:kern w:val="0"/>
          <w:sz w:val="24"/>
          <w:szCs w:val="24"/>
        </w:rPr>
        <w:t>年，教育卫计局政府信息公开工作在上级有关部门的领导下取得了一些成效，但也清醒地认识到，在政府信息公开工作中我局仍然存在一些问题：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一是对《条例》和市、区政府信息公开工作规定的学习、掌握不够扎实；二是</w:t>
      </w:r>
      <w:r>
        <w:rPr>
          <w:rFonts w:hint="eastAsia" w:ascii="宋体" w:hAnsi="宋体" w:eastAsia="宋体" w:cs="宋体"/>
          <w:b w:val="0"/>
          <w:bCs w:val="0"/>
          <w:color w:val="auto"/>
          <w:kern w:val="0"/>
          <w:sz w:val="24"/>
          <w:szCs w:val="24"/>
          <w:lang w:eastAsia="zh-CN"/>
        </w:rPr>
        <w:t>信息公开的主动性还不够强，提供的内容</w:t>
      </w:r>
      <w:r>
        <w:rPr>
          <w:rFonts w:hint="eastAsia" w:ascii="宋体" w:hAnsi="宋体" w:eastAsia="宋体" w:cs="宋体"/>
          <w:b w:val="0"/>
          <w:bCs w:val="0"/>
          <w:color w:val="auto"/>
          <w:kern w:val="0"/>
          <w:sz w:val="24"/>
          <w:szCs w:val="24"/>
        </w:rPr>
        <w:t>不够丰富</w:t>
      </w:r>
      <w:r>
        <w:rPr>
          <w:rFonts w:hint="eastAsia" w:ascii="宋体" w:hAnsi="宋体" w:eastAsia="宋体" w:cs="宋体"/>
          <w:b w:val="0"/>
          <w:bCs w:val="0"/>
          <w:color w:val="auto"/>
          <w:kern w:val="0"/>
          <w:sz w:val="24"/>
          <w:szCs w:val="24"/>
          <w:lang w:eastAsia="zh-CN"/>
        </w:rPr>
        <w:t>及时</w:t>
      </w:r>
      <w:r>
        <w:rPr>
          <w:rFonts w:hint="eastAsia" w:ascii="宋体" w:hAnsi="宋体" w:eastAsia="宋体" w:cs="宋体"/>
          <w:b w:val="0"/>
          <w:bCs w:val="0"/>
          <w:color w:val="auto"/>
          <w:kern w:val="0"/>
          <w:sz w:val="24"/>
          <w:szCs w:val="24"/>
        </w:rPr>
        <w:t xml:space="preserve">。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20" w:lineRule="exact"/>
        <w:ind w:firstLine="48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改进措施。</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20" w:lineRule="exact"/>
        <w:textAlignment w:val="auto"/>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 xml:space="preserve">     在接下来的工作中，我们会强化信息公开的意识，积极发布与百姓关系密切的文件、制度、信息等，做到及时性、有效性，推进政务公开的透明度。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ascii="Helvetica" w:hAnsi="Helvetica" w:eastAsia="Helvetica" w:cs="Helvetica"/>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2020年本单位无其他需要报告事项。</w:t>
      </w:r>
      <w:r>
        <w:rPr>
          <w:rFonts w:ascii="Helvetica" w:hAnsi="Helvetica" w:eastAsia="Helvetica" w:cs="Helvetica"/>
          <w:i w:val="0"/>
          <w:caps w:val="0"/>
          <w:color w:val="auto"/>
          <w:spacing w:val="0"/>
          <w:sz w:val="24"/>
          <w:szCs w:val="24"/>
          <w:shd w:val="clear" w:fill="FFFFFF"/>
        </w:rPr>
        <w:t> </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ascii="Helvetica" w:hAnsi="Helvetica" w:eastAsia="Helvetica" w:cs="Helvetica"/>
          <w:i w:val="0"/>
          <w:caps w:val="0"/>
          <w:color w:val="555555"/>
          <w:spacing w:val="0"/>
          <w:sz w:val="24"/>
          <w:szCs w:val="24"/>
          <w:shd w:val="clear" w:fill="FFFFFF"/>
        </w:rPr>
      </w:pPr>
    </w:p>
    <w:p>
      <w:pPr>
        <w:keepNext w:val="0"/>
        <w:keepLines w:val="0"/>
        <w:pageBreakBefore w:val="0"/>
        <w:kinsoku/>
        <w:wordWrap/>
        <w:overflowPunct/>
        <w:topLinePunct w:val="0"/>
        <w:autoSpaceDE/>
        <w:autoSpaceDN/>
        <w:bidi w:val="0"/>
        <w:adjustRightInd/>
        <w:snapToGrid/>
        <w:spacing w:line="520" w:lineRule="exact"/>
        <w:ind w:firstLine="5520" w:firstLineChars="2300"/>
        <w:textAlignment w:val="auto"/>
        <w:rPr>
          <w:rFonts w:hint="eastAsia" w:ascii="宋体" w:hAnsi="宋体" w:eastAsia="宋体" w:cs="宋体"/>
          <w:i w:val="0"/>
          <w:caps w:val="0"/>
          <w:color w:val="auto"/>
          <w:spacing w:val="0"/>
          <w:sz w:val="24"/>
          <w:szCs w:val="24"/>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E85D"/>
    <w:multiLevelType w:val="singleLevel"/>
    <w:tmpl w:val="0595E85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D22D6"/>
    <w:rsid w:val="156876B7"/>
    <w:rsid w:val="1AD114E8"/>
    <w:rsid w:val="1C69078F"/>
    <w:rsid w:val="1DEF521B"/>
    <w:rsid w:val="306D22D6"/>
    <w:rsid w:val="38BF500F"/>
    <w:rsid w:val="6209159A"/>
    <w:rsid w:val="6D467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2021-01-21T02:07:00Z</dcterms:created>
  <dc:creator>Jyoso</dc:creator>
  <cp:lastModifiedBy>WPS_1498003278</cp:lastModifiedBy>
  <dcterms:modified xsi:type="dcterms:W3CDTF">2021-01-29T06:26:33Z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