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ind w:firstLine="960" w:firstLineChars="200"/>
        <w:contextualSpacing/>
        <w:jc w:val="center"/>
        <w:rPr>
          <w:rFonts w:ascii="方正小标宋简体" w:hAnsi="方正小标宋简体" w:eastAsia="方正小标宋简体" w:cs="方正小标宋简体"/>
          <w:b w:val="0"/>
          <w:kern w:val="0"/>
          <w:szCs w:val="44"/>
        </w:rPr>
      </w:pPr>
      <w:bookmarkStart w:id="0" w:name="_GoBack"/>
      <w:bookmarkEnd w:id="0"/>
    </w:p>
    <w:p>
      <w:pPr>
        <w:pStyle w:val="3"/>
        <w:widowControl/>
        <w:spacing w:before="0" w:beforeAutospacing="0" w:after="0" w:afterAutospacing="0" w:line="560" w:lineRule="exact"/>
        <w:contextualSpacing/>
        <w:jc w:val="center"/>
        <w:rPr>
          <w:rFonts w:ascii="方正小标宋简体" w:hAnsi="方正小标宋简体" w:eastAsia="方正小标宋简体" w:cs="方正小标宋简体"/>
          <w:b w:val="0"/>
          <w:kern w:val="0"/>
        </w:rPr>
      </w:pPr>
      <w:r>
        <w:rPr>
          <w:rFonts w:ascii="方正小标宋简体" w:hAnsi="方正小标宋简体" w:eastAsia="方正小标宋简体" w:cs="方正小标宋简体"/>
          <w:b w:val="0"/>
          <w:kern w:val="0"/>
        </w:rPr>
        <w:t>长春莲花山生态旅游度假区</w:t>
      </w:r>
    </w:p>
    <w:p>
      <w:pPr>
        <w:pStyle w:val="3"/>
        <w:widowControl/>
        <w:spacing w:before="0" w:beforeAutospacing="0" w:after="0" w:afterAutospacing="0" w:line="560" w:lineRule="exact"/>
        <w:contextualSpacing/>
        <w:jc w:val="center"/>
        <w:rPr>
          <w:rFonts w:ascii="方正小标宋简体" w:hAnsi="方正小标宋简体" w:eastAsia="方正小标宋简体" w:cs="方正小标宋简体"/>
          <w:b w:val="0"/>
          <w:kern w:val="0"/>
        </w:rPr>
      </w:pPr>
      <w:r>
        <w:rPr>
          <w:rFonts w:ascii="方正小标宋简体" w:hAnsi="方正小标宋简体" w:eastAsia="方正小标宋简体" w:cs="方正小标宋简体"/>
          <w:b w:val="0"/>
          <w:kern w:val="0"/>
        </w:rPr>
        <w:t>“四上”企业培育引进奖励办法（试行）</w:t>
      </w:r>
    </w:p>
    <w:p>
      <w:pPr>
        <w:widowControl/>
        <w:spacing w:line="560" w:lineRule="exact"/>
        <w:ind w:firstLine="640" w:firstLineChars="200"/>
        <w:contextualSpacing/>
        <w:jc w:val="center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（修订稿）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center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center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第一章</w:t>
      </w:r>
      <w:r>
        <w:rPr>
          <w:rFonts w:ascii="Calibri" w:hAnsi="Calibri" w:eastAsia="黑体" w:cs="Calibri"/>
          <w:color w:val="auto"/>
          <w:sz w:val="32"/>
          <w:szCs w:val="32"/>
          <w:shd w:val="clear" w:color="auto" w:fill="FFFFFF"/>
        </w:rPr>
        <w:t>  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总</w:t>
      </w:r>
      <w:r>
        <w:rPr>
          <w:rFonts w:ascii="Calibri" w:hAnsi="Calibri" w:eastAsia="黑体" w:cs="Calibri"/>
          <w:color w:val="auto"/>
          <w:sz w:val="32"/>
          <w:szCs w:val="32"/>
          <w:shd w:val="clear" w:color="auto" w:fill="FFFFFF"/>
        </w:rPr>
        <w:t> 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则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第一条  为进一步优化经济结构，切实壮大企业规模和经济总量，推动度假区经济快速发展，结合区域经济发展特点，特对培育及引进规模以上工业、限额以上贸易企业和资质以内建筑企业、规模以上服务业企业（以下简称“四上”企业）,制定本办法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第二条  管委会每年安排“四上”企业培育专项奖励资金，对经认定符合本办法规定条件的企业进行资金奖励。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center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center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第二章 奖励对象和标准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" w:hAnsi="仿宋" w:cs="仿宋"/>
          <w:color w:val="auto"/>
          <w:sz w:val="32"/>
          <w:szCs w:val="32"/>
          <w:shd w:val="clear" w:color="auto" w:fill="FFFFFF"/>
        </w:rPr>
      </w:pP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第三条   奖励对象 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对在度假区依法登记注册、依法纳税、依法纳统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，近3年在专项资金管理与使用过程中不存在违法违纪行为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的“四上”企业进行奖励。                                   </w:t>
      </w:r>
    </w:p>
    <w:p>
      <w:pPr>
        <w:pStyle w:val="9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奖励标准 </w:t>
      </w:r>
    </w:p>
    <w:p>
      <w:pPr>
        <w:pStyle w:val="9"/>
        <w:spacing w:before="0" w:beforeAutospacing="0" w:after="0" w:afterAutospacing="0" w:line="560" w:lineRule="exact"/>
        <w:ind w:firstLine="643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bidi="ar"/>
        </w:rPr>
        <w:t>（一）升规入库奖励。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符合本办法第三条要求，且首次进入统计联网直报平台名录库（以下简称名录库）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给予奖励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（当年不重复参与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提档升级奖励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）。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1.工业：对当年一、二、三、四季度月度升规，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总产值同比增长15%以上的企业，分别给予20万元、15万元、10万元、5万元奖补支持。对当年四下转四上企业，按照企业入统后，第一、二、三个完整会计年度给予提档升级奖励（第四条第三款第一项）。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2.资质以内的建筑业企业：对当年首次入统总产值1亿元—3亿元、3亿元—5亿元、5亿元以上的企业，分别给予10万元、15万元、20万元资金奖励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3.服务业企业，对当年一、二、三、四季度月度升规，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营业收入同比增长20%以上的企业，分别给予15万元、12万元、8万元、5万元资金奖励。对当年四下转四上企业，按照企业入统后，第一、二、三个完整会计年度给予提档升级奖励（第四条第三款第三项）。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4.批零住餐业企业，对当年一、二、三、四季度进限入统，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营业额同比增长30%以上的企业，分别给予10万元、8万元、6万元、4万元资金奖励。对当年四下转四上企业，按照企业入统后，第一、二、三个完整会计年度给予提档升级奖励（第四条第三款第四项）。</w:t>
      </w:r>
    </w:p>
    <w:p>
      <w:pPr>
        <w:pStyle w:val="9"/>
        <w:spacing w:before="0" w:beforeAutospacing="0" w:after="0" w:afterAutospacing="0" w:line="560" w:lineRule="exact"/>
        <w:ind w:firstLine="643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（二）搬迁扶持奖励。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为吸引优质企业落户，对2022年从区外搬迁到度假区，工商、税务、统计关系均在度假区进行登记的“四上企业”，当年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营业收入（产值）实现增长的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给予奖励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（当年不重复参与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提档升级奖励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）。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第一类：从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长春市以外地区搬迁的“四上”企业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1.工业企业，对年度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总产值达到1亿元以上的，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产值同比每增长1000万元，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2万元奖励资金，累计最高不超过20万元。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2.资质以内的建筑业企业，对年度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总产值达到3亿元以上的，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产值同比每增长3000万元，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2万元奖励资金，累计最高不超过20万元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服务业企业，对年度营业收入达到1000万元以上的，营业收入同比每增长200万元，给予2万元奖励资金，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累计最高不超过12万元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4.批零住餐业企业，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对年度营业额达到500万元以上的，营业额同比每增长200万元，给予2万元奖励资金，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累计最高不超过10万元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第二类：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从长春市其他地区搬迁的“四上”企业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1.工业企业，对年度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总产值达到1亿元以上的，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产值同比每增长1000万元，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2万元奖励资金，累计最高不超过16万元。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2.资质以内的建筑业企业，对年度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总产值达到3亿元以上的，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产值同比每增长3000万元，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2万元奖励资金，累计最高不超过16万元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服务业企业，对年度营业收入达到1000万元以上的，营业收入同比每增长200万元，给予2万元奖励资金，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累计最高不超过10万元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4.批零住餐业企业，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对年度营业额达到500万元以上的，营业额同比每增长200万元，给予2万元奖励资金，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累计最高不超过8万元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3" w:firstLineChars="200"/>
        <w:contextualSpacing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bidi="ar"/>
        </w:rPr>
        <w:t>（三）提档升级奖励。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以加快产业结构调整优化为主线，提升本区产业发展活力、潜力和竞争力，增强本区经济发展韧性、协调性和可持续性，对符合本办法第三条要求，且产业发展较快的“四上”企业给予奖励。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1.工业企业，对年度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总产值达到5000万元以上的，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产值同比每增长1000万元，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2万元奖励资金，三年累计最高不超过30万元。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2.资质以内的建筑业企业，对年度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总产值达到2亿元以上的，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产值同比每增长1000万元，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2万元奖励资金，三年累计最高不超过30万元。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服务业企业，对年度营业收入同比增长10%、20%、30%以上的，在对应年度分别给予1万元、2万元、4万元奖励资金，三年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累计最高不超过10万元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4.批零住餐业企业，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对年度营业额同比增长10%、20%、30%以上的，在对应年度分别给予1万元、2万元、3万元奖励资金，三年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累计最高不超过8万元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。</w:t>
      </w:r>
    </w:p>
    <w:p>
      <w:pPr>
        <w:pStyle w:val="9"/>
        <w:spacing w:before="0" w:beforeAutospacing="0" w:after="0" w:afterAutospacing="0" w:line="560" w:lineRule="exact"/>
        <w:ind w:firstLine="643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bidi="ar"/>
        </w:rPr>
        <w:t>统计人员奖励。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为从源头上夯实统计基础，切实加强联网直报企业统计管理，调动联网直报企业统计人员工作积极性、主动性，着力提高联网直报企业统计规范化建设水平和统计报表数据质量，对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符合本办法第三条要求的“四上”企业统计专兼职人员（每家企业一名）给予每月200元奖励（满分为100分，80分以上方有资格领取统计人员奖励资金）。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评定标准（100分）：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1.在本单位连续从事统计工作一年以上，重视统计工作、认真负责，按要求参加每年统计会议和业务培训（20分）；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2.按要求建立统计电子台账，建立健全各项统计原始记录，统计资料档案化、规范化管理（20分）；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3.按照统计法和统计制度规定，及时报送各种统计报表且报表质量较好，当年没有迟报、未报记录（40分）（该项目实行“一票否决”制，如发现迟报或者未报统计报表的情况，取消奖补资格）；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4.及时接受统计部门数据查询，并核实、答复及正确修改数据，积极配合各级统计部门走访和执法检查工作（20分）（该项目实行“一票否决”制，如发现拒绝、阻碍、不配合走访和执法检查的情况，取消奖补资格）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第五条   奖励时间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bidi="ar"/>
        </w:rPr>
        <w:t>奖励为申报的次年一季度兑现，即符合上述条件的企业通过审核的次年，即可申报奖励资金（统计人员奖励按年度一次性发放奖励资金）。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center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center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第三章  申报流程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center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第六条   申报与审批程序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（一）发改局每年发布年度奖励申报通知，组织资金申报。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（二）符合条件的企业将申报材料递交至发改局。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（三）发改局对申报材料进行审核并形成奖励方案，报管委会审批。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（四）经管委会批准后，财政局根据管委会批复意见，将奖励资金发放至企业。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center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center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第四章</w:t>
      </w:r>
      <w:r>
        <w:rPr>
          <w:rFonts w:ascii="Calibri" w:hAnsi="Calibri" w:eastAsia="黑体" w:cs="Calibri"/>
          <w:color w:val="auto"/>
          <w:sz w:val="32"/>
          <w:szCs w:val="32"/>
          <w:shd w:val="clear" w:color="auto" w:fill="FFFFFF"/>
        </w:rPr>
        <w:t>  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部门职责与分工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hint="eastAsia" w:ascii="仿宋" w:hAnsi="仿宋" w:cs="仿宋"/>
          <w:color w:val="auto"/>
          <w:sz w:val="32"/>
          <w:szCs w:val="32"/>
          <w:shd w:val="clear" w:color="auto" w:fill="FFFFFF"/>
        </w:rPr>
      </w:pP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第七条  发改局负责本办法所涉及奖励资金的预算编制；组织企业申报奖励扶持资金；开展申报材料复核；形成奖励方案报管委会审批。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第八条  财政局负责资金预算的保障；办理资金拨付等。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第九条  统计部门负责指导企业入库；培训企业和部门；核定企业类型；核定企业是否符合申报要求。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第十条  税务局负责核定企业当年区内纳税额。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center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center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第五章  资金管理与监督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hint="eastAsia" w:ascii="仿宋" w:hAnsi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cs="仿宋"/>
          <w:color w:val="auto"/>
          <w:sz w:val="32"/>
          <w:szCs w:val="32"/>
          <w:shd w:val="clear" w:color="auto" w:fill="FFFFFF"/>
        </w:rPr>
        <w:t xml:space="preserve">   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第十一条  发改局应会同财政局做好企业申报材料存档及奖励资金拨付等工作，确保奖励资金安全、及时、准确发放。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第十二条  企业必须如实提供申报材料，并对申报材料的真实性、完整性、有效性和合法性承担全部责任，不得弄虚作假和套取、骗取财政资金。应自觉接受财政局、审计局、发改局等相关部门的监督检查。对于采取弄虚作假的手段骗取奖励资金的企业，追回其已获得的奖励资金，3年内不得再次申报本办法涉及的奖励资金，情节严重的，追究相关法律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在享受奖励后，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在库未达3年以上的，要退回奖励资金，并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承诺五年内不将注册登记地址迁出度假区，不改变在度假区原有的纳税纳统义务。如有违反应全额退回已获得的奖励资金。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center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第六章　附　则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hint="eastAsia" w:ascii="仿宋" w:hAnsi="仿宋" w:cs="仿宋"/>
          <w:color w:val="auto"/>
          <w:sz w:val="32"/>
          <w:szCs w:val="32"/>
          <w:shd w:val="clear" w:color="auto" w:fill="FFFFFF"/>
        </w:rPr>
      </w:pP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第十三条  本办法自发布之日起施行，试行三年。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第十四条  本办法涉及财政奖励资金来源为本区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“四上”企业培育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专项奖励，奖励额度原则上不超过其当年度对本区经济发展的贡献（免税企业除外）。其他区级奖励办法与本奖励办法内容重复的，以本办法为准，不得重复奖励。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第十五条  本办法提到的货币单位如未注明的均以人民币计算，涉及 “以上”“最高”“不超过”的数额，均包含本数。</w:t>
      </w:r>
    </w:p>
    <w:p>
      <w:pPr>
        <w:pStyle w:val="9"/>
        <w:spacing w:before="0" w:beforeAutospacing="0" w:after="0" w:afterAutospacing="0"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第十六条  本办法由发改局负责解释。</w:t>
      </w:r>
    </w:p>
    <w:p>
      <w:pPr>
        <w:pStyle w:val="9"/>
        <w:spacing w:before="0" w:beforeAutospacing="0" w:after="0" w:afterAutospacing="0" w:line="560" w:lineRule="exact"/>
        <w:contextualSpacing/>
        <w:jc w:val="both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cs="仿宋"/>
          <w:color w:val="auto"/>
          <w:sz w:val="32"/>
          <w:szCs w:val="32"/>
          <w:shd w:val="clear" w:color="auto" w:fill="FFFFFF"/>
        </w:rPr>
        <w:tab/>
      </w:r>
      <w:r>
        <w:rPr>
          <w:rFonts w:hint="eastAsia" w:ascii="仿宋" w:hAnsi="仿宋" w:cs="仿宋"/>
          <w:color w:val="auto"/>
          <w:sz w:val="32"/>
          <w:szCs w:val="32"/>
          <w:shd w:val="clear" w:color="auto" w:fill="FFFFFF"/>
        </w:rPr>
        <w:tab/>
      </w:r>
    </w:p>
    <w:p>
      <w:pPr>
        <w:spacing w:line="560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0033802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7"/>
          <w:jc w:val="center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2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0D424F"/>
    <w:multiLevelType w:val="singleLevel"/>
    <w:tmpl w:val="A90D424F"/>
    <w:lvl w:ilvl="0" w:tentative="0">
      <w:start w:val="4"/>
      <w:numFmt w:val="chineseCounting"/>
      <w:suff w:val="space"/>
      <w:lvlText w:val="第%1条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MmE0NTY3YjI3MWU2YWM0MmQ3ZWY3NDE1NDg3MWIifQ=="/>
  </w:docVars>
  <w:rsids>
    <w:rsidRoot w:val="6B09209A"/>
    <w:rsid w:val="001B753A"/>
    <w:rsid w:val="001F731D"/>
    <w:rsid w:val="00234885"/>
    <w:rsid w:val="00307205"/>
    <w:rsid w:val="00376C90"/>
    <w:rsid w:val="00383128"/>
    <w:rsid w:val="00512A2E"/>
    <w:rsid w:val="00595499"/>
    <w:rsid w:val="005A30F1"/>
    <w:rsid w:val="00720195"/>
    <w:rsid w:val="00831536"/>
    <w:rsid w:val="0086031A"/>
    <w:rsid w:val="008A5908"/>
    <w:rsid w:val="00911BDF"/>
    <w:rsid w:val="00A307F5"/>
    <w:rsid w:val="00A35923"/>
    <w:rsid w:val="00AB3D20"/>
    <w:rsid w:val="00BB6C94"/>
    <w:rsid w:val="00BE3287"/>
    <w:rsid w:val="00C40191"/>
    <w:rsid w:val="00D22C8C"/>
    <w:rsid w:val="00D3714A"/>
    <w:rsid w:val="00DB24E5"/>
    <w:rsid w:val="00E15469"/>
    <w:rsid w:val="00F1017B"/>
    <w:rsid w:val="00F43210"/>
    <w:rsid w:val="00F754B9"/>
    <w:rsid w:val="00F77083"/>
    <w:rsid w:val="020967F0"/>
    <w:rsid w:val="03CA1FAF"/>
    <w:rsid w:val="0571302A"/>
    <w:rsid w:val="070F2EC2"/>
    <w:rsid w:val="0715751F"/>
    <w:rsid w:val="0A073F5D"/>
    <w:rsid w:val="0AC94ED6"/>
    <w:rsid w:val="0E903981"/>
    <w:rsid w:val="10F335E2"/>
    <w:rsid w:val="14F534BA"/>
    <w:rsid w:val="15194B44"/>
    <w:rsid w:val="18C24CF5"/>
    <w:rsid w:val="1E3226D7"/>
    <w:rsid w:val="1E560BB7"/>
    <w:rsid w:val="22DE78E5"/>
    <w:rsid w:val="230A46B8"/>
    <w:rsid w:val="234E4553"/>
    <w:rsid w:val="24E0567E"/>
    <w:rsid w:val="25551BC3"/>
    <w:rsid w:val="2652727C"/>
    <w:rsid w:val="26D422F4"/>
    <w:rsid w:val="26E72CF4"/>
    <w:rsid w:val="2B8A6B60"/>
    <w:rsid w:val="2E782484"/>
    <w:rsid w:val="339D33E4"/>
    <w:rsid w:val="35CD1F68"/>
    <w:rsid w:val="38CA4224"/>
    <w:rsid w:val="46297598"/>
    <w:rsid w:val="468E063F"/>
    <w:rsid w:val="46EB783F"/>
    <w:rsid w:val="479962F3"/>
    <w:rsid w:val="4D61085B"/>
    <w:rsid w:val="4E340D9C"/>
    <w:rsid w:val="4F9071D6"/>
    <w:rsid w:val="523F3135"/>
    <w:rsid w:val="53435A42"/>
    <w:rsid w:val="566E223B"/>
    <w:rsid w:val="580736EB"/>
    <w:rsid w:val="5822508B"/>
    <w:rsid w:val="589A733A"/>
    <w:rsid w:val="5A932270"/>
    <w:rsid w:val="5CF8285E"/>
    <w:rsid w:val="5E79213D"/>
    <w:rsid w:val="62347E94"/>
    <w:rsid w:val="67602B70"/>
    <w:rsid w:val="6A590DE0"/>
    <w:rsid w:val="6AD36CB7"/>
    <w:rsid w:val="6B09209A"/>
    <w:rsid w:val="6D402223"/>
    <w:rsid w:val="6FE949B4"/>
    <w:rsid w:val="725B321B"/>
    <w:rsid w:val="78BB0EB8"/>
    <w:rsid w:val="7C14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5">
    <w:name w:val="Body Text"/>
    <w:basedOn w:val="1"/>
    <w:qFormat/>
    <w:uiPriority w:val="0"/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12">
    <w:name w:val="页眉 字符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1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514</Words>
  <Characters>2932</Characters>
  <Lines>24</Lines>
  <Paragraphs>6</Paragraphs>
  <TotalTime>12</TotalTime>
  <ScaleCrop>false</ScaleCrop>
  <LinksUpToDate>false</LinksUpToDate>
  <CharactersWithSpaces>3440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2022-05-31T08:57:00Z</dcterms:created>
  <dc:creator>邹欣朔</dc:creator>
  <cp:lastModifiedBy>user</cp:lastModifiedBy>
  <cp:lastPrinted>2022-06-15T01:16:00Z</cp:lastPrinted>
  <dcterms:modified xsi:type="dcterms:W3CDTF">2022-08-18T01:45:47Z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238404ABB2B5474ABF9AFFFDF6F4B3EF</vt:lpwstr>
  </property>
</Properties>
</file>