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bookmarkStart w:id="0" w:name="_Toc24724722"/>
      <w:r>
        <w:rPr>
          <w:rFonts w:hint="eastAsia" w:ascii="方正小标宋_GBK" w:hAnsi="方正小标宋_GBK" w:eastAsia="方正小标宋_GBK"/>
          <w:b w:val="0"/>
          <w:bCs w:val="0"/>
          <w:sz w:val="30"/>
        </w:rPr>
        <w:t>（十九）涉农补贴领域基层政务公开标准目录</w:t>
      </w:r>
      <w:bookmarkEnd w:id="0"/>
    </w:p>
    <w:tbl>
      <w:tblPr>
        <w:tblStyle w:val="4"/>
        <w:tblW w:w="15300" w:type="dxa"/>
        <w:tblInd w:w="-664" w:type="dxa"/>
        <w:tblLayout w:type="fixed"/>
        <w:tblCellMar>
          <w:top w:w="0" w:type="dxa"/>
          <w:left w:w="108" w:type="dxa"/>
          <w:bottom w:w="0" w:type="dxa"/>
          <w:right w:w="108" w:type="dxa"/>
        </w:tblCellMar>
      </w:tblPr>
      <w:tblGrid>
        <w:gridCol w:w="540"/>
        <w:gridCol w:w="720"/>
        <w:gridCol w:w="900"/>
        <w:gridCol w:w="2340"/>
        <w:gridCol w:w="2880"/>
        <w:gridCol w:w="1260"/>
        <w:gridCol w:w="1260"/>
        <w:gridCol w:w="1440"/>
        <w:gridCol w:w="720"/>
        <w:gridCol w:w="709"/>
        <w:gridCol w:w="11"/>
        <w:gridCol w:w="540"/>
        <w:gridCol w:w="720"/>
        <w:gridCol w:w="720"/>
        <w:gridCol w:w="540"/>
      </w:tblGrid>
      <w:tr>
        <w:tblPrEx>
          <w:tblCellMar>
            <w:top w:w="0" w:type="dxa"/>
            <w:left w:w="108" w:type="dxa"/>
            <w:bottom w:w="0" w:type="dxa"/>
            <w:right w:w="108" w:type="dxa"/>
          </w:tblCellMar>
        </w:tblPrEx>
        <w:trPr>
          <w:cantSplit/>
        </w:trPr>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8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cantSplit/>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Times New Roman" w:eastAsia="黑体"/>
                <w:color w:val="000000"/>
                <w:kern w:val="0"/>
                <w:sz w:val="22"/>
              </w:rPr>
            </w:pP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28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kern w:val="0"/>
                <w:sz w:val="22"/>
              </w:rPr>
            </w:pP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乡级</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1</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Times New Roman" w:eastAsia="仿宋_GB2312"/>
                <w:sz w:val="18"/>
                <w:szCs w:val="18"/>
                <w:highlight w:val="none"/>
              </w:rPr>
            </w:pPr>
            <w:r>
              <w:rPr>
                <w:rFonts w:hint="eastAsia" w:ascii="仿宋_GB2312" w:hAnsi="宋体" w:eastAsia="仿宋_GB2312"/>
                <w:sz w:val="18"/>
                <w:szCs w:val="18"/>
                <w:highlight w:val="none"/>
              </w:rPr>
              <w:t>农业生产发展资金</w:t>
            </w:r>
          </w:p>
        </w:tc>
        <w:tc>
          <w:tcPr>
            <w:tcW w:w="90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Times New Roman" w:eastAsia="仿宋_GB2312"/>
                <w:sz w:val="18"/>
                <w:szCs w:val="18"/>
                <w:highlight w:val="none"/>
              </w:rPr>
            </w:pPr>
            <w:r>
              <w:rPr>
                <w:rFonts w:hint="eastAsia" w:ascii="仿宋_GB2312" w:hAnsi="Times New Roman" w:eastAsia="仿宋_GB2312"/>
                <w:sz w:val="18"/>
                <w:szCs w:val="18"/>
                <w:highlight w:val="none"/>
              </w:rPr>
              <w:t>农机购置补贴</w:t>
            </w:r>
          </w:p>
        </w:tc>
        <w:tc>
          <w:tcPr>
            <w:tcW w:w="234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highlight w:val="none"/>
              </w:rPr>
            </w:pPr>
            <w:r>
              <w:rPr>
                <w:rFonts w:hint="eastAsia" w:ascii="仿宋_GB2312" w:hAnsi="Times New Roman" w:eastAsia="仿宋_GB2312"/>
                <w:sz w:val="18"/>
                <w:szCs w:val="18"/>
                <w:highlight w:val="none"/>
              </w:rPr>
              <w:t>政策依据；</w:t>
            </w:r>
          </w:p>
          <w:p>
            <w:pPr>
              <w:spacing w:line="240" w:lineRule="exact"/>
              <w:rPr>
                <w:rFonts w:hint="eastAsia" w:ascii="仿宋_GB2312" w:hAnsi="Times New Roman" w:eastAsia="仿宋_GB2312"/>
                <w:sz w:val="18"/>
                <w:szCs w:val="18"/>
                <w:highlight w:val="none"/>
              </w:rPr>
            </w:pPr>
            <w:r>
              <w:rPr>
                <w:rFonts w:hint="eastAsia" w:ascii="仿宋_GB2312" w:hAnsi="Times New Roman" w:eastAsia="仿宋_GB2312"/>
                <w:sz w:val="18"/>
                <w:szCs w:val="18"/>
                <w:highlight w:val="none"/>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highlight w:val="none"/>
              </w:rPr>
            </w:pPr>
            <w:r>
              <w:rPr>
                <w:rFonts w:hint="eastAsia" w:ascii="仿宋_GB2312" w:hAnsi="Times New Roman" w:eastAsia="仿宋_GB2312"/>
                <w:sz w:val="18"/>
                <w:szCs w:val="18"/>
                <w:highlight w:val="none"/>
              </w:rPr>
              <w:t>补贴结果；</w:t>
            </w:r>
          </w:p>
          <w:p>
            <w:pPr>
              <w:spacing w:line="240" w:lineRule="exact"/>
              <w:rPr>
                <w:rFonts w:hint="eastAsia" w:ascii="仿宋_GB2312" w:hAnsi="Times New Roman" w:eastAsia="仿宋_GB2312"/>
                <w:sz w:val="18"/>
                <w:szCs w:val="18"/>
                <w:highlight w:val="none"/>
              </w:rPr>
            </w:pPr>
            <w:r>
              <w:rPr>
                <w:rFonts w:hint="eastAsia" w:ascii="仿宋_GB2312" w:hAnsi="Times New Roman" w:eastAsia="仿宋_GB2312"/>
                <w:sz w:val="18"/>
                <w:szCs w:val="18"/>
                <w:highlight w:val="none"/>
              </w:rPr>
              <w:t>监督渠道：包括举报电话、地址等。</w:t>
            </w:r>
          </w:p>
        </w:tc>
        <w:tc>
          <w:tcPr>
            <w:tcW w:w="2880" w:type="dxa"/>
            <w:tcBorders>
              <w:top w:val="single" w:color="auto" w:sz="4" w:space="0"/>
              <w:left w:val="nil"/>
              <w:bottom w:val="single" w:color="auto" w:sz="4" w:space="0"/>
              <w:right w:val="single" w:color="auto" w:sz="4" w:space="0"/>
            </w:tcBorders>
            <w:noWrap w:val="0"/>
            <w:vAlign w:val="top"/>
          </w:tcPr>
          <w:p>
            <w:pPr>
              <w:jc w:val="left"/>
              <w:rPr>
                <w:rFonts w:hint="eastAsia" w:ascii="仿宋_GB2312" w:hAnsi="Times New Roman" w:eastAsia="仿宋_GB2312"/>
                <w:sz w:val="18"/>
                <w:szCs w:val="18"/>
                <w:highlight w:val="none"/>
              </w:rPr>
            </w:pPr>
            <w:r>
              <w:rPr>
                <w:rFonts w:hint="eastAsia" w:ascii="仿宋_GB2312" w:hAnsi="Times New Roman" w:eastAsia="仿宋_GB2312"/>
                <w:sz w:val="18"/>
                <w:szCs w:val="18"/>
                <w:highlight w:val="none"/>
              </w:rPr>
              <w:t>《农业机械化促进法》、《农业生产发展资金管理办法》、《2018-2020年农机购置补贴实施指导意见》</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highlight w:val="none"/>
              </w:rPr>
            </w:pPr>
            <w:r>
              <w:rPr>
                <w:rFonts w:hint="eastAsia" w:ascii="仿宋_GB2312" w:hAnsi="Times New Roman" w:eastAsia="仿宋_GB2312"/>
                <w:sz w:val="18"/>
                <w:szCs w:val="18"/>
                <w:highlight w:val="none"/>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highlight w:val="none"/>
              </w:rPr>
            </w:pPr>
            <w:r>
              <w:rPr>
                <w:rFonts w:hint="eastAsia"/>
                <w:sz w:val="24"/>
                <w:szCs w:val="24"/>
                <w:highlight w:val="none"/>
                <w:lang w:val="en-US" w:eastAsia="zh-CN"/>
              </w:rPr>
              <w:t>农业农村局</w:t>
            </w:r>
          </w:p>
        </w:tc>
        <w:tc>
          <w:tcPr>
            <w:tcW w:w="1440" w:type="dxa"/>
            <w:tcBorders>
              <w:top w:val="single" w:color="auto" w:sz="4" w:space="0"/>
              <w:left w:val="nil"/>
              <w:bottom w:val="single" w:color="auto" w:sz="4" w:space="0"/>
              <w:right w:val="single" w:color="auto" w:sz="4" w:space="0"/>
            </w:tcBorders>
            <w:noWrap w:val="0"/>
            <w:vAlign w:val="top"/>
          </w:tcPr>
          <w:p>
            <w:pPr>
              <w:spacing w:line="240" w:lineRule="exact"/>
              <w:jc w:val="left"/>
              <w:rPr>
                <w:rFonts w:hint="eastAsia" w:ascii="仿宋_GB2312" w:hAnsi="宋体" w:eastAsia="仿宋_GB2312"/>
                <w:sz w:val="18"/>
                <w:szCs w:val="18"/>
                <w:highlight w:val="none"/>
              </w:rPr>
            </w:pPr>
            <w:r>
              <w:rPr>
                <w:rFonts w:hint="eastAsia" w:ascii="仿宋_GB2312" w:hAnsi="宋体" w:eastAsia="仿宋_GB2312"/>
                <w:sz w:val="18"/>
                <w:szCs w:val="18"/>
                <w:highlight w:val="none"/>
              </w:rPr>
              <w:t xml:space="preserve">■政府网站 </w:t>
            </w:r>
          </w:p>
          <w:p>
            <w:pPr>
              <w:spacing w:line="240" w:lineRule="exact"/>
              <w:jc w:val="left"/>
              <w:rPr>
                <w:rFonts w:hint="eastAsia" w:ascii="仿宋_GB2312" w:hAnsi="宋体" w:eastAsia="仿宋_GB2312"/>
                <w:sz w:val="18"/>
                <w:szCs w:val="18"/>
                <w:highlight w:val="none"/>
              </w:rPr>
            </w:pP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宋体" w:eastAsia="仿宋_GB2312"/>
                <w:color w:val="000000"/>
                <w:sz w:val="18"/>
                <w:szCs w:val="18"/>
                <w:highlight w:val="none"/>
              </w:rPr>
            </w:pPr>
            <w:bookmarkStart w:id="1" w:name="_GoBack"/>
            <w:bookmarkEnd w:id="1"/>
            <w:r>
              <w:rPr>
                <w:rFonts w:hint="eastAsia" w:ascii="仿宋_GB2312" w:hAnsi="宋体" w:eastAsia="仿宋_GB2312"/>
                <w:color w:val="000000"/>
                <w:sz w:val="18"/>
                <w:szCs w:val="18"/>
                <w:highlight w:val="none"/>
              </w:rPr>
              <w:t>3</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18"/>
                <w:szCs w:val="18"/>
                <w:highlight w:val="none"/>
              </w:rPr>
            </w:pPr>
            <w:r>
              <w:rPr>
                <w:rFonts w:hint="eastAsia" w:ascii="仿宋_GB2312" w:hAnsi="宋体" w:eastAsia="仿宋_GB2312"/>
                <w:sz w:val="18"/>
                <w:szCs w:val="18"/>
                <w:highlight w:val="none"/>
              </w:rPr>
              <w:t>农业生产发展资金</w:t>
            </w:r>
          </w:p>
        </w:tc>
        <w:tc>
          <w:tcPr>
            <w:tcW w:w="900"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Times New Roman" w:eastAsia="仿宋_GB2312"/>
                <w:sz w:val="18"/>
                <w:szCs w:val="18"/>
                <w:highlight w:val="none"/>
              </w:rPr>
            </w:pPr>
            <w:r>
              <w:rPr>
                <w:rFonts w:hint="eastAsia" w:ascii="仿宋_GB2312" w:hAnsi="Times New Roman" w:eastAsia="仿宋_GB2312"/>
                <w:sz w:val="18"/>
                <w:szCs w:val="18"/>
                <w:highlight w:val="none"/>
              </w:rPr>
              <w:t>新型职业农民培育</w:t>
            </w:r>
          </w:p>
        </w:tc>
        <w:tc>
          <w:tcPr>
            <w:tcW w:w="234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highlight w:val="none"/>
              </w:rPr>
            </w:pPr>
            <w:r>
              <w:rPr>
                <w:rFonts w:hint="eastAsia" w:ascii="仿宋_GB2312" w:hAnsi="Times New Roman" w:eastAsia="仿宋_GB2312"/>
                <w:sz w:val="18"/>
                <w:szCs w:val="18"/>
                <w:highlight w:val="none"/>
              </w:rPr>
              <w:t>政策依据；</w:t>
            </w:r>
          </w:p>
          <w:p>
            <w:pPr>
              <w:spacing w:line="240" w:lineRule="exact"/>
              <w:rPr>
                <w:rFonts w:hint="eastAsia" w:ascii="仿宋_GB2312" w:hAnsi="Times New Roman" w:eastAsia="仿宋_GB2312"/>
                <w:sz w:val="18"/>
                <w:szCs w:val="18"/>
                <w:highlight w:val="none"/>
              </w:rPr>
            </w:pPr>
            <w:r>
              <w:rPr>
                <w:rFonts w:hint="eastAsia" w:ascii="仿宋_GB2312" w:hAnsi="Times New Roman" w:eastAsia="仿宋_GB2312"/>
                <w:sz w:val="18"/>
                <w:szCs w:val="18"/>
                <w:highlight w:val="none"/>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highlight w:val="none"/>
              </w:rPr>
            </w:pPr>
            <w:r>
              <w:rPr>
                <w:rFonts w:hint="eastAsia" w:ascii="仿宋_GB2312" w:hAnsi="Times New Roman" w:eastAsia="仿宋_GB2312"/>
                <w:sz w:val="18"/>
                <w:szCs w:val="18"/>
                <w:highlight w:val="none"/>
              </w:rPr>
              <w:t>补贴结果；</w:t>
            </w:r>
          </w:p>
          <w:p>
            <w:pPr>
              <w:spacing w:line="240" w:lineRule="exact"/>
              <w:rPr>
                <w:rFonts w:hint="eastAsia" w:ascii="仿宋_GB2312" w:hAnsi="Times New Roman" w:eastAsia="仿宋_GB2312"/>
                <w:sz w:val="18"/>
                <w:szCs w:val="18"/>
                <w:highlight w:val="none"/>
              </w:rPr>
            </w:pPr>
            <w:r>
              <w:rPr>
                <w:rFonts w:hint="eastAsia" w:ascii="仿宋_GB2312" w:hAnsi="Times New Roman" w:eastAsia="仿宋_GB2312"/>
                <w:sz w:val="18"/>
                <w:szCs w:val="18"/>
                <w:highlight w:val="none"/>
              </w:rPr>
              <w:t>监督渠道：包括举报电话、地址等。</w:t>
            </w:r>
          </w:p>
        </w:tc>
        <w:tc>
          <w:tcPr>
            <w:tcW w:w="2880" w:type="dxa"/>
            <w:tcBorders>
              <w:top w:val="single" w:color="auto" w:sz="4" w:space="0"/>
              <w:left w:val="nil"/>
              <w:bottom w:val="single" w:color="auto" w:sz="4" w:space="0"/>
              <w:right w:val="single" w:color="auto" w:sz="4" w:space="0"/>
            </w:tcBorders>
            <w:noWrap w:val="0"/>
            <w:vAlign w:val="top"/>
          </w:tcPr>
          <w:p>
            <w:pPr>
              <w:rPr>
                <w:rFonts w:hint="eastAsia" w:ascii="仿宋_GB2312" w:hAnsi="Times New Roman" w:eastAsia="仿宋_GB2312"/>
                <w:sz w:val="18"/>
                <w:szCs w:val="18"/>
                <w:highlight w:val="none"/>
              </w:rPr>
            </w:pPr>
            <w:r>
              <w:rPr>
                <w:rFonts w:hint="eastAsia" w:ascii="仿宋_GB2312" w:hAnsi="Times New Roman" w:eastAsia="仿宋_GB2312"/>
                <w:sz w:val="18"/>
                <w:szCs w:val="18"/>
                <w:highlight w:val="none"/>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highlight w:val="none"/>
              </w:rPr>
            </w:pPr>
            <w:r>
              <w:rPr>
                <w:rFonts w:hint="eastAsia" w:ascii="仿宋_GB2312" w:hAnsi="Times New Roman" w:eastAsia="仿宋_GB2312"/>
                <w:sz w:val="18"/>
                <w:szCs w:val="18"/>
                <w:highlight w:val="none"/>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highlight w:val="none"/>
              </w:rPr>
            </w:pPr>
            <w:r>
              <w:rPr>
                <w:rFonts w:hint="eastAsia"/>
                <w:sz w:val="24"/>
                <w:szCs w:val="24"/>
                <w:highlight w:val="none"/>
                <w:lang w:val="en-US" w:eastAsia="zh-CN"/>
              </w:rPr>
              <w:t>农业农村局</w:t>
            </w:r>
          </w:p>
        </w:tc>
        <w:tc>
          <w:tcPr>
            <w:tcW w:w="1440" w:type="dxa"/>
            <w:tcBorders>
              <w:top w:val="single" w:color="auto" w:sz="4" w:space="0"/>
              <w:left w:val="nil"/>
              <w:bottom w:val="single" w:color="auto" w:sz="4" w:space="0"/>
              <w:right w:val="single" w:color="auto" w:sz="4" w:space="0"/>
            </w:tcBorders>
            <w:noWrap w:val="0"/>
            <w:vAlign w:val="top"/>
          </w:tcPr>
          <w:p>
            <w:pPr>
              <w:spacing w:line="240" w:lineRule="exact"/>
              <w:jc w:val="left"/>
              <w:rPr>
                <w:rFonts w:hint="eastAsia" w:ascii="仿宋_GB2312" w:hAnsi="宋体" w:eastAsia="仿宋_GB2312"/>
                <w:sz w:val="18"/>
                <w:szCs w:val="18"/>
                <w:highlight w:val="none"/>
              </w:rPr>
            </w:pPr>
            <w:r>
              <w:rPr>
                <w:rFonts w:hint="eastAsia" w:ascii="仿宋_GB2312" w:hAnsi="宋体" w:eastAsia="仿宋_GB2312"/>
                <w:sz w:val="18"/>
                <w:szCs w:val="18"/>
                <w:highlight w:val="none"/>
              </w:rPr>
              <w:t xml:space="preserve">■政府网站 </w:t>
            </w:r>
          </w:p>
          <w:p>
            <w:pPr>
              <w:spacing w:line="240" w:lineRule="exact"/>
              <w:jc w:val="left"/>
              <w:rPr>
                <w:rFonts w:hint="eastAsia" w:ascii="仿宋_GB2312" w:hAnsi="宋体" w:eastAsia="仿宋_GB2312"/>
                <w:sz w:val="18"/>
                <w:szCs w:val="18"/>
                <w:highlight w:val="none"/>
              </w:rPr>
            </w:pP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4</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18"/>
                <w:szCs w:val="18"/>
                <w:highlight w:val="none"/>
              </w:rPr>
            </w:pPr>
            <w:r>
              <w:rPr>
                <w:rFonts w:hint="eastAsia" w:ascii="仿宋_GB2312" w:hAnsi="宋体" w:eastAsia="仿宋_GB2312"/>
                <w:sz w:val="18"/>
                <w:szCs w:val="18"/>
                <w:highlight w:val="none"/>
              </w:rPr>
              <w:t>农业生产发展资金</w:t>
            </w:r>
          </w:p>
        </w:tc>
        <w:tc>
          <w:tcPr>
            <w:tcW w:w="900"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Times New Roman" w:eastAsia="仿宋_GB2312"/>
                <w:sz w:val="18"/>
                <w:szCs w:val="18"/>
                <w:highlight w:val="none"/>
              </w:rPr>
            </w:pPr>
            <w:r>
              <w:rPr>
                <w:rFonts w:hint="eastAsia" w:ascii="仿宋_GB2312" w:hAnsi="Times New Roman" w:eastAsia="仿宋_GB2312"/>
                <w:sz w:val="18"/>
                <w:szCs w:val="18"/>
                <w:highlight w:val="none"/>
              </w:rPr>
              <w:t>支持新型农业经营主体</w:t>
            </w:r>
          </w:p>
        </w:tc>
        <w:tc>
          <w:tcPr>
            <w:tcW w:w="234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highlight w:val="none"/>
              </w:rPr>
            </w:pPr>
            <w:r>
              <w:rPr>
                <w:rFonts w:hint="eastAsia" w:ascii="仿宋_GB2312" w:hAnsi="Times New Roman" w:eastAsia="仿宋_GB2312"/>
                <w:sz w:val="18"/>
                <w:szCs w:val="18"/>
                <w:highlight w:val="none"/>
              </w:rPr>
              <w:t>政策依据；</w:t>
            </w:r>
          </w:p>
          <w:p>
            <w:pPr>
              <w:spacing w:line="240" w:lineRule="exact"/>
              <w:rPr>
                <w:rFonts w:hint="eastAsia" w:ascii="仿宋_GB2312" w:hAnsi="Times New Roman" w:eastAsia="仿宋_GB2312"/>
                <w:sz w:val="18"/>
                <w:szCs w:val="18"/>
                <w:highlight w:val="none"/>
              </w:rPr>
            </w:pPr>
            <w:r>
              <w:rPr>
                <w:rFonts w:hint="eastAsia" w:ascii="仿宋_GB2312" w:hAnsi="Times New Roman" w:eastAsia="仿宋_GB2312"/>
                <w:sz w:val="18"/>
                <w:szCs w:val="18"/>
                <w:highlight w:val="none"/>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highlight w:val="none"/>
              </w:rPr>
            </w:pPr>
            <w:r>
              <w:rPr>
                <w:rFonts w:hint="eastAsia" w:ascii="仿宋_GB2312" w:hAnsi="Times New Roman" w:eastAsia="仿宋_GB2312"/>
                <w:sz w:val="18"/>
                <w:szCs w:val="18"/>
                <w:highlight w:val="none"/>
              </w:rPr>
              <w:t>补贴结果；</w:t>
            </w:r>
          </w:p>
          <w:p>
            <w:pPr>
              <w:spacing w:line="240" w:lineRule="exact"/>
              <w:rPr>
                <w:rFonts w:hint="eastAsia" w:ascii="仿宋_GB2312" w:hAnsi="Times New Roman" w:eastAsia="仿宋_GB2312"/>
                <w:sz w:val="18"/>
                <w:szCs w:val="18"/>
                <w:highlight w:val="none"/>
              </w:rPr>
            </w:pPr>
            <w:r>
              <w:rPr>
                <w:rFonts w:hint="eastAsia" w:ascii="仿宋_GB2312" w:hAnsi="Times New Roman" w:eastAsia="仿宋_GB2312"/>
                <w:sz w:val="18"/>
                <w:szCs w:val="18"/>
                <w:highlight w:val="none"/>
              </w:rPr>
              <w:t>监督渠道：包括举报电话、地址等。</w:t>
            </w:r>
          </w:p>
        </w:tc>
        <w:tc>
          <w:tcPr>
            <w:tcW w:w="2880" w:type="dxa"/>
            <w:tcBorders>
              <w:top w:val="single" w:color="auto" w:sz="4" w:space="0"/>
              <w:left w:val="nil"/>
              <w:bottom w:val="single" w:color="auto" w:sz="4" w:space="0"/>
              <w:right w:val="single" w:color="auto" w:sz="4" w:space="0"/>
            </w:tcBorders>
            <w:noWrap w:val="0"/>
            <w:vAlign w:val="top"/>
          </w:tcPr>
          <w:p>
            <w:pPr>
              <w:rPr>
                <w:rFonts w:hint="eastAsia" w:ascii="仿宋_GB2312" w:hAnsi="Times New Roman" w:eastAsia="仿宋_GB2312"/>
                <w:sz w:val="18"/>
                <w:szCs w:val="18"/>
                <w:highlight w:val="none"/>
              </w:rPr>
            </w:pPr>
            <w:r>
              <w:rPr>
                <w:rFonts w:hint="eastAsia" w:ascii="仿宋_GB2312" w:hAnsi="Times New Roman" w:eastAsia="仿宋_GB2312"/>
                <w:sz w:val="18"/>
                <w:szCs w:val="18"/>
                <w:highlight w:val="none"/>
              </w:rPr>
              <w:t>《农业生产发展资金管理办法》</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highlight w:val="none"/>
              </w:rPr>
            </w:pPr>
            <w:r>
              <w:rPr>
                <w:rFonts w:hint="eastAsia" w:ascii="仿宋_GB2312" w:hAnsi="Times New Roman" w:eastAsia="仿宋_GB2312"/>
                <w:sz w:val="18"/>
                <w:szCs w:val="18"/>
                <w:highlight w:val="none"/>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highlight w:val="none"/>
              </w:rPr>
            </w:pPr>
            <w:r>
              <w:rPr>
                <w:rFonts w:hint="eastAsia"/>
                <w:sz w:val="24"/>
                <w:szCs w:val="24"/>
                <w:highlight w:val="none"/>
                <w:lang w:val="en-US" w:eastAsia="zh-CN"/>
              </w:rPr>
              <w:t>农业农村局</w:t>
            </w:r>
          </w:p>
        </w:tc>
        <w:tc>
          <w:tcPr>
            <w:tcW w:w="1440" w:type="dxa"/>
            <w:tcBorders>
              <w:top w:val="single" w:color="auto" w:sz="4" w:space="0"/>
              <w:left w:val="nil"/>
              <w:bottom w:val="single" w:color="auto" w:sz="4" w:space="0"/>
              <w:right w:val="single" w:color="auto" w:sz="4" w:space="0"/>
            </w:tcBorders>
            <w:noWrap w:val="0"/>
            <w:vAlign w:val="top"/>
          </w:tcPr>
          <w:p>
            <w:pPr>
              <w:spacing w:line="240" w:lineRule="exact"/>
              <w:jc w:val="left"/>
              <w:rPr>
                <w:rFonts w:hint="eastAsia" w:ascii="仿宋_GB2312" w:hAnsi="宋体" w:eastAsia="仿宋_GB2312"/>
                <w:sz w:val="18"/>
                <w:szCs w:val="18"/>
                <w:highlight w:val="none"/>
              </w:rPr>
            </w:pPr>
            <w:r>
              <w:rPr>
                <w:rFonts w:hint="eastAsia" w:ascii="仿宋_GB2312" w:hAnsi="宋体" w:eastAsia="仿宋_GB2312"/>
                <w:sz w:val="18"/>
                <w:szCs w:val="18"/>
                <w:highlight w:val="none"/>
              </w:rPr>
              <w:t xml:space="preserve">■政府网站 </w:t>
            </w:r>
          </w:p>
          <w:p>
            <w:pPr>
              <w:spacing w:line="240" w:lineRule="exact"/>
              <w:jc w:val="left"/>
              <w:rPr>
                <w:rFonts w:hint="eastAsia" w:ascii="仿宋_GB2312" w:hAnsi="宋体" w:eastAsia="仿宋_GB2312"/>
                <w:sz w:val="18"/>
                <w:szCs w:val="18"/>
                <w:highlight w:val="none"/>
              </w:rPr>
            </w:pP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000000" w:sz="4" w:space="0"/>
              <w:right w:val="single" w:color="auto" w:sz="4" w:space="0"/>
            </w:tcBorders>
            <w:noWrap/>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6</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18"/>
                <w:szCs w:val="18"/>
                <w:highlight w:val="none"/>
              </w:rPr>
            </w:pPr>
            <w:r>
              <w:rPr>
                <w:rFonts w:hint="eastAsia" w:ascii="仿宋_GB2312" w:hAnsi="宋体" w:eastAsia="仿宋_GB2312"/>
                <w:sz w:val="18"/>
                <w:szCs w:val="18"/>
                <w:highlight w:val="none"/>
              </w:rPr>
              <w:t>动物防疫等补助经费</w:t>
            </w:r>
          </w:p>
        </w:tc>
        <w:tc>
          <w:tcPr>
            <w:tcW w:w="900"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Times New Roman" w:eastAsia="仿宋_GB2312"/>
                <w:sz w:val="18"/>
                <w:szCs w:val="18"/>
                <w:highlight w:val="none"/>
              </w:rPr>
            </w:pPr>
            <w:r>
              <w:rPr>
                <w:rFonts w:hint="eastAsia" w:ascii="仿宋_GB2312" w:hAnsi="Times New Roman" w:eastAsia="仿宋_GB2312"/>
                <w:sz w:val="18"/>
                <w:szCs w:val="18"/>
                <w:highlight w:val="none"/>
              </w:rPr>
              <w:t>强制扑杀、强制免疫和养殖环节无害化处理补助</w:t>
            </w:r>
          </w:p>
        </w:tc>
        <w:tc>
          <w:tcPr>
            <w:tcW w:w="234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highlight w:val="none"/>
              </w:rPr>
            </w:pPr>
            <w:r>
              <w:rPr>
                <w:rFonts w:hint="eastAsia" w:ascii="仿宋_GB2312" w:hAnsi="Times New Roman" w:eastAsia="仿宋_GB2312"/>
                <w:sz w:val="18"/>
                <w:szCs w:val="18"/>
                <w:highlight w:val="none"/>
              </w:rPr>
              <w:t>政策依据；</w:t>
            </w:r>
          </w:p>
          <w:p>
            <w:pPr>
              <w:spacing w:line="240" w:lineRule="exact"/>
              <w:rPr>
                <w:rFonts w:hint="eastAsia" w:ascii="仿宋_GB2312" w:hAnsi="Times New Roman" w:eastAsia="仿宋_GB2312"/>
                <w:sz w:val="18"/>
                <w:szCs w:val="18"/>
                <w:highlight w:val="none"/>
              </w:rPr>
            </w:pPr>
            <w:r>
              <w:rPr>
                <w:rFonts w:hint="eastAsia" w:ascii="仿宋_GB2312" w:hAnsi="Times New Roman" w:eastAsia="仿宋_GB2312"/>
                <w:sz w:val="18"/>
                <w:szCs w:val="18"/>
                <w:highlight w:val="none"/>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highlight w:val="none"/>
              </w:rPr>
            </w:pPr>
            <w:r>
              <w:rPr>
                <w:rFonts w:hint="eastAsia" w:ascii="仿宋_GB2312" w:hAnsi="Times New Roman" w:eastAsia="仿宋_GB2312"/>
                <w:sz w:val="18"/>
                <w:szCs w:val="18"/>
                <w:highlight w:val="none"/>
              </w:rPr>
              <w:t>补贴结果；</w:t>
            </w:r>
          </w:p>
          <w:p>
            <w:pPr>
              <w:spacing w:line="240" w:lineRule="exact"/>
              <w:rPr>
                <w:rFonts w:hint="eastAsia" w:ascii="仿宋_GB2312" w:hAnsi="Times New Roman" w:eastAsia="仿宋_GB2312"/>
                <w:sz w:val="18"/>
                <w:szCs w:val="18"/>
                <w:highlight w:val="none"/>
              </w:rPr>
            </w:pPr>
            <w:r>
              <w:rPr>
                <w:rFonts w:hint="eastAsia" w:ascii="仿宋_GB2312" w:hAnsi="Times New Roman" w:eastAsia="仿宋_GB2312"/>
                <w:sz w:val="18"/>
                <w:szCs w:val="18"/>
                <w:highlight w:val="none"/>
              </w:rPr>
              <w:t>监督渠道：包括举报电话、地址等。</w:t>
            </w:r>
          </w:p>
        </w:tc>
        <w:tc>
          <w:tcPr>
            <w:tcW w:w="2880" w:type="dxa"/>
            <w:tcBorders>
              <w:top w:val="single" w:color="auto" w:sz="4" w:space="0"/>
              <w:left w:val="nil"/>
              <w:bottom w:val="single" w:color="auto" w:sz="4" w:space="0"/>
              <w:right w:val="single" w:color="auto" w:sz="4" w:space="0"/>
            </w:tcBorders>
            <w:noWrap w:val="0"/>
            <w:vAlign w:val="top"/>
          </w:tcPr>
          <w:p>
            <w:pPr>
              <w:jc w:val="left"/>
              <w:rPr>
                <w:rFonts w:hint="eastAsia" w:ascii="仿宋_GB2312" w:hAnsi="Times New Roman" w:eastAsia="仿宋_GB2312"/>
                <w:sz w:val="18"/>
                <w:szCs w:val="18"/>
                <w:highlight w:val="none"/>
              </w:rPr>
            </w:pPr>
            <w:r>
              <w:rPr>
                <w:rFonts w:hint="eastAsia" w:ascii="仿宋_GB2312" w:hAnsi="Times New Roman" w:eastAsia="仿宋_GB2312"/>
                <w:sz w:val="18"/>
                <w:szCs w:val="18"/>
                <w:highlight w:val="none"/>
              </w:rPr>
              <w:t>《动物防疫法》、《动物防疫等补助经费管理办法》</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highlight w:val="none"/>
              </w:rPr>
            </w:pPr>
            <w:r>
              <w:rPr>
                <w:rFonts w:hint="eastAsia" w:ascii="仿宋_GB2312" w:hAnsi="Times New Roman" w:eastAsia="仿宋_GB2312"/>
                <w:sz w:val="18"/>
                <w:szCs w:val="18"/>
                <w:highlight w:val="none"/>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highlight w:val="none"/>
              </w:rPr>
            </w:pPr>
            <w:r>
              <w:rPr>
                <w:rFonts w:hint="eastAsia"/>
                <w:sz w:val="24"/>
                <w:szCs w:val="24"/>
                <w:highlight w:val="none"/>
                <w:lang w:val="en-US" w:eastAsia="zh-CN"/>
              </w:rPr>
              <w:t>农业农村局</w:t>
            </w:r>
          </w:p>
        </w:tc>
        <w:tc>
          <w:tcPr>
            <w:tcW w:w="1440" w:type="dxa"/>
            <w:tcBorders>
              <w:top w:val="single" w:color="auto" w:sz="4" w:space="0"/>
              <w:left w:val="nil"/>
              <w:bottom w:val="single" w:color="auto" w:sz="4" w:space="0"/>
              <w:right w:val="single" w:color="auto" w:sz="4" w:space="0"/>
            </w:tcBorders>
            <w:noWrap w:val="0"/>
            <w:vAlign w:val="top"/>
          </w:tcPr>
          <w:p>
            <w:pPr>
              <w:spacing w:line="240" w:lineRule="exact"/>
              <w:jc w:val="left"/>
              <w:rPr>
                <w:rFonts w:hint="eastAsia" w:ascii="仿宋_GB2312" w:hAnsi="宋体" w:eastAsia="仿宋_GB2312"/>
                <w:sz w:val="18"/>
                <w:szCs w:val="18"/>
                <w:highlight w:val="none"/>
              </w:rPr>
            </w:pPr>
            <w:r>
              <w:rPr>
                <w:rFonts w:hint="eastAsia" w:ascii="仿宋_GB2312" w:hAnsi="宋体" w:eastAsia="仿宋_GB2312"/>
                <w:sz w:val="18"/>
                <w:szCs w:val="18"/>
                <w:highlight w:val="none"/>
              </w:rPr>
              <w:t xml:space="preserve">■政府网站 </w:t>
            </w:r>
          </w:p>
          <w:p>
            <w:pPr>
              <w:spacing w:line="240" w:lineRule="exact"/>
              <w:jc w:val="left"/>
              <w:rPr>
                <w:rFonts w:hint="eastAsia" w:ascii="仿宋_GB2312" w:hAnsi="宋体" w:eastAsia="仿宋_GB2312"/>
                <w:sz w:val="18"/>
                <w:szCs w:val="18"/>
                <w:highlight w:val="none"/>
              </w:rPr>
            </w:pP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r>
    </w:tbl>
    <w:p>
      <w:pPr>
        <w:jc w:val="center"/>
        <w:rPr>
          <w:rFonts w:ascii="Times New Roman" w:hAnsi="Times New Roman" w:eastAsia="方正小标宋_GBK"/>
          <w:sz w:val="28"/>
          <w:szCs w:val="28"/>
          <w:highlight w:val="none"/>
        </w:rPr>
      </w:pPr>
    </w:p>
    <w:p>
      <w:pPr>
        <w:jc w:val="left"/>
        <w:rPr>
          <w:rFonts w:hint="eastAsia" w:ascii="Times New Roman" w:hAnsi="Times New Roman" w:eastAsia="方正小标宋_GBK"/>
          <w:sz w:val="28"/>
          <w:szCs w:val="28"/>
        </w:rPr>
      </w:pPr>
    </w:p>
    <w:p/>
    <w:sectPr>
      <w:footerReference r:id="rId4" w:type="first"/>
      <w:footerReference r:id="rId3" w:type="default"/>
      <w:pgSz w:w="16838" w:h="11906" w:orient="landscape"/>
      <w:pgMar w:top="1797" w:right="1440" w:bottom="1797" w:left="144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方正小标宋_GBK">
    <w:panose1 w:val="02000000000000000000"/>
    <w:charset w:val="86"/>
    <w:family w:val="script"/>
    <w:pitch w:val="default"/>
    <w:sig w:usb0="00000000" w:usb1="00000000" w:usb2="00000000" w:usb3="00000000" w:csb0="00000000" w:csb1="00000000"/>
  </w:font>
  <w:font w:name="仿宋_GB2312">
    <w:panose1 w:val="02010609030101010101"/>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Fonts w:hint="eastAsia"/>
      </w:rPr>
    </w:pPr>
  </w:p>
  <w:p>
    <w:pPr>
      <w:pStyle w:val="3"/>
      <w:jc w:val="center"/>
      <w:rPr>
        <w:rFonts w:hint="eastAsia"/>
      </w:rPr>
    </w:pPr>
    <w:r>
      <w:fldChar w:fldCharType="begin"/>
    </w:r>
    <w:r>
      <w:rPr>
        <w:rStyle w:val="6"/>
      </w:rPr>
      <w:instrText xml:space="preserve"> PAGE </w:instrText>
    </w:r>
    <w:r>
      <w:fldChar w:fldCharType="separate"/>
    </w:r>
    <w:r>
      <w:rPr>
        <w:rStyle w:val="6"/>
      </w:rPr>
      <w:t>158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rPr>
        <w:rStyle w:val="6"/>
      </w:rPr>
      <w:instrText xml:space="preserve"> PAGE </w:instrText>
    </w:r>
    <w:r>
      <w:fldChar w:fldCharType="separate"/>
    </w:r>
    <w:r>
      <w:rPr>
        <w:rStyle w:val="6"/>
      </w:rP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43136E"/>
    <w:rsid w:val="2C43136E"/>
    <w:rsid w:val="57407855"/>
    <w:rsid w:val="71306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Calibri" w:cs="Arial"/>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2020-09-02T02:02:00Z</dcterms:created>
  <dc:creator>Drenched1397823474</dc:creator>
  <cp:lastModifiedBy>WPS_1498003278</cp:lastModifiedBy>
  <dcterms:modified xsi:type="dcterms:W3CDTF">2020-09-07T02:38:36Z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