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根据《中华人民共和国政府信息公开条例》规定,现向社会公布本机关2022年度政府信息公开工作年度报告。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2022年，长春市统计局宽城区分局认真贯彻落实《条例》精神，紧紧围绕长春市宽城区政务公开领导小组办公室关于政府信息公开工作要点的总体要求及重大决策部署和公众关切，认真开展和推进政府信息公开工作。所列数据统计期限自2022年1月1日至2022年12月31日截止。如对本报告有任何疑问，请与长春市统计局宽城区办公室联系（地址：吉林省长春市宽城区北人民大街3366号宽城区政府办公楼2104房间；电话：0431-89990240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是组织推动全局政府信息公开工作。今年11月我分局政务信息平台开通后，始终坚持“公开为常态、不公开为例外”的原则，强化政策解读、回应社会关切、完善平台建设等方面工作。大力推进决策、执行、管理、服务、结果公开和重点领域政府信息公开，切实提高我局行政工作的透明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二是结合统计系统省市区三级基本目录样板及要求，编制区统计分局政府信息主动公开基本目录，完成局门户网站相关栏目调整。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三是确定专、兼职的政府信息公开工作人员落实依申请公开信息的办理工作，实行政府信息公开的专人负责制。</w:t>
      </w:r>
    </w:p>
    <w:p>
      <w:pPr>
        <w:rPr>
          <w:rFonts w:hint="eastAsia" w:ascii="仿宋_GB2312" w:hAnsi="仿宋_GB2312" w:eastAsia="仿宋_GB2312" w:cs="仿宋_GB2312"/>
          <w:sz w:val="30"/>
          <w:szCs w:val="30"/>
        </w:rPr>
      </w:pPr>
    </w:p>
    <w:p>
      <w:pPr>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45"/>
        <w:gridCol w:w="220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9100" w:type="dxa"/>
            <w:gridSpan w:val="4"/>
            <w:shd w:val="clear" w:color="auto" w:fill="99CCFF"/>
            <w:noWrap w:val="0"/>
            <w:vAlign w:val="center"/>
          </w:tcPr>
          <w:p>
            <w:pPr>
              <w:jc w:val="center"/>
              <w:rPr>
                <w:sz w:val="24"/>
                <w:szCs w:val="24"/>
              </w:rPr>
            </w:pPr>
            <w:r>
              <w:rPr>
                <w:sz w:val="24"/>
                <w:szCs w:val="24"/>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信息内容</w:t>
            </w:r>
          </w:p>
        </w:tc>
        <w:tc>
          <w:tcPr>
            <w:tcW w:w="2245" w:type="dxa"/>
            <w:noWrap w:val="0"/>
            <w:vAlign w:val="center"/>
          </w:tcPr>
          <w:p>
            <w:pPr>
              <w:jc w:val="center"/>
              <w:rPr>
                <w:sz w:val="24"/>
                <w:szCs w:val="24"/>
              </w:rPr>
            </w:pPr>
            <w:r>
              <w:rPr>
                <w:sz w:val="24"/>
                <w:szCs w:val="24"/>
              </w:rPr>
              <w:t>本年制发件数</w:t>
            </w:r>
          </w:p>
        </w:tc>
        <w:tc>
          <w:tcPr>
            <w:tcW w:w="2205" w:type="dxa"/>
            <w:noWrap w:val="0"/>
            <w:vAlign w:val="center"/>
          </w:tcPr>
          <w:p>
            <w:pPr>
              <w:jc w:val="center"/>
              <w:rPr>
                <w:sz w:val="24"/>
                <w:szCs w:val="24"/>
              </w:rPr>
            </w:pPr>
            <w:r>
              <w:rPr>
                <w:sz w:val="24"/>
                <w:szCs w:val="24"/>
              </w:rPr>
              <w:t>本年废止件数</w:t>
            </w:r>
          </w:p>
        </w:tc>
        <w:tc>
          <w:tcPr>
            <w:tcW w:w="2520" w:type="dxa"/>
            <w:noWrap w:val="0"/>
            <w:vAlign w:val="center"/>
          </w:tcPr>
          <w:p>
            <w:pPr>
              <w:jc w:val="center"/>
              <w:rPr>
                <w:sz w:val="24"/>
                <w:szCs w:val="24"/>
              </w:rPr>
            </w:pPr>
            <w:r>
              <w:rPr>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规章</w:t>
            </w:r>
          </w:p>
        </w:tc>
        <w:tc>
          <w:tcPr>
            <w:tcW w:w="2245" w:type="dxa"/>
            <w:noWrap w:val="0"/>
            <w:vAlign w:val="center"/>
          </w:tcPr>
          <w:p>
            <w:pPr>
              <w:jc w:val="center"/>
              <w:rPr>
                <w:rFonts w:hint="eastAsia" w:eastAsia="宋体"/>
                <w:sz w:val="24"/>
                <w:szCs w:val="24"/>
                <w:lang w:val="en-US" w:eastAsia="zh-CN"/>
              </w:rPr>
            </w:pPr>
            <w:r>
              <w:rPr>
                <w:rFonts w:hint="eastAsia"/>
                <w:sz w:val="24"/>
                <w:szCs w:val="24"/>
                <w:lang w:val="en-US" w:eastAsia="zh-CN"/>
              </w:rPr>
              <w:t>0</w:t>
            </w:r>
          </w:p>
        </w:tc>
        <w:tc>
          <w:tcPr>
            <w:tcW w:w="2205" w:type="dxa"/>
            <w:noWrap w:val="0"/>
            <w:vAlign w:val="center"/>
          </w:tcPr>
          <w:p>
            <w:pPr>
              <w:jc w:val="center"/>
              <w:rPr>
                <w:rFonts w:hint="eastAsia" w:eastAsia="宋体"/>
                <w:sz w:val="24"/>
                <w:szCs w:val="24"/>
                <w:lang w:val="en-US" w:eastAsia="zh-CN"/>
              </w:rPr>
            </w:pPr>
            <w:r>
              <w:rPr>
                <w:rFonts w:hint="eastAsia"/>
                <w:sz w:val="24"/>
                <w:szCs w:val="24"/>
                <w:lang w:val="en-US" w:eastAsia="zh-CN"/>
              </w:rPr>
              <w:t>0</w:t>
            </w:r>
          </w:p>
        </w:tc>
        <w:tc>
          <w:tcPr>
            <w:tcW w:w="2520" w:type="dxa"/>
            <w:noWrap w:val="0"/>
            <w:vAlign w:val="center"/>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行政规范性文件</w:t>
            </w:r>
          </w:p>
        </w:tc>
        <w:tc>
          <w:tcPr>
            <w:tcW w:w="2245" w:type="dxa"/>
            <w:noWrap w:val="0"/>
            <w:vAlign w:val="center"/>
          </w:tcPr>
          <w:p>
            <w:pPr>
              <w:jc w:val="center"/>
              <w:rPr>
                <w:rFonts w:hint="eastAsia" w:eastAsia="宋体"/>
                <w:sz w:val="24"/>
                <w:szCs w:val="24"/>
                <w:lang w:val="en-US" w:eastAsia="zh-CN"/>
              </w:rPr>
            </w:pPr>
            <w:r>
              <w:rPr>
                <w:rFonts w:hint="eastAsia"/>
                <w:sz w:val="24"/>
                <w:szCs w:val="24"/>
                <w:lang w:val="en-US" w:eastAsia="zh-CN"/>
              </w:rPr>
              <w:t>0</w:t>
            </w:r>
          </w:p>
        </w:tc>
        <w:tc>
          <w:tcPr>
            <w:tcW w:w="2205" w:type="dxa"/>
            <w:noWrap w:val="0"/>
            <w:vAlign w:val="center"/>
          </w:tcPr>
          <w:p>
            <w:pPr>
              <w:jc w:val="center"/>
              <w:rPr>
                <w:rFonts w:hint="eastAsia" w:eastAsia="宋体"/>
                <w:sz w:val="24"/>
                <w:szCs w:val="24"/>
                <w:lang w:val="en-US" w:eastAsia="zh-CN"/>
              </w:rPr>
            </w:pPr>
            <w:r>
              <w:rPr>
                <w:rFonts w:hint="eastAsia"/>
                <w:sz w:val="24"/>
                <w:szCs w:val="24"/>
                <w:lang w:val="en-US" w:eastAsia="zh-CN"/>
              </w:rPr>
              <w:t>0</w:t>
            </w:r>
          </w:p>
        </w:tc>
        <w:tc>
          <w:tcPr>
            <w:tcW w:w="2520" w:type="dxa"/>
            <w:noWrap w:val="0"/>
            <w:vAlign w:val="center"/>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0"/>
            <w:vAlign w:val="center"/>
          </w:tcPr>
          <w:p>
            <w:pPr>
              <w:jc w:val="cente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行政许可</w:t>
            </w:r>
          </w:p>
        </w:tc>
        <w:tc>
          <w:tcPr>
            <w:tcW w:w="6970"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行政处罚</w:t>
            </w:r>
          </w:p>
        </w:tc>
        <w:tc>
          <w:tcPr>
            <w:tcW w:w="6970"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行政强制</w:t>
            </w:r>
          </w:p>
        </w:tc>
        <w:tc>
          <w:tcPr>
            <w:tcW w:w="6970"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0"/>
            <w:vAlign w:val="center"/>
          </w:tcPr>
          <w:p>
            <w:pPr>
              <w:jc w:val="cente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30" w:type="dxa"/>
            <w:noWrap w:val="0"/>
            <w:vAlign w:val="center"/>
          </w:tcPr>
          <w:p>
            <w:pPr>
              <w:jc w:val="center"/>
              <w:rPr>
                <w:sz w:val="24"/>
                <w:szCs w:val="24"/>
              </w:rPr>
            </w:pPr>
            <w:r>
              <w:rPr>
                <w:sz w:val="24"/>
                <w:szCs w:val="24"/>
              </w:rPr>
              <w:t>行政事业性收费</w:t>
            </w:r>
          </w:p>
        </w:tc>
        <w:tc>
          <w:tcPr>
            <w:tcW w:w="6970"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0</w:t>
            </w:r>
          </w:p>
        </w:tc>
      </w:tr>
    </w:tbl>
    <w:p>
      <w:pPr>
        <w:ind w:firstLine="482" w:firstLineChars="200"/>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三、收到和处理政府信息公开申请情况</w:t>
      </w:r>
    </w:p>
    <w:tbl>
      <w:tblPr>
        <w:tblStyle w:val="2"/>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53"/>
        <w:gridCol w:w="2757"/>
        <w:gridCol w:w="552"/>
        <w:gridCol w:w="630"/>
        <w:gridCol w:w="630"/>
        <w:gridCol w:w="628"/>
        <w:gridCol w:w="839"/>
        <w:gridCol w:w="7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43" w:type="dxa"/>
            <w:gridSpan w:val="3"/>
            <w:vMerge w:val="restart"/>
            <w:tcBorders>
              <w:top w:val="single" w:color="auto" w:sz="4" w:space="0"/>
              <w:left w:val="single" w:color="auto" w:sz="4" w:space="0"/>
              <w:bottom w:val="nil"/>
              <w:right w:val="single" w:color="auto" w:sz="4" w:space="0"/>
            </w:tcBorders>
            <w:noWrap w:val="0"/>
            <w:vAlign w:val="center"/>
          </w:tcPr>
          <w:p>
            <w:pPr>
              <w:rPr>
                <w:rFonts w:hint="eastAsia" w:ascii="楷体_GB2312" w:eastAsia="楷体_GB2312"/>
              </w:rPr>
            </w:pPr>
            <w:r>
              <w:rPr>
                <w:rFonts w:hint="eastAsia" w:ascii="楷体_GB2312" w:eastAsia="楷体_GB2312"/>
              </w:rPr>
              <w:t>（本列数据的勾稽关系为：第一项加第二项之和，等于第三项加第四项之和）</w:t>
            </w:r>
          </w:p>
        </w:tc>
        <w:tc>
          <w:tcPr>
            <w:tcW w:w="4855" w:type="dxa"/>
            <w:gridSpan w:val="7"/>
            <w:tcBorders>
              <w:top w:val="single" w:color="auto" w:sz="4" w:space="0"/>
              <w:left w:val="single" w:color="auto" w:sz="4" w:space="0"/>
              <w:bottom w:val="single" w:color="auto" w:sz="4" w:space="0"/>
              <w:right w:val="single" w:color="auto" w:sz="4" w:space="0"/>
            </w:tcBorders>
            <w:noWrap w:val="0"/>
            <w:vAlign w:val="top"/>
          </w:tcPr>
          <w:p>
            <w:pPr>
              <w:ind w:firstLine="2118" w:firstLineChars="1177"/>
              <w:rPr>
                <w:sz w:val="18"/>
                <w:szCs w:val="18"/>
              </w:rPr>
            </w:pPr>
            <w:r>
              <w:rPr>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43" w:type="dxa"/>
            <w:gridSpan w:val="3"/>
            <w:vMerge w:val="continue"/>
            <w:tcBorders>
              <w:left w:val="single" w:color="auto" w:sz="4" w:space="0"/>
              <w:bottom w:val="nil"/>
              <w:right w:val="single" w:color="auto" w:sz="4" w:space="0"/>
            </w:tcBorders>
            <w:noWrap w:val="0"/>
            <w:vAlign w:val="top"/>
          </w:tcP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自然人</w:t>
            </w:r>
          </w:p>
        </w:tc>
        <w:tc>
          <w:tcPr>
            <w:tcW w:w="3465" w:type="dxa"/>
            <w:gridSpan w:val="5"/>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法人或其他组织</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gridSpan w:val="3"/>
            <w:vMerge w:val="continue"/>
            <w:tcBorders>
              <w:left w:val="single" w:color="auto" w:sz="4" w:space="0"/>
              <w:bottom w:val="single" w:color="auto" w:sz="4" w:space="0"/>
              <w:right w:val="single" w:color="auto" w:sz="4" w:space="0"/>
            </w:tcBorders>
            <w:noWrap w:val="0"/>
            <w:vAlign w:val="top"/>
          </w:tc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商业企业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科研机构</w:t>
            </w:r>
          </w:p>
        </w:tc>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社会公益组织</w:t>
            </w: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法律服务机构</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其他</w:t>
            </w: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43"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bookmarkStart w:id="0" w:name="_GoBack" w:colFirst="3" w:colLast="9"/>
            <w:r>
              <w:rPr>
                <w:sz w:val="18"/>
                <w:szCs w:val="18"/>
              </w:rPr>
              <w:t>一、本年新收政府信息公开申请数量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43"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二、上年结转政府信息公开申请数量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三、本年度办理结果</w:t>
            </w: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（一）予以公开</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（二）部分公开</w:t>
            </w:r>
            <w:r>
              <w:rPr>
                <w:rFonts w:hint="eastAsia" w:ascii="仿宋_GB2312" w:eastAsia="仿宋_GB2312"/>
                <w:sz w:val="18"/>
                <w:szCs w:val="18"/>
              </w:rPr>
              <w:t>（区分处理的，只计这一情况，不计其他情形）</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（三）不予公开</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1.属于国家秘密</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2.其他法律行政法规禁止公开</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3.危及</w:t>
            </w:r>
            <w:r>
              <w:rPr>
                <w:rFonts w:hint="eastAsia"/>
                <w:sz w:val="18"/>
                <w:szCs w:val="18"/>
              </w:rPr>
              <w:t>“</w:t>
            </w:r>
            <w:r>
              <w:rPr>
                <w:sz w:val="18"/>
                <w:szCs w:val="18"/>
              </w:rPr>
              <w:t>三安全一稳定</w:t>
            </w:r>
            <w:r>
              <w:rPr>
                <w:rFonts w:hint="eastAsia"/>
                <w:sz w:val="18"/>
                <w:szCs w:val="18"/>
              </w:rPr>
              <w:t>”</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4.保护第三方合法权益</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5.属于三类内容事务信息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6.属于四类过程性信息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7.属于行政执法案卷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8.属于行政查询事项</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（四）无法提供</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1.本机关不掌握相关政府信息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nil"/>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2.没有现成信息需要另行制作</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3.补正后申请内容仍不明确</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（五）不予处理</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1.信访举报投诉类申请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3.要求提供公开出版物</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4.无正当理由大量反复申请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kern w:val="2"/>
                <w:sz w:val="21"/>
                <w:lang w:val="en-US" w:eastAsia="zh-CN" w:bidi="ar-SA"/>
              </w:rPr>
            </w:pPr>
            <w:r>
              <w:rPr>
                <w:rFonts w:hint="eastAsia"/>
                <w:lang w:val="en-US" w:eastAsia="zh-CN"/>
              </w:rPr>
              <w:t>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5.要求行政机关确认或重新出具已获取信息</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（六）其他处理</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1.申请人无正当理由逾期不补正、行政机关不再处理其政府信息公开申请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nil"/>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2.申请人逾期未按收费通知要求缴纳费用、行政机关不再处理其政府信息公开申请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3.其他</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（七）总计</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43"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四、结转下年度继续办理</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kern w:val="2"/>
                <w:sz w:val="21"/>
                <w:lang w:val="en-US" w:eastAsia="zh-CN" w:bidi="ar-SA"/>
              </w:rPr>
            </w:pPr>
            <w:r>
              <w:rPr>
                <w:rFonts w:hint="eastAsia"/>
                <w:lang w:val="en-US" w:eastAsia="zh-CN"/>
              </w:rPr>
              <w:t>0</w:t>
            </w:r>
          </w:p>
        </w:tc>
      </w:tr>
    </w:tbl>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四、政府信息公开行政复议、行政诉讼情况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2"/>
        <w:gridCol w:w="595"/>
        <w:gridCol w:w="595"/>
        <w:gridCol w:w="595"/>
        <w:gridCol w:w="595"/>
        <w:gridCol w:w="462"/>
        <w:gridCol w:w="595"/>
        <w:gridCol w:w="595"/>
        <w:gridCol w:w="595"/>
        <w:gridCol w:w="595"/>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Borders>
              <w:right w:val="single" w:color="auto" w:sz="4" w:space="0"/>
            </w:tcBorders>
            <w:noWrap w:val="0"/>
            <w:vAlign w:val="top"/>
          </w:tcPr>
          <w:p>
            <w:pPr>
              <w:jc w:val="center"/>
              <w:rPr>
                <w:sz w:val="18"/>
                <w:szCs w:val="18"/>
              </w:rPr>
            </w:pPr>
            <w:r>
              <w:rPr>
                <w:sz w:val="18"/>
                <w:szCs w:val="18"/>
              </w:rPr>
              <w:t>行政复议</w:t>
            </w:r>
          </w:p>
        </w:tc>
        <w:tc>
          <w:tcPr>
            <w:tcW w:w="0" w:type="auto"/>
            <w:gridSpan w:val="10"/>
            <w:tcBorders>
              <w:left w:val="single" w:color="auto" w:sz="4" w:space="0"/>
            </w:tcBorders>
            <w:noWrap w:val="0"/>
            <w:vAlign w:val="top"/>
          </w:tcPr>
          <w:p>
            <w:pPr>
              <w:jc w:val="center"/>
              <w:rPr>
                <w:sz w:val="18"/>
                <w:szCs w:val="18"/>
              </w:rPr>
            </w:pPr>
            <w:r>
              <w:rPr>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bottom w:val="nil"/>
            </w:tcBorders>
            <w:noWrap w:val="0"/>
            <w:vAlign w:val="center"/>
          </w:tcPr>
          <w:p>
            <w:pPr>
              <w:jc w:val="center"/>
              <w:rPr>
                <w:sz w:val="18"/>
                <w:szCs w:val="18"/>
              </w:rPr>
            </w:pPr>
            <w:r>
              <w:rPr>
                <w:sz w:val="18"/>
                <w:szCs w:val="18"/>
              </w:rPr>
              <w:t>结果维持</w:t>
            </w:r>
          </w:p>
        </w:tc>
        <w:tc>
          <w:tcPr>
            <w:tcW w:w="0" w:type="auto"/>
            <w:vMerge w:val="restart"/>
            <w:tcBorders>
              <w:bottom w:val="nil"/>
            </w:tcBorders>
            <w:noWrap w:val="0"/>
            <w:vAlign w:val="center"/>
          </w:tcPr>
          <w:p>
            <w:pPr>
              <w:jc w:val="center"/>
              <w:rPr>
                <w:sz w:val="18"/>
                <w:szCs w:val="18"/>
              </w:rPr>
            </w:pPr>
            <w:r>
              <w:rPr>
                <w:sz w:val="18"/>
                <w:szCs w:val="18"/>
              </w:rPr>
              <w:t>结果纠正</w:t>
            </w:r>
          </w:p>
        </w:tc>
        <w:tc>
          <w:tcPr>
            <w:tcW w:w="0" w:type="auto"/>
            <w:vMerge w:val="restart"/>
            <w:tcBorders>
              <w:bottom w:val="nil"/>
            </w:tcBorders>
            <w:noWrap w:val="0"/>
            <w:vAlign w:val="center"/>
          </w:tcPr>
          <w:p>
            <w:pPr>
              <w:jc w:val="center"/>
              <w:rPr>
                <w:sz w:val="18"/>
                <w:szCs w:val="18"/>
              </w:rPr>
            </w:pPr>
            <w:r>
              <w:rPr>
                <w:sz w:val="18"/>
                <w:szCs w:val="18"/>
              </w:rPr>
              <w:t>其他结果</w:t>
            </w:r>
          </w:p>
        </w:tc>
        <w:tc>
          <w:tcPr>
            <w:tcW w:w="0" w:type="auto"/>
            <w:vMerge w:val="restart"/>
            <w:tcBorders>
              <w:bottom w:val="nil"/>
            </w:tcBorders>
            <w:noWrap w:val="0"/>
            <w:vAlign w:val="center"/>
          </w:tcPr>
          <w:p>
            <w:pPr>
              <w:jc w:val="center"/>
              <w:rPr>
                <w:sz w:val="18"/>
                <w:szCs w:val="18"/>
              </w:rPr>
            </w:pPr>
            <w:r>
              <w:rPr>
                <w:sz w:val="18"/>
                <w:szCs w:val="18"/>
              </w:rPr>
              <w:t>尚未审结</w:t>
            </w:r>
          </w:p>
        </w:tc>
        <w:tc>
          <w:tcPr>
            <w:tcW w:w="0" w:type="auto"/>
            <w:vMerge w:val="restart"/>
            <w:tcBorders>
              <w:bottom w:val="nil"/>
              <w:right w:val="single" w:color="auto" w:sz="4" w:space="0"/>
            </w:tcBorders>
            <w:noWrap w:val="0"/>
            <w:vAlign w:val="center"/>
          </w:tcPr>
          <w:p>
            <w:pPr>
              <w:jc w:val="center"/>
              <w:rPr>
                <w:sz w:val="18"/>
                <w:szCs w:val="18"/>
              </w:rPr>
            </w:pPr>
            <w:r>
              <w:rPr>
                <w:sz w:val="18"/>
                <w:szCs w:val="18"/>
              </w:rPr>
              <w:t>总计</w:t>
            </w:r>
          </w:p>
        </w:tc>
        <w:tc>
          <w:tcPr>
            <w:tcW w:w="0" w:type="auto"/>
            <w:gridSpan w:val="5"/>
            <w:tcBorders>
              <w:left w:val="single" w:color="auto" w:sz="4" w:space="0"/>
            </w:tcBorders>
            <w:noWrap w:val="0"/>
            <w:vAlign w:val="top"/>
          </w:tcPr>
          <w:p>
            <w:pPr>
              <w:jc w:val="center"/>
              <w:rPr>
                <w:sz w:val="18"/>
                <w:szCs w:val="18"/>
              </w:rPr>
            </w:pPr>
            <w:r>
              <w:rPr>
                <w:sz w:val="18"/>
                <w:szCs w:val="18"/>
              </w:rPr>
              <w:t>未经复议直接起诉</w:t>
            </w:r>
          </w:p>
        </w:tc>
        <w:tc>
          <w:tcPr>
            <w:tcW w:w="0" w:type="auto"/>
            <w:gridSpan w:val="5"/>
            <w:noWrap w:val="0"/>
            <w:vAlign w:val="top"/>
          </w:tcPr>
          <w:p>
            <w:pPr>
              <w:jc w:val="center"/>
              <w:rPr>
                <w:sz w:val="18"/>
                <w:szCs w:val="18"/>
              </w:rPr>
            </w:pPr>
            <w:r>
              <w:rPr>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tcBorders>
              <w:right w:val="single" w:color="auto" w:sz="4" w:space="0"/>
            </w:tcBorders>
            <w:noWrap w:val="0"/>
            <w:vAlign w:val="top"/>
          </w:tcPr>
          <w:p/>
        </w:tc>
        <w:tc>
          <w:tcPr>
            <w:tcW w:w="0" w:type="auto"/>
            <w:noWrap w:val="0"/>
            <w:vAlign w:val="top"/>
          </w:tcPr>
          <w:p>
            <w:pPr>
              <w:rPr>
                <w:sz w:val="18"/>
                <w:szCs w:val="18"/>
              </w:rPr>
            </w:pPr>
            <w:r>
              <w:rPr>
                <w:sz w:val="18"/>
                <w:szCs w:val="18"/>
              </w:rPr>
              <w:t>结果维持</w:t>
            </w:r>
          </w:p>
        </w:tc>
        <w:tc>
          <w:tcPr>
            <w:tcW w:w="0" w:type="auto"/>
            <w:noWrap w:val="0"/>
            <w:vAlign w:val="top"/>
          </w:tcPr>
          <w:p>
            <w:pPr>
              <w:rPr>
                <w:sz w:val="18"/>
                <w:szCs w:val="18"/>
              </w:rPr>
            </w:pPr>
            <w:r>
              <w:rPr>
                <w:sz w:val="18"/>
                <w:szCs w:val="18"/>
              </w:rPr>
              <w:t>结果纠正</w:t>
            </w:r>
          </w:p>
        </w:tc>
        <w:tc>
          <w:tcPr>
            <w:tcW w:w="0" w:type="auto"/>
            <w:noWrap w:val="0"/>
            <w:vAlign w:val="top"/>
          </w:tcPr>
          <w:p>
            <w:pPr>
              <w:rPr>
                <w:sz w:val="18"/>
                <w:szCs w:val="18"/>
              </w:rPr>
            </w:pPr>
            <w:r>
              <w:rPr>
                <w:sz w:val="18"/>
                <w:szCs w:val="18"/>
              </w:rPr>
              <w:t>其他结果</w:t>
            </w:r>
          </w:p>
        </w:tc>
        <w:tc>
          <w:tcPr>
            <w:tcW w:w="0" w:type="auto"/>
            <w:noWrap w:val="0"/>
            <w:vAlign w:val="top"/>
          </w:tcPr>
          <w:p>
            <w:pPr>
              <w:rPr>
                <w:sz w:val="18"/>
                <w:szCs w:val="18"/>
              </w:rPr>
            </w:pPr>
            <w:r>
              <w:rPr>
                <w:sz w:val="18"/>
                <w:szCs w:val="18"/>
              </w:rPr>
              <w:t>尚未审结</w:t>
            </w:r>
          </w:p>
        </w:tc>
        <w:tc>
          <w:tcPr>
            <w:tcW w:w="0" w:type="auto"/>
            <w:noWrap w:val="0"/>
            <w:vAlign w:val="top"/>
          </w:tcPr>
          <w:p>
            <w:pPr>
              <w:rPr>
                <w:sz w:val="18"/>
                <w:szCs w:val="18"/>
              </w:rPr>
            </w:pPr>
            <w:r>
              <w:rPr>
                <w:sz w:val="18"/>
                <w:szCs w:val="18"/>
              </w:rPr>
              <w:t>总计</w:t>
            </w:r>
          </w:p>
        </w:tc>
        <w:tc>
          <w:tcPr>
            <w:tcW w:w="0" w:type="auto"/>
            <w:noWrap w:val="0"/>
            <w:vAlign w:val="top"/>
          </w:tcPr>
          <w:p>
            <w:pPr>
              <w:rPr>
                <w:sz w:val="18"/>
                <w:szCs w:val="18"/>
              </w:rPr>
            </w:pPr>
            <w:r>
              <w:rPr>
                <w:sz w:val="18"/>
                <w:szCs w:val="18"/>
              </w:rPr>
              <w:t>结果维持</w:t>
            </w:r>
          </w:p>
        </w:tc>
        <w:tc>
          <w:tcPr>
            <w:tcW w:w="0" w:type="auto"/>
            <w:noWrap w:val="0"/>
            <w:vAlign w:val="top"/>
          </w:tcPr>
          <w:p>
            <w:pPr>
              <w:rPr>
                <w:sz w:val="18"/>
                <w:szCs w:val="18"/>
              </w:rPr>
            </w:pPr>
            <w:r>
              <w:rPr>
                <w:sz w:val="18"/>
                <w:szCs w:val="18"/>
              </w:rPr>
              <w:t>结果纠正</w:t>
            </w:r>
          </w:p>
        </w:tc>
        <w:tc>
          <w:tcPr>
            <w:tcW w:w="0" w:type="auto"/>
            <w:noWrap w:val="0"/>
            <w:vAlign w:val="top"/>
          </w:tcPr>
          <w:p>
            <w:pPr>
              <w:rPr>
                <w:sz w:val="18"/>
                <w:szCs w:val="18"/>
              </w:rPr>
            </w:pPr>
            <w:r>
              <w:rPr>
                <w:sz w:val="18"/>
                <w:szCs w:val="18"/>
              </w:rPr>
              <w:t>其他结果</w:t>
            </w:r>
          </w:p>
        </w:tc>
        <w:tc>
          <w:tcPr>
            <w:tcW w:w="0" w:type="auto"/>
            <w:noWrap w:val="0"/>
            <w:vAlign w:val="top"/>
          </w:tcPr>
          <w:p>
            <w:pPr>
              <w:rPr>
                <w:sz w:val="18"/>
                <w:szCs w:val="18"/>
              </w:rPr>
            </w:pPr>
            <w:r>
              <w:rPr>
                <w:sz w:val="18"/>
                <w:szCs w:val="18"/>
              </w:rPr>
              <w:t>尚未审结</w:t>
            </w:r>
          </w:p>
        </w:tc>
        <w:tc>
          <w:tcPr>
            <w:tcW w:w="0" w:type="auto"/>
            <w:noWrap w:val="0"/>
            <w:vAlign w:val="top"/>
          </w:tcPr>
          <w:p>
            <w:pPr>
              <w:rPr>
                <w:sz w:val="18"/>
                <w:szCs w:val="18"/>
              </w:rPr>
            </w:pPr>
            <w:r>
              <w:rPr>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default"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c>
          <w:tcPr>
            <w:tcW w:w="0" w:type="auto"/>
            <w:noWrap w:val="0"/>
            <w:vAlign w:val="top"/>
          </w:tcPr>
          <w:p>
            <w:pPr>
              <w:rPr>
                <w:rFonts w:hint="eastAsia" w:eastAsia="宋体"/>
                <w:sz w:val="18"/>
                <w:szCs w:val="18"/>
                <w:lang w:val="en-US" w:eastAsia="zh-CN"/>
              </w:rPr>
            </w:pPr>
            <w:r>
              <w:rPr>
                <w:rFonts w:hint="eastAsia"/>
                <w:sz w:val="18"/>
                <w:szCs w:val="18"/>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五、</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2022年政府信息公开工作存在的主要问题和不足之处：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一是主动公开的政府信息与公众的需求还存在一定的差距。二是对依申请公开政府信息工作的宣传、解读还不够到位。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针对以上问题，2023年我局将从以下几个方面改进。一是畅通信息公开渠道，积极创新主动公开形式，采用传统媒体与新媒体相结合，进一步提高政策知晓度、工作的透明度、公众的理解度，最大限度地满足公众需求。二是加强依申请公开工作宣传力度。充分利用信息化手段，不断扩大政府信息公开范围，增强各类政府信息公开网站平台信息内容的时效性，切实做好平台维护和信息更新发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WI5YTI4MTk1OWRkYzdhYTZhZWExNTUyMzU1NWQifQ=="/>
  </w:docVars>
  <w:rsids>
    <w:rsidRoot w:val="596134E3"/>
    <w:rsid w:val="10E072B6"/>
    <w:rsid w:val="34CC52D7"/>
    <w:rsid w:val="596134E3"/>
    <w:rsid w:val="7F1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1635</Words>
  <Characters>1693</Characters>
  <Lines>0</Lines>
  <Paragraphs>0</Paragraphs>
  <TotalTime>4</TotalTime>
  <ScaleCrop>false</ScaleCrop>
  <LinksUpToDate>false</LinksUpToDate>
  <CharactersWithSpaces>1704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2023-01-03T06:14:00Z</dcterms:created>
  <dc:creator>haiqi</dc:creator>
  <cp:lastModifiedBy>haiqi</cp:lastModifiedBy>
  <dcterms:modified xsi:type="dcterms:W3CDTF">2023-01-03T06:52:48Z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FDA132FC00AF4989B47AA7942501AB53</vt:lpwstr>
  </property>
</Properties>
</file>