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宋体" w:hAnsi="宋体" w:cs="宋体"/>
          <w:b/>
          <w:bCs w:val="0"/>
          <w:i w:val="0"/>
          <w:caps w:val="0"/>
          <w:color w:val="333333"/>
          <w:spacing w:val="0"/>
          <w:sz w:val="36"/>
          <w:szCs w:val="36"/>
          <w:shd w:val="clear" w:color="080000" w:fill="FFFFFF"/>
          <w:lang w:val="en-US" w:eastAsia="zh-CN"/>
        </w:rPr>
      </w:pPr>
      <w:r>
        <w:rPr>
          <w:rFonts w:hint="eastAsia" w:ascii="宋体" w:hAnsi="宋体" w:cs="宋体"/>
          <w:b/>
          <w:bCs w:val="0"/>
          <w:i w:val="0"/>
          <w:caps w:val="0"/>
          <w:color w:val="333333"/>
          <w:spacing w:val="0"/>
          <w:sz w:val="36"/>
          <w:szCs w:val="36"/>
          <w:shd w:val="clear" w:color="080000" w:fill="FFFFFF"/>
          <w:lang w:val="en-US" w:eastAsia="zh-CN"/>
        </w:rPr>
        <w:t>宽城区审计局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36"/>
          <w:szCs w:val="36"/>
          <w:shd w:val="clear" w:color="080000" w:fill="FFFFFF"/>
          <w:lang w:val="en-US" w:eastAsia="zh-CN"/>
        </w:rPr>
        <w:t>20</w:t>
      </w:r>
      <w:r>
        <w:rPr>
          <w:rFonts w:hint="eastAsia" w:ascii="宋体" w:hAnsi="宋体" w:cs="宋体"/>
          <w:b/>
          <w:bCs w:val="0"/>
          <w:i w:val="0"/>
          <w:caps w:val="0"/>
          <w:color w:val="333333"/>
          <w:spacing w:val="0"/>
          <w:sz w:val="36"/>
          <w:szCs w:val="36"/>
          <w:shd w:val="clear" w:color="080000" w:fill="FFFFFF"/>
          <w:lang w:val="en-US" w:eastAsia="zh-CN"/>
        </w:rPr>
        <w:t>17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36"/>
          <w:szCs w:val="36"/>
          <w:shd w:val="clear" w:color="080000" w:fill="FFFFFF"/>
          <w:lang w:val="en-US" w:eastAsia="zh-CN"/>
        </w:rPr>
        <w:t>年</w:t>
      </w:r>
      <w:r>
        <w:rPr>
          <w:rFonts w:hint="eastAsia" w:ascii="宋体" w:hAnsi="宋体" w:cs="宋体"/>
          <w:b/>
          <w:bCs w:val="0"/>
          <w:i w:val="0"/>
          <w:caps w:val="0"/>
          <w:color w:val="333333"/>
          <w:spacing w:val="0"/>
          <w:sz w:val="36"/>
          <w:szCs w:val="36"/>
          <w:shd w:val="clear" w:color="080000" w:fill="FFFFFF"/>
          <w:lang w:val="en-US" w:eastAsia="zh-CN"/>
        </w:rPr>
        <w:t>度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36"/>
          <w:szCs w:val="36"/>
          <w:shd w:val="clear" w:color="080000" w:fill="FFFFFF"/>
        </w:rPr>
        <w:t>政府信息公开工作年度报告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24"/>
          <w:szCs w:val="24"/>
          <w:shd w:val="clear" w:color="090000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本报告是由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宽城区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审计局依据《中华人民共和国政府信息公开条例》（以下简称《信息公开条例》）和《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20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年政府信息公开年度报告编制和发布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上报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工作的通知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》内容，并结合全局年初工作计划编制而成。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24"/>
          <w:szCs w:val="24"/>
          <w:shd w:val="clear" w:color="090000" w:fill="FFFFFF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一、总体情况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2B2B2B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20</w:t>
      </w:r>
      <w:r>
        <w:rPr>
          <w:rFonts w:hint="eastAsia" w:ascii="宋体" w:hAnsi="宋体" w:cs="宋体"/>
          <w:color w:val="2B2B2B"/>
          <w:kern w:val="0"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年，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eastAsia="zh-CN"/>
        </w:rPr>
        <w:t>宽城区审计局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高度重视政府信息公开工作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eastAsia="zh-CN"/>
        </w:rPr>
        <w:t>，按照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信息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eastAsia="zh-CN"/>
        </w:rPr>
        <w:t>公开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工作要求，对相关各项工作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eastAsia="zh-CN"/>
        </w:rPr>
        <w:t>做出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细致部署。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2B2B2B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1.主动公开的情况。按照“以公开为原则，不公开为例外”的要求，着力提升政府信息公开工作质量。按时公开上一年度政府信息公开工作年度报告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eastAsia="zh-CN"/>
        </w:rPr>
        <w:t>及其他应予以公开事项。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2B2B2B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2.依申请公开的情况。做好政府信息依申请公开工作，规范办理流程，按照国家、省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eastAsia="zh-CN"/>
        </w:rPr>
        <w:t>、市、区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要求，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eastAsia="zh-CN"/>
        </w:rPr>
        <w:t>在网上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进行接收、登记、办理、审核、答复、归档等环节，全年受理政府信息依申请公开数量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件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eastAsia="zh-CN"/>
        </w:rPr>
        <w:t>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2B2B2B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3.监督保障的情况。将政府信息公开工作完成情况纳入局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eastAsia="zh-CN"/>
        </w:rPr>
        <w:t>科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室工作实绩考核，以考核督促相关工作按时办结。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2B2B2B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val="en-US" w:eastAsia="zh-CN"/>
        </w:rPr>
        <w:t>4.学习贯彻落实《信息公开条例》情况。依托政府网站、微信工作群等载体，对《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信息公开条例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val="en-US" w:eastAsia="zh-CN"/>
        </w:rPr>
        <w:t>》进行宣传和解读。适时组织开展《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信息公开条例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val="en-US" w:eastAsia="zh-CN"/>
        </w:rPr>
        <w:t>》的学习培训。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2B2B2B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20</w:t>
      </w:r>
      <w:r>
        <w:rPr>
          <w:rFonts w:hint="eastAsia" w:ascii="宋体" w:hAnsi="宋体" w:cs="宋体"/>
          <w:color w:val="2B2B2B"/>
          <w:kern w:val="0"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年全年，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eastAsia="zh-CN"/>
        </w:rPr>
        <w:t>区审计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局未收到人大代表建议以及政协提案相关需办理事项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eastAsia="zh-CN"/>
        </w:rPr>
        <w:t>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2B2B2B"/>
          <w:kern w:val="0"/>
          <w:sz w:val="24"/>
          <w:szCs w:val="24"/>
          <w:lang w:eastAsia="zh-CN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2B2B2B"/>
          <w:kern w:val="0"/>
          <w:sz w:val="24"/>
          <w:szCs w:val="24"/>
          <w:lang w:eastAsia="zh-CN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2B2B2B"/>
          <w:kern w:val="0"/>
          <w:sz w:val="24"/>
          <w:szCs w:val="24"/>
          <w:lang w:eastAsia="zh-CN"/>
        </w:rPr>
      </w:pPr>
    </w:p>
    <w:p>
      <w:pPr>
        <w:widowControl/>
        <w:numPr>
          <w:ilvl w:val="0"/>
          <w:numId w:val="1"/>
        </w:numPr>
        <w:shd w:val="clear" w:color="auto" w:fill="FFFFFF"/>
        <w:wordWrap/>
        <w:adjustRightInd/>
        <w:snapToGrid/>
        <w:spacing w:before="0" w:after="0" w:line="600" w:lineRule="exact"/>
        <w:ind w:left="0" w:leftChars="0" w:right="0" w:firstLine="48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主动公开政府信息情况</w:t>
      </w:r>
    </w:p>
    <w:tbl>
      <w:tblPr>
        <w:tblStyle w:val="3"/>
        <w:tblW w:w="8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 w:firstLine="24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年本行政区域（或本部门）政府信息公开发布总数量（非新闻类、消息类）：0</w:t>
            </w:r>
          </w:p>
        </w:tc>
      </w:tr>
    </w:tbl>
    <w:p>
      <w:pPr>
        <w:widowControl/>
        <w:shd w:val="clear" w:color="auto" w:fill="FFFFFF"/>
        <w:wordWrap/>
        <w:adjustRightInd/>
        <w:snapToGrid/>
        <w:spacing w:before="0" w:after="0" w:line="600" w:lineRule="exact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 xml:space="preserve">  </w:t>
      </w:r>
    </w:p>
    <w:p>
      <w:pPr>
        <w:widowControl/>
        <w:shd w:val="clear" w:color="auto" w:fill="FFFFFF"/>
        <w:wordWrap/>
        <w:adjustRightInd/>
        <w:snapToGrid/>
        <w:spacing w:before="0" w:after="0" w:line="600" w:lineRule="exact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三、收到和处理政府信息公开申请情况</w:t>
      </w:r>
    </w:p>
    <w:tbl>
      <w:tblPr>
        <w:tblStyle w:val="3"/>
        <w:tblW w:w="845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826"/>
        <w:gridCol w:w="1920"/>
        <w:gridCol w:w="745"/>
        <w:gridCol w:w="693"/>
        <w:gridCol w:w="693"/>
        <w:gridCol w:w="745"/>
        <w:gridCol w:w="893"/>
        <w:gridCol w:w="673"/>
        <w:gridCol w:w="64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36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09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36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自然人</w:t>
            </w:r>
          </w:p>
        </w:tc>
        <w:tc>
          <w:tcPr>
            <w:tcW w:w="369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法人或其他组织</w:t>
            </w:r>
          </w:p>
        </w:tc>
        <w:tc>
          <w:tcPr>
            <w:tcW w:w="6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336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商业企业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科研机构</w:t>
            </w:r>
          </w:p>
        </w:tc>
        <w:tc>
          <w:tcPr>
            <w:tcW w:w="7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社会公益组织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法律服务机构</w:t>
            </w:r>
          </w:p>
        </w:tc>
        <w:tc>
          <w:tcPr>
            <w:tcW w:w="6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6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36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一、本年新收政府信息公开申请数量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36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二、上年结转政府信息公开申请数量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6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三、本年度办理结果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（一）予以公开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（三）不予公开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1.属于国家秘密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2.其他法律行政法规禁止公开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3.危及“三安全一稳定”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4.保护第三方合法权益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5.属于三类内部事务信息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6.属于四类过程性信息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7.属于行政执法案卷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8.属于行政查询事项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（四）无法提供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1.本机关不掌握相关政府信息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2.没有现成信息需要另行制作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3.补正后申请内容仍不明确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（五）不予处理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1.信访举报投诉类申请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2.重复申请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3.要求提供公开出版物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4.无正当理由大量反复申请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5.要求行政机关确认或重新出具已获取信息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（六）其他处理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（七）总计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336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四、结转下年度继续办理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wordWrap/>
        <w:adjustRightInd/>
        <w:snapToGrid/>
        <w:spacing w:before="0" w:after="0" w:line="600" w:lineRule="exact"/>
        <w:ind w:right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四、政府信息公开行政复议、行政诉讼情况</w:t>
      </w:r>
    </w:p>
    <w:tbl>
      <w:tblPr>
        <w:tblStyle w:val="3"/>
        <w:tblW w:w="857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570"/>
        <w:gridCol w:w="570"/>
        <w:gridCol w:w="571"/>
        <w:gridCol w:w="621"/>
        <w:gridCol w:w="523"/>
        <w:gridCol w:w="572"/>
        <w:gridCol w:w="572"/>
        <w:gridCol w:w="572"/>
        <w:gridCol w:w="573"/>
        <w:gridCol w:w="572"/>
        <w:gridCol w:w="572"/>
        <w:gridCol w:w="572"/>
        <w:gridCol w:w="573"/>
        <w:gridCol w:w="5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9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行政复议</w:t>
            </w:r>
          </w:p>
        </w:tc>
        <w:tc>
          <w:tcPr>
            <w:tcW w:w="567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结果维持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结果纠正</w:t>
            </w:r>
          </w:p>
        </w:tc>
        <w:tc>
          <w:tcPr>
            <w:tcW w:w="57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其他结果</w:t>
            </w:r>
          </w:p>
        </w:tc>
        <w:tc>
          <w:tcPr>
            <w:tcW w:w="57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尚未审结</w:t>
            </w:r>
          </w:p>
        </w:tc>
        <w:tc>
          <w:tcPr>
            <w:tcW w:w="62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281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未经复议直接起诉</w:t>
            </w:r>
          </w:p>
        </w:tc>
        <w:tc>
          <w:tcPr>
            <w:tcW w:w="28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结果维持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结果纠正</w:t>
            </w:r>
          </w:p>
        </w:tc>
        <w:tc>
          <w:tcPr>
            <w:tcW w:w="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其他结果</w:t>
            </w:r>
          </w:p>
        </w:tc>
        <w:tc>
          <w:tcPr>
            <w:tcW w:w="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尚未审结</w:t>
            </w:r>
          </w:p>
        </w:tc>
        <w:tc>
          <w:tcPr>
            <w:tcW w:w="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结果维持</w:t>
            </w:r>
          </w:p>
        </w:tc>
        <w:tc>
          <w:tcPr>
            <w:tcW w:w="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结果纠正</w:t>
            </w:r>
          </w:p>
        </w:tc>
        <w:tc>
          <w:tcPr>
            <w:tcW w:w="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其他结果</w:t>
            </w:r>
          </w:p>
        </w:tc>
        <w:tc>
          <w:tcPr>
            <w:tcW w:w="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尚未审结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tabs>
          <w:tab w:val="left" w:pos="478"/>
        </w:tabs>
        <w:wordWrap/>
        <w:adjustRightInd/>
        <w:snapToGrid/>
        <w:spacing w:before="0" w:after="0" w:line="600" w:lineRule="exact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五、存在的主要问题及改进情况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审计机关按照《中华人民共和国审计法》等法律法规开展审计，审计对象均为政府机关及市属国有企事业单位。</w:t>
      </w:r>
      <w:r>
        <w:rPr>
          <w:rFonts w:hint="eastAsia" w:ascii="宋体" w:hAnsi="宋体" w:cs="宋体"/>
          <w:color w:val="2B2B2B"/>
          <w:kern w:val="0"/>
          <w:sz w:val="24"/>
          <w:szCs w:val="24"/>
          <w:lang w:eastAsia="zh-CN"/>
        </w:rPr>
        <w:t>宽城区审计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局将结合审计职能，拓展</w:t>
      </w:r>
      <w:r>
        <w:rPr>
          <w:rFonts w:hint="eastAsia" w:ascii="宋体" w:hAnsi="宋体" w:cs="宋体"/>
          <w:color w:val="2B2B2B"/>
          <w:kern w:val="0"/>
          <w:sz w:val="24"/>
          <w:szCs w:val="24"/>
          <w:lang w:eastAsia="zh-CN"/>
        </w:rPr>
        <w:t>政府信息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公开渠道和方式方法，提高审计工作透明度。</w:t>
      </w:r>
    </w:p>
    <w:p>
      <w:pPr>
        <w:widowControl/>
        <w:shd w:val="clear" w:color="auto" w:fill="FFFFFF"/>
        <w:wordWrap/>
        <w:adjustRightInd/>
        <w:snapToGrid/>
        <w:spacing w:before="0" w:after="0" w:line="600" w:lineRule="exact"/>
        <w:ind w:left="0" w:leftChars="0" w:right="0" w:firstLine="48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六、其他需要报告的事项</w:t>
      </w:r>
    </w:p>
    <w:p>
      <w:pPr>
        <w:widowControl/>
        <w:shd w:val="clear" w:color="auto" w:fill="FFFFFF"/>
        <w:wordWrap/>
        <w:adjustRightInd/>
        <w:snapToGrid/>
        <w:spacing w:before="0" w:after="0" w:line="600" w:lineRule="exact"/>
        <w:ind w:left="0" w:leftChars="0" w:right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无。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5280" w:firstLineChars="2200"/>
        <w:jc w:val="both"/>
        <w:textAlignment w:val="auto"/>
        <w:outlineLvl w:val="9"/>
        <w:rPr>
          <w:rFonts w:hint="eastAsia" w:ascii="宋体" w:hAnsi="宋体" w:eastAsia="宋体" w:cs="宋体"/>
          <w:color w:val="2B2B2B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eastAsia="zh-CN"/>
        </w:rPr>
        <w:t>长春市宽城区审计局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5040" w:firstLineChars="2100"/>
        <w:jc w:val="both"/>
        <w:textAlignment w:val="auto"/>
        <w:outlineLvl w:val="9"/>
        <w:rPr>
          <w:rFonts w:hint="eastAsia" w:ascii="宋体" w:hAnsi="宋体" w:eastAsia="宋体" w:cs="宋体"/>
          <w:color w:val="2B2B2B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cs="宋体"/>
          <w:color w:val="2B2B2B"/>
          <w:kern w:val="0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color w:val="2B2B2B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2B2B2B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12417C"/>
    <w:multiLevelType w:val="singleLevel"/>
    <w:tmpl w:val="6012417C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587DCE"/>
    <w:rsid w:val="224D41DC"/>
    <w:rsid w:val="40024BE0"/>
    <w:rsid w:val="4D1163C4"/>
    <w:rsid w:val="5B1516BE"/>
    <w:rsid w:val="5B3167BA"/>
    <w:rsid w:val="5F2D11D2"/>
    <w:rsid w:val="666520AF"/>
    <w:rsid w:val="7D090B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2019-11-29T01:56:00Z</dcterms:created>
  <dc:creator>酌酒当哥:D档</dc:creator>
  <cp:lastModifiedBy>幸运的皮卡丘</cp:lastModifiedBy>
  <cp:lastPrinted>2021-01-28T04:47:00Z</cp:lastPrinted>
  <dcterms:modified xsi:type="dcterms:W3CDTF">2021-03-31T07:44:38Z</dcterms:modified>
  <dc:title>             长春市审计局2020年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D4D6E8588FDD4876923EDCBBF1A396E0</vt:lpwstr>
  </property>
</Properties>
</file>