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61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国标黑体" w:hAnsi="国标黑体" w:eastAsia="国标黑体" w:cs="国标黑体"/>
          <w:color w:val="auto"/>
          <w:sz w:val="32"/>
          <w:szCs w:val="32"/>
          <w:lang w:val="en-US" w:eastAsia="zh-CN"/>
        </w:rPr>
      </w:pPr>
      <w:r>
        <w:rPr>
          <w:rFonts w:hint="eastAsia" w:ascii="国标黑体" w:hAnsi="国标黑体" w:eastAsia="国标黑体" w:cs="国标黑体"/>
          <w:color w:val="auto"/>
          <w:sz w:val="32"/>
          <w:szCs w:val="32"/>
          <w:lang w:val="en-US" w:eastAsia="zh-CN"/>
        </w:rPr>
        <w:t>附件3</w:t>
      </w:r>
    </w:p>
    <w:p w14:paraId="06325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楷体" w:cs="Times New Roman"/>
          <w:color w:val="auto"/>
          <w:sz w:val="32"/>
          <w:szCs w:val="32"/>
          <w:lang w:val="en-US" w:eastAsia="zh-CN"/>
        </w:rPr>
      </w:pPr>
    </w:p>
    <w:p w14:paraId="6FB10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宋体" w:hAnsi="宋体" w:eastAsia="方正小标宋简体" w:cs="Times New Roman"/>
          <w:color w:val="auto"/>
          <w:sz w:val="44"/>
          <w:szCs w:val="44"/>
          <w:lang w:eastAsia="zh-CN"/>
        </w:rPr>
      </w:pPr>
      <w:r>
        <w:rPr>
          <w:rFonts w:hint="default" w:ascii="宋体" w:hAnsi="宋体" w:eastAsia="方正小标宋简体" w:cs="Times New Roman"/>
          <w:color w:val="auto"/>
          <w:sz w:val="44"/>
          <w:szCs w:val="44"/>
          <w:lang w:eastAsia="zh-CN"/>
        </w:rPr>
        <w:t>佐证材料清单</w:t>
      </w:r>
    </w:p>
    <w:p w14:paraId="4F254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eastAsia="zh-CN"/>
        </w:rPr>
      </w:pPr>
    </w:p>
    <w:p w14:paraId="7218A7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 w:firstLine="0" w:firstLineChars="0"/>
        <w:jc w:val="both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  <w:t>主导产业情况</w:t>
      </w:r>
    </w:p>
    <w:p w14:paraId="1E369D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1.提供集群内企业名单；</w:t>
      </w:r>
    </w:p>
    <w:p w14:paraId="6E83A5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2.提供集群内企业发展</w:t>
      </w:r>
      <w:bookmarkStart w:id="0" w:name="_GoBack"/>
      <w:bookmarkEnd w:id="0"/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情况汇总表（见表1）；</w:t>
      </w:r>
    </w:p>
    <w:p w14:paraId="47FD4F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3.近三年发生较大及以上安全、质量、环境污染等事故，重大及以上网络安全事件和数据安全事件的情况说明（如有）；</w:t>
      </w:r>
    </w:p>
    <w:p w14:paraId="6120D9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宋体" w:cs="Times New Roman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4.存在偷税漏税、违法违规、严重失信和其他重大问题行为的情况说明（如有）；</w:t>
      </w:r>
    </w:p>
    <w:p w14:paraId="659D88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5.提供集群内创新型中小企业、专精特新中小企业、国家级专精特新“小巨人”企业、国家级制造业单项冠军企业、国家级高新技术企业、上市中小企业、上市辅导期中小企业名单；</w:t>
      </w:r>
    </w:p>
    <w:p w14:paraId="2457B0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6.提供集群绘制的产业链图谱（如有）；</w:t>
      </w:r>
    </w:p>
    <w:p w14:paraId="164E42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7.提供集群已开展的产业链强链补链工作佐证材料（如有）；</w:t>
      </w:r>
    </w:p>
    <w:p w14:paraId="0CD14A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8.提供集群已开展的产业链资源协同协作工作佐证材料（如有）；</w:t>
      </w:r>
    </w:p>
    <w:p w14:paraId="17D26C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9.提供集群已开展的质量品牌建设工作佐证材料（如有）；</w:t>
      </w:r>
    </w:p>
    <w:p w14:paraId="2646BA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jc w:val="both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  <w:t>二、创新能力情况</w:t>
      </w:r>
    </w:p>
    <w:p w14:paraId="650EB1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10.提供集群中小企业近三年主持（起草单位排名前三位）或参与制修订标准清单（如有）；</w:t>
      </w:r>
    </w:p>
    <w:p w14:paraId="1D31A4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11.提供创新平台清单及佐证材料（如有）；</w:t>
      </w:r>
    </w:p>
    <w:p w14:paraId="4DCD6C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12.提供集群内中小企业有效发明专利清单及佐证材料（包括发明专利、国防专利、植物新品种、国家级农作物品种、国家新药、国家一级中药保护品种、集成电路布图设计专有权等）（如有）；</w:t>
      </w:r>
    </w:p>
    <w:p w14:paraId="2FB0E0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jc w:val="both"/>
        <w:textAlignment w:val="auto"/>
        <w:rPr>
          <w:rFonts w:hint="default" w:ascii="宋体" w:hAnsi="宋体" w:eastAsia="方正黑体_GBK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b w:val="0"/>
          <w:bCs w:val="0"/>
          <w:color w:val="auto"/>
          <w:sz w:val="32"/>
          <w:szCs w:val="32"/>
          <w:lang w:val="en-US" w:eastAsia="zh-CN"/>
        </w:rPr>
        <w:t>三、数字化升级情况</w:t>
      </w:r>
    </w:p>
    <w:p w14:paraId="1F6247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13.提供集群已开展的数字化服务工作佐证材料（如有）；</w:t>
      </w:r>
    </w:p>
    <w:p w14:paraId="081FFD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14.提供集群已开展的数字化新模式新业态推广工作佐证材料（如有）；</w:t>
      </w:r>
    </w:p>
    <w:p w14:paraId="2F9F8B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  <w:t>四、绿色化转型情况</w:t>
      </w:r>
    </w:p>
    <w:p w14:paraId="0F15F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15.建立集群碳排放监测机制佐证材料（如有）；</w:t>
      </w:r>
    </w:p>
    <w:p w14:paraId="390316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16.单位产值二氧化碳排放量计算公式、单位产值能耗计算公式；</w:t>
      </w:r>
    </w:p>
    <w:p w14:paraId="08090B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.提供集群已开展的绿色低碳相关工作佐证材料（如有）；</w:t>
      </w:r>
    </w:p>
    <w:p w14:paraId="7BCF41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.提供集群绿色制造体系建设水平佐证材料（如有）；</w:t>
      </w:r>
    </w:p>
    <w:p w14:paraId="13DCBF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jc w:val="both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  <w:t>五、开放合作情况</w:t>
      </w:r>
    </w:p>
    <w:p w14:paraId="073397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.提供集群已开展的国际合作交流活动佐证材料（如有）；</w:t>
      </w:r>
    </w:p>
    <w:p w14:paraId="64C6BB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.提供集群或集群内企业在境外设立分支机构的清单及佐证材料（如有）；</w:t>
      </w:r>
    </w:p>
    <w:p w14:paraId="4F9FE6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jc w:val="both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  <w:t>六、治理和服务水平</w:t>
      </w:r>
    </w:p>
    <w:p w14:paraId="3A49B8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21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.提供集群内产业联盟组织清单（如有）；</w:t>
      </w:r>
    </w:p>
    <w:p w14:paraId="081B14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.提供集群已开展的发展环境治理工作佐证材料（如有）；</w:t>
      </w:r>
    </w:p>
    <w:p w14:paraId="253DD0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.提供集群中小企业公共服务平台清单及佐证材料（如有）；</w:t>
      </w:r>
    </w:p>
    <w:p w14:paraId="700DA4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.提供集群中小企业公共服务佐证材料（如有）；</w:t>
      </w:r>
    </w:p>
    <w:p w14:paraId="3DC11B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.其他相关材料。</w:t>
      </w:r>
    </w:p>
    <w:p w14:paraId="024055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黑体" w:cs="Times New Roman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531" w:bottom="1757" w:left="1531" w:header="851" w:footer="1417" w:gutter="0"/>
          <w:pgNumType w:fmt="decimal"/>
          <w:cols w:space="720" w:num="1"/>
          <w:rtlGutter w:val="0"/>
          <w:docGrid w:type="lines" w:linePitch="317" w:charSpace="0"/>
        </w:sectPr>
      </w:pPr>
    </w:p>
    <w:p w14:paraId="42BB59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黑体" w:cs="Times New Roman"/>
          <w:color w:val="auto"/>
          <w:sz w:val="32"/>
          <w:szCs w:val="32"/>
          <w:lang w:val="en-US" w:eastAsia="zh-CN"/>
        </w:rPr>
        <w:t>表1</w:t>
      </w:r>
    </w:p>
    <w:p w14:paraId="4D05AF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方正小标宋简体" w:cs="Times New Roman"/>
          <w:color w:val="auto"/>
          <w:sz w:val="44"/>
          <w:szCs w:val="44"/>
          <w:lang w:val="en-US" w:eastAsia="zh-CN"/>
        </w:rPr>
      </w:pPr>
    </w:p>
    <w:p w14:paraId="657E38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default" w:ascii="宋体" w:hAnsi="宋体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宋体" w:hAnsi="宋体" w:eastAsia="方正小标宋简体" w:cs="Times New Roman"/>
          <w:color w:val="auto"/>
          <w:sz w:val="44"/>
          <w:szCs w:val="44"/>
          <w:lang w:val="en-US" w:eastAsia="zh-CN"/>
        </w:rPr>
        <w:t>企业发展情况表</w:t>
      </w:r>
    </w:p>
    <w:p w14:paraId="6590AE4F">
      <w:pPr>
        <w:pStyle w:val="2"/>
        <w:rPr>
          <w:rFonts w:hint="default" w:ascii="宋体" w:hAnsi="宋体"/>
          <w:lang w:val="en-US" w:eastAsia="zh-CN"/>
        </w:rPr>
      </w:pPr>
    </w:p>
    <w:p w14:paraId="76102E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t xml:space="preserve">填表单位：县级行政区划中小企业主管部门（盖章）         </w:t>
      </w:r>
      <w:r>
        <w:rPr>
          <w:rFonts w:hint="eastAsia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t xml:space="preserve">    </w:t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t xml:space="preserve"> 填报人和手机：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27"/>
        <w:gridCol w:w="604"/>
        <w:gridCol w:w="795"/>
        <w:gridCol w:w="795"/>
        <w:gridCol w:w="798"/>
        <w:gridCol w:w="796"/>
        <w:gridCol w:w="796"/>
        <w:gridCol w:w="799"/>
        <w:gridCol w:w="796"/>
        <w:gridCol w:w="796"/>
        <w:gridCol w:w="799"/>
        <w:gridCol w:w="796"/>
        <w:gridCol w:w="796"/>
        <w:gridCol w:w="799"/>
        <w:gridCol w:w="1054"/>
        <w:gridCol w:w="949"/>
        <w:gridCol w:w="580"/>
      </w:tblGrid>
      <w:tr w14:paraId="131D2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92" w:type="pct"/>
            <w:vMerge w:val="restart"/>
            <w:noWrap w:val="0"/>
            <w:vAlign w:val="center"/>
          </w:tcPr>
          <w:p w14:paraId="55832C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1" w:type="pct"/>
            <w:vMerge w:val="restart"/>
            <w:noWrap w:val="0"/>
            <w:vAlign w:val="center"/>
          </w:tcPr>
          <w:p w14:paraId="016FA4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19" w:type="pct"/>
            <w:vMerge w:val="restart"/>
            <w:noWrap w:val="0"/>
            <w:vAlign w:val="center"/>
          </w:tcPr>
          <w:p w14:paraId="63FFB6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主营业务</w:t>
            </w:r>
          </w:p>
        </w:tc>
        <w:tc>
          <w:tcPr>
            <w:tcW w:w="865" w:type="pct"/>
            <w:gridSpan w:val="3"/>
            <w:noWrap w:val="0"/>
            <w:vAlign w:val="center"/>
          </w:tcPr>
          <w:p w14:paraId="108FA6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产值（亿元）</w:t>
            </w:r>
          </w:p>
        </w:tc>
        <w:tc>
          <w:tcPr>
            <w:tcW w:w="865" w:type="pct"/>
            <w:gridSpan w:val="3"/>
            <w:noWrap w:val="0"/>
            <w:vAlign w:val="center"/>
          </w:tcPr>
          <w:p w14:paraId="085898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研发投入（万元）</w:t>
            </w:r>
          </w:p>
        </w:tc>
        <w:tc>
          <w:tcPr>
            <w:tcW w:w="865" w:type="pct"/>
            <w:gridSpan w:val="3"/>
            <w:noWrap w:val="0"/>
            <w:vAlign w:val="center"/>
          </w:tcPr>
          <w:p w14:paraId="532736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工业软件采购额</w:t>
            </w:r>
          </w:p>
          <w:p w14:paraId="0EF2D1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865" w:type="pct"/>
            <w:gridSpan w:val="3"/>
            <w:noWrap w:val="0"/>
            <w:vAlign w:val="center"/>
          </w:tcPr>
          <w:p w14:paraId="38B35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出口贸易额（万元）</w:t>
            </w:r>
          </w:p>
        </w:tc>
        <w:tc>
          <w:tcPr>
            <w:tcW w:w="381" w:type="pct"/>
            <w:vMerge w:val="restart"/>
            <w:noWrap w:val="0"/>
            <w:vAlign w:val="center"/>
          </w:tcPr>
          <w:p w14:paraId="596A55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2024年从业人员数</w:t>
            </w:r>
          </w:p>
        </w:tc>
        <w:tc>
          <w:tcPr>
            <w:tcW w:w="343" w:type="pct"/>
            <w:vMerge w:val="restart"/>
            <w:noWrap w:val="0"/>
            <w:vAlign w:val="center"/>
          </w:tcPr>
          <w:p w14:paraId="0D4036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2024年研发人员数</w:t>
            </w:r>
          </w:p>
        </w:tc>
        <w:tc>
          <w:tcPr>
            <w:tcW w:w="210" w:type="pct"/>
            <w:vMerge w:val="restart"/>
            <w:noWrap w:val="0"/>
            <w:vAlign w:val="center"/>
          </w:tcPr>
          <w:p w14:paraId="1A9BF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53F1F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192" w:type="pct"/>
            <w:vMerge w:val="continue"/>
            <w:noWrap w:val="0"/>
            <w:vAlign w:val="center"/>
          </w:tcPr>
          <w:p w14:paraId="1D58B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" w:type="pct"/>
            <w:vMerge w:val="continue"/>
            <w:noWrap w:val="0"/>
            <w:vAlign w:val="center"/>
          </w:tcPr>
          <w:p w14:paraId="67453E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9" w:type="pct"/>
            <w:vMerge w:val="continue"/>
            <w:noWrap w:val="0"/>
            <w:vAlign w:val="center"/>
          </w:tcPr>
          <w:p w14:paraId="29F4C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center"/>
          </w:tcPr>
          <w:p w14:paraId="104867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2022年</w:t>
            </w:r>
          </w:p>
        </w:tc>
        <w:tc>
          <w:tcPr>
            <w:tcW w:w="288" w:type="pct"/>
            <w:noWrap w:val="0"/>
            <w:vAlign w:val="center"/>
          </w:tcPr>
          <w:p w14:paraId="2036BC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2023年</w:t>
            </w:r>
          </w:p>
        </w:tc>
        <w:tc>
          <w:tcPr>
            <w:tcW w:w="288" w:type="pct"/>
            <w:noWrap w:val="0"/>
            <w:vAlign w:val="center"/>
          </w:tcPr>
          <w:p w14:paraId="6BE142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2024年</w:t>
            </w:r>
          </w:p>
        </w:tc>
        <w:tc>
          <w:tcPr>
            <w:tcW w:w="796" w:type="dxa"/>
            <w:noWrap w:val="0"/>
            <w:vAlign w:val="center"/>
          </w:tcPr>
          <w:p w14:paraId="365A06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2022年</w:t>
            </w:r>
          </w:p>
        </w:tc>
        <w:tc>
          <w:tcPr>
            <w:tcW w:w="796" w:type="dxa"/>
            <w:noWrap w:val="0"/>
            <w:vAlign w:val="center"/>
          </w:tcPr>
          <w:p w14:paraId="4C3874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2023年</w:t>
            </w:r>
          </w:p>
        </w:tc>
        <w:tc>
          <w:tcPr>
            <w:tcW w:w="799" w:type="dxa"/>
            <w:noWrap w:val="0"/>
            <w:vAlign w:val="center"/>
          </w:tcPr>
          <w:p w14:paraId="0B90B1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2024年</w:t>
            </w:r>
          </w:p>
        </w:tc>
        <w:tc>
          <w:tcPr>
            <w:tcW w:w="796" w:type="dxa"/>
            <w:noWrap w:val="0"/>
            <w:vAlign w:val="center"/>
          </w:tcPr>
          <w:p w14:paraId="0EB3D8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2022年</w:t>
            </w:r>
          </w:p>
        </w:tc>
        <w:tc>
          <w:tcPr>
            <w:tcW w:w="796" w:type="dxa"/>
            <w:noWrap w:val="0"/>
            <w:vAlign w:val="center"/>
          </w:tcPr>
          <w:p w14:paraId="637EDF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2023年</w:t>
            </w:r>
          </w:p>
        </w:tc>
        <w:tc>
          <w:tcPr>
            <w:tcW w:w="799" w:type="dxa"/>
            <w:noWrap w:val="0"/>
            <w:vAlign w:val="center"/>
          </w:tcPr>
          <w:p w14:paraId="5E9F0C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2024年</w:t>
            </w:r>
          </w:p>
        </w:tc>
        <w:tc>
          <w:tcPr>
            <w:tcW w:w="796" w:type="dxa"/>
            <w:noWrap w:val="0"/>
            <w:vAlign w:val="center"/>
          </w:tcPr>
          <w:p w14:paraId="51189C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2022年</w:t>
            </w:r>
          </w:p>
        </w:tc>
        <w:tc>
          <w:tcPr>
            <w:tcW w:w="796" w:type="dxa"/>
            <w:noWrap w:val="0"/>
            <w:vAlign w:val="center"/>
          </w:tcPr>
          <w:p w14:paraId="5D187A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2023年</w:t>
            </w:r>
          </w:p>
        </w:tc>
        <w:tc>
          <w:tcPr>
            <w:tcW w:w="799" w:type="dxa"/>
            <w:noWrap w:val="0"/>
            <w:vAlign w:val="center"/>
          </w:tcPr>
          <w:p w14:paraId="4FD17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2024年</w:t>
            </w:r>
          </w:p>
        </w:tc>
        <w:tc>
          <w:tcPr>
            <w:tcW w:w="381" w:type="pct"/>
            <w:vMerge w:val="continue"/>
            <w:noWrap w:val="0"/>
            <w:vAlign w:val="center"/>
          </w:tcPr>
          <w:p w14:paraId="5863B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3" w:type="pct"/>
            <w:vMerge w:val="continue"/>
            <w:noWrap w:val="0"/>
            <w:vAlign w:val="center"/>
          </w:tcPr>
          <w:p w14:paraId="639BB5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" w:type="pct"/>
            <w:vMerge w:val="continue"/>
            <w:noWrap w:val="0"/>
            <w:vAlign w:val="center"/>
          </w:tcPr>
          <w:p w14:paraId="1F69A5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1B2F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  <w:jc w:val="center"/>
        </w:trPr>
        <w:tc>
          <w:tcPr>
            <w:tcW w:w="192" w:type="pct"/>
            <w:noWrap w:val="0"/>
            <w:vAlign w:val="center"/>
          </w:tcPr>
          <w:p w14:paraId="32F52D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1" w:type="pct"/>
            <w:noWrap w:val="0"/>
            <w:vAlign w:val="top"/>
          </w:tcPr>
          <w:p w14:paraId="09651D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9" w:type="pct"/>
            <w:noWrap w:val="0"/>
            <w:vAlign w:val="top"/>
          </w:tcPr>
          <w:p w14:paraId="1AA513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2D28A9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2CE708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3DB989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59A199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278FDD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0543EB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3D2304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69C699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3F6596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5856E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19CAF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544A89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noWrap w:val="0"/>
            <w:vAlign w:val="top"/>
          </w:tcPr>
          <w:p w14:paraId="75EED5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43" w:type="pct"/>
            <w:noWrap w:val="0"/>
            <w:vAlign w:val="top"/>
          </w:tcPr>
          <w:p w14:paraId="4AD1D7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" w:type="pct"/>
            <w:noWrap w:val="0"/>
            <w:vAlign w:val="top"/>
          </w:tcPr>
          <w:p w14:paraId="74D64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8083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  <w:jc w:val="center"/>
        </w:trPr>
        <w:tc>
          <w:tcPr>
            <w:tcW w:w="192" w:type="pct"/>
            <w:noWrap w:val="0"/>
            <w:vAlign w:val="center"/>
          </w:tcPr>
          <w:p w14:paraId="73F78D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91" w:type="pct"/>
            <w:noWrap w:val="0"/>
            <w:vAlign w:val="top"/>
          </w:tcPr>
          <w:p w14:paraId="378E0F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9" w:type="pct"/>
            <w:noWrap w:val="0"/>
            <w:vAlign w:val="top"/>
          </w:tcPr>
          <w:p w14:paraId="6461B0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08FEC7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75C85F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3DF9AB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2ED75E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5E7A32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763254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0E0F58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353C27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113E57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16EA7A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698BB2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 w14:paraId="5C2909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noWrap w:val="0"/>
            <w:vAlign w:val="top"/>
          </w:tcPr>
          <w:p w14:paraId="762AA4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43" w:type="pct"/>
            <w:noWrap w:val="0"/>
            <w:vAlign w:val="top"/>
          </w:tcPr>
          <w:p w14:paraId="1CB6EC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" w:type="pct"/>
            <w:noWrap w:val="0"/>
            <w:vAlign w:val="top"/>
          </w:tcPr>
          <w:p w14:paraId="747F43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51396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sectPr>
          <w:pgSz w:w="16838" w:h="11906" w:orient="landscape"/>
          <w:pgMar w:top="1531" w:right="1440" w:bottom="1531" w:left="1757" w:header="851" w:footer="1417" w:gutter="0"/>
          <w:pgNumType w:fmt="decimal"/>
          <w:cols w:space="720" w:num="1"/>
          <w:rtlGutter w:val="0"/>
          <w:docGrid w:type="lines" w:linePitch="327" w:charSpace="0"/>
        </w:sectPr>
      </w:pP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t>备注：本表仅用于申报中小企业特色产业集群。</w:t>
      </w:r>
    </w:p>
    <w:p w14:paraId="3F3EE1A0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beforeLines="0" w:afterLines="0"/>
        <w:rPr>
          <w:rFonts w:hint="default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</w:p>
    <w:p w14:paraId="6D11B77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beforeLines="0" w:afterLines="0"/>
        <w:rPr>
          <w:rFonts w:hint="default" w:ascii="宋体" w:hAnsi="宋体" w:eastAsia="宋体" w:cs="Times New Roman"/>
          <w:color w:val="auto"/>
          <w:highlight w:val="none"/>
          <w:lang w:eastAsia="zh-CN"/>
        </w:rPr>
      </w:pPr>
    </w:p>
    <w:p w14:paraId="68F8E953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beforeLines="0" w:afterLines="0"/>
        <w:jc w:val="center"/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</w:rPr>
      </w:pP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  <w:lang w:val="en-US" w:eastAsia="zh-CN"/>
        </w:rPr>
        <w:t>202</w:t>
      </w:r>
      <w:r>
        <w:rPr>
          <w:rFonts w:hint="eastAsia" w:ascii="宋体" w:hAnsi="宋体" w:eastAsia="方正小标宋简体" w:cs="Times New Roman"/>
          <w:color w:val="auto"/>
          <w:kern w:val="2"/>
          <w:sz w:val="44"/>
          <w:szCs w:val="44"/>
          <w:highlight w:val="none"/>
          <w:lang w:val="en-US" w:eastAsia="zh-CN"/>
        </w:rPr>
        <w:t>5</w:t>
      </w: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</w:rPr>
        <w:t>年</w:t>
      </w: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  <w:lang w:eastAsia="zh-CN"/>
        </w:rPr>
        <w:t>度</w:t>
      </w: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</w:rPr>
        <w:t>中小企业</w:t>
      </w: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  <w:lang w:eastAsia="zh-CN"/>
        </w:rPr>
        <w:t>特色产业集群</w:t>
      </w:r>
      <w:r>
        <w:rPr>
          <w:rFonts w:hint="eastAsia" w:ascii="宋体" w:hAnsi="宋体" w:eastAsia="方正小标宋简体" w:cs="Times New Roman"/>
          <w:color w:val="auto"/>
          <w:kern w:val="2"/>
          <w:sz w:val="44"/>
          <w:szCs w:val="44"/>
          <w:highlight w:val="none"/>
          <w:lang w:eastAsia="zh-CN"/>
        </w:rPr>
        <w:t>（申报、复核、推荐）</w:t>
      </w: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</w:rPr>
        <w:t>汇总表</w:t>
      </w:r>
    </w:p>
    <w:p w14:paraId="3E3FAA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hint="default" w:ascii="宋体" w:hAnsi="宋体" w:eastAsia="宋体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eastAsia="zh-CN"/>
        </w:rPr>
        <w:t>市</w:t>
      </w:r>
      <w:r>
        <w:rPr>
          <w:rFonts w:hint="eastAsia" w:ascii="宋体" w:hAnsi="宋体" w:eastAsia="宋体" w:cs="Times New Roman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eastAsia="zh-CN"/>
        </w:rPr>
        <w:t>州</w:t>
      </w:r>
      <w:r>
        <w:rPr>
          <w:rFonts w:hint="eastAsia" w:ascii="宋体" w:hAnsi="宋体" w:eastAsia="宋体" w:cs="Times New Roman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eastAsia="zh-CN"/>
        </w:rPr>
        <w:t>工业和信息化局</w:t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</w:rPr>
        <w:t>：（盖章）</w:t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 xml:space="preserve">              联系人和手机：</w:t>
      </w:r>
    </w:p>
    <w:tbl>
      <w:tblPr>
        <w:tblStyle w:val="7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2276"/>
        <w:gridCol w:w="1694"/>
        <w:gridCol w:w="1810"/>
        <w:gridCol w:w="1630"/>
        <w:gridCol w:w="2123"/>
        <w:gridCol w:w="3767"/>
      </w:tblGrid>
      <w:tr w14:paraId="20854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A4F1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A540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集群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9CAC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集群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运营</w:t>
            </w:r>
          </w:p>
          <w:p w14:paraId="3148213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管理机构</w:t>
            </w:r>
          </w:p>
        </w:tc>
        <w:tc>
          <w:tcPr>
            <w:tcW w:w="65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1281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所在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县（区）</w:t>
            </w:r>
          </w:p>
        </w:tc>
        <w:tc>
          <w:tcPr>
            <w:tcW w:w="5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1ED9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主导产业</w:t>
            </w:r>
          </w:p>
        </w:tc>
        <w:tc>
          <w:tcPr>
            <w:tcW w:w="76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D5B0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集群成立时间</w:t>
            </w:r>
          </w:p>
        </w:tc>
        <w:tc>
          <w:tcPr>
            <w:tcW w:w="13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65DF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集群简介（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300字以内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65A3B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388E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9E2D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4E44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1CE3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701F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DD0D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1E8B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（集群主导产业发展情况，行业地位，荣誉称号等。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年，集群总产值，中小企业数量，专精特新中小企业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数量，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专精特新“小巨人”企业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数量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，制造业单项冠军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数量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。近三年集群中小企业主持制定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国际、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国家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行业标准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数量，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中小企业有效发明专利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数量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，万人发明专利拥有量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等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）</w:t>
            </w:r>
          </w:p>
        </w:tc>
      </w:tr>
      <w:tr w14:paraId="563AE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5EA2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8C3E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301B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2A7D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88FA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6878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D09A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7EF17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F3FA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E8E6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041D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6E84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2606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359C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3413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4D24A0D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rPr>
          <w:rFonts w:hint="default" w:ascii="宋体" w:hAnsi="宋体" w:eastAsia="宋体" w:cs="Times New Roman"/>
          <w:color w:val="auto"/>
        </w:rPr>
      </w:pPr>
    </w:p>
    <w:p w14:paraId="53206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宋体" w:cs="Times New Roman"/>
          <w:color w:val="auto"/>
          <w:sz w:val="32"/>
          <w:szCs w:val="32"/>
        </w:rPr>
        <w:sectPr>
          <w:pgSz w:w="16838" w:h="11906" w:orient="landscape"/>
          <w:pgMar w:top="1531" w:right="1440" w:bottom="1531" w:left="1757" w:header="851" w:footer="1417" w:gutter="0"/>
          <w:pgNumType w:fmt="decimal"/>
          <w:cols w:space="720" w:num="1"/>
          <w:rtlGutter w:val="0"/>
          <w:docGrid w:type="lines" w:linePitch="327" w:charSpace="0"/>
        </w:sectPr>
      </w:pPr>
    </w:p>
    <w:p w14:paraId="353AF02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5</w:t>
      </w:r>
    </w:p>
    <w:p w14:paraId="7C34526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宋体" w:hAnsi="宋体" w:eastAsia="黑体" w:cs="Times New Roman"/>
          <w:color w:val="auto"/>
          <w:sz w:val="32"/>
          <w:szCs w:val="32"/>
        </w:rPr>
      </w:pPr>
    </w:p>
    <w:p w14:paraId="598B0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default" w:ascii="宋体" w:hAnsi="宋体" w:eastAsia="方正小标宋_GBK" w:cs="Times New Roman"/>
          <w:color w:val="auto"/>
          <w:sz w:val="44"/>
          <w:szCs w:val="44"/>
        </w:rPr>
      </w:pPr>
      <w:r>
        <w:rPr>
          <w:rFonts w:hint="default" w:ascii="宋体" w:hAnsi="宋体" w:eastAsia="方正小标宋_GBK" w:cs="Times New Roman"/>
          <w:color w:val="auto"/>
          <w:sz w:val="44"/>
          <w:szCs w:val="44"/>
          <w:lang w:eastAsia="zh-CN"/>
        </w:rPr>
        <w:t>云南省</w:t>
      </w:r>
      <w:r>
        <w:rPr>
          <w:rFonts w:hint="default" w:ascii="宋体" w:hAnsi="宋体" w:eastAsia="方正小标宋_GBK" w:cs="Times New Roman"/>
          <w:color w:val="auto"/>
          <w:sz w:val="44"/>
          <w:szCs w:val="44"/>
        </w:rPr>
        <w:t>中小企业特色产业集群认定标准</w:t>
      </w:r>
    </w:p>
    <w:p w14:paraId="0EF24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default" w:ascii="宋体" w:hAnsi="宋体" w:eastAsia="方正楷体_GB2312" w:cs="Times New Roman"/>
          <w:color w:val="auto"/>
          <w:sz w:val="32"/>
          <w:szCs w:val="32"/>
        </w:rPr>
      </w:pPr>
      <w:r>
        <w:rPr>
          <w:rFonts w:hint="default" w:ascii="宋体" w:hAnsi="宋体" w:eastAsia="方正楷体_GB2312" w:cs="Times New Roman"/>
          <w:color w:val="auto"/>
          <w:sz w:val="32"/>
          <w:szCs w:val="32"/>
        </w:rPr>
        <w:t>（</w:t>
      </w:r>
      <w:r>
        <w:rPr>
          <w:rFonts w:hint="default" w:ascii="宋体" w:hAnsi="宋体" w:eastAsia="方正楷体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宋体" w:hAnsi="宋体" w:eastAsia="方正楷体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宋体" w:hAnsi="宋体" w:eastAsia="方正楷体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default" w:ascii="宋体" w:hAnsi="宋体" w:eastAsia="方正楷体_GB2312" w:cs="Times New Roman"/>
          <w:color w:val="auto"/>
          <w:sz w:val="32"/>
          <w:szCs w:val="32"/>
        </w:rPr>
        <w:t>暂行</w:t>
      </w:r>
      <w:r>
        <w:rPr>
          <w:rFonts w:hint="default" w:ascii="宋体" w:hAnsi="宋体" w:eastAsia="方正楷体_GB2312" w:cs="Times New Roman"/>
          <w:color w:val="auto"/>
          <w:sz w:val="32"/>
          <w:szCs w:val="32"/>
          <w:lang w:eastAsia="zh-CN"/>
        </w:rPr>
        <w:t>版</w:t>
      </w:r>
      <w:r>
        <w:rPr>
          <w:rFonts w:hint="default" w:ascii="宋体" w:hAnsi="宋体" w:eastAsia="方正楷体_GB2312" w:cs="Times New Roman"/>
          <w:color w:val="auto"/>
          <w:sz w:val="32"/>
          <w:szCs w:val="32"/>
        </w:rPr>
        <w:t>）</w:t>
      </w:r>
    </w:p>
    <w:p w14:paraId="495BBF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宋体" w:hAnsi="宋体" w:cs="Times New Roman"/>
          <w:color w:val="auto"/>
        </w:rPr>
      </w:pPr>
    </w:p>
    <w:p w14:paraId="4D389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  <w:lang w:eastAsia="zh-CN"/>
        </w:rPr>
        <w:t>云南省级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中小企业特色产业集群（以下简称集群）认定须满足以下八方面指标。同时，集群企业近三年未发生较大及以上安全、质量和环境污染等事故，重大及以上网络安全事件和数据安全事件，以及偷税漏税、违法违规、严重失信和其它重大问题的行为。</w:t>
      </w:r>
    </w:p>
    <w:p w14:paraId="78D6C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一、具有较强核心竞争力</w:t>
      </w:r>
    </w:p>
    <w:p w14:paraId="40AD3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集群主导产业为所在县域的支柱或特色产业，符合国家产业政策和行业发展规划要求，发展水平位居细分领域全国、全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省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前列，有较高的集群品牌知名度；占地面积一般不超过100平方公里，近三年产值均在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0亿元以上，中小企业产值占集群总产值50%以上，主导产业占集群总产值比例高于60%，产值年均增速高于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%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。</w:t>
      </w:r>
    </w:p>
    <w:p w14:paraId="64D3B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二、优质中小企业梯度培育成效显著</w:t>
      </w:r>
    </w:p>
    <w:p w14:paraId="50CC3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集群持续开展优质中小企业梯度培育工作，拥有不少于1家主导产业的制造业单项冠军企业或专精特新“小巨人”企业，或者不少于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家专精特新中小企业、创新型中小企业和国家级高新技术企业。</w:t>
      </w:r>
    </w:p>
    <w:p w14:paraId="065C1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三、产业链供应链协作高效</w:t>
      </w:r>
    </w:p>
    <w:p w14:paraId="161A1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集群产业链布局合理，产业链上下游企业产供销一体化协同协作机制较完善，建立了通用生产设备、物流、仓储、人力、设计等共享机制，产业链关键环节配套能力较强。</w:t>
      </w:r>
    </w:p>
    <w:p w14:paraId="2E3F3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四、具有较强协同创新能力</w:t>
      </w:r>
    </w:p>
    <w:p w14:paraId="7BD0D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集群重视研发持续投入，近三年中小企业研发经费年均增长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highlight w:val="none"/>
        </w:rPr>
        <w:t>高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于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%；统筹建立了多元创新平台，与大型企业、高校和科研院所创新合作紧密，大中小企业融通创新和产学研协同创新机制完善；积极参加主导产业的标准制修订工作。</w:t>
      </w:r>
    </w:p>
    <w:p w14:paraId="353FE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黑体_GBK" w:cs="方正黑体_GBK"/>
          <w:color w:val="auto"/>
          <w:sz w:val="32"/>
          <w:szCs w:val="32"/>
        </w:rPr>
      </w:pPr>
      <w:r>
        <w:rPr>
          <w:rFonts w:hint="eastAsia" w:ascii="宋体" w:hAnsi="宋体" w:eastAsia="方正黑体_GBK" w:cs="方正黑体_GBK"/>
          <w:color w:val="auto"/>
          <w:sz w:val="32"/>
          <w:szCs w:val="32"/>
        </w:rPr>
        <w:t>五、数字化转型效果明显</w:t>
      </w:r>
    </w:p>
    <w:p w14:paraId="6946D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新型信息基础设施建设水平较高，数字化装备和系统应用广泛，引入跨企业数字化解决方案、评估和诊断等服务；“用云上平台”成效显著，工业互联网平台应用普及率不低于10%，工业软件应用率稳步提升，实现集群企业重要生产数据联通；开展主导产业数字化新模式新业态探索，建立健全工业互联网安全保障体系。</w:t>
      </w:r>
    </w:p>
    <w:p w14:paraId="69DE6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六、具有较高绿色化发展水平</w:t>
      </w:r>
    </w:p>
    <w:p w14:paraId="113EA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能源消费结构合理，二氧化碳排放强度持续下降，资源利用效率较高，污染物排放治理有效，建立了绿色低碳服务机制；属于高耗能行业的集群，能效水平高于行业基准值；属于高用水行业的集群，水效水平高于行业基准值。</w:t>
      </w:r>
    </w:p>
    <w:p w14:paraId="687D8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七、积极参与产业开放合作</w:t>
      </w:r>
    </w:p>
    <w:p w14:paraId="63826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集群参与主导产业国际合作机制或交流活动，开展技术、管理、人才或资本等方面交流合作，通过设置海外分支机构等方式，推动产品和服务对外贸易快速发展。</w:t>
      </w:r>
    </w:p>
    <w:p w14:paraId="0BAD8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八、具有较强治理和服务能力</w:t>
      </w:r>
    </w:p>
    <w:p w14:paraId="17E85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设立管委会等运营管理机构，建立了完善的中小企业公共服务体系和专业化的集群发展促进机制；促进中小企业发展政策宣贯实现集群全覆盖，确保惠企政策受益主体不漏户、不漏人地清晰了解和应享尽享；依照本办法第二章第六条，制定未来三年发展规划，发展目标要清晰、可考核，工作措施要完整、针对性强、切实可行。</w:t>
      </w:r>
    </w:p>
    <w:p w14:paraId="72CDB9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BECA7D9-0BAD-4B11-A8BF-D02403C314A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75FF50E-E9EB-4F86-A61C-EA247302CA9B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CECD042-B159-41BC-987B-2B0023902A83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42DF37C4-4B91-4A38-8BEE-3D81E4CE0A2B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5" w:fontKey="{6BD3C13F-D772-4DEB-B2A9-59EEE6C02B2A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5E9BD40D-EA74-4531-9F0E-7409BAA1165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72E1DEF9-FEBC-4084-9EA7-2B877D97681B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050AA240-1B5D-4487-9C9C-200E472CD55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9" w:fontKey="{B866ACF5-77B4-441D-AB9E-524762EFC34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23A55">
    <w:pPr>
      <w:pStyle w:val="5"/>
      <w:rPr>
        <w:rFonts w:ascii="Calibri" w:hAnsi="Calibri" w:eastAsia="宋体" w:cs="Times New Roman"/>
      </w:rPr>
    </w:pPr>
    <w:r>
      <w:rPr>
        <w:rFonts w:ascii="Calibri" w:hAnsi="Calibri" w:eastAsia="宋体" w:cs="Times New Roman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F020DD9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R89qo3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AUfPaq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020DD9"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FA3326"/>
    <w:multiLevelType w:val="singleLevel"/>
    <w:tmpl w:val="77FA3326"/>
    <w:lvl w:ilvl="0" w:tentative="0">
      <w:start w:val="1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YmQ0NzAzNjdmZTljOTVlOTE2YTM5YWRiNzg1ODIifQ=="/>
  </w:docVars>
  <w:rsids>
    <w:rsidRoot w:val="6E931107"/>
    <w:rsid w:val="356B05CD"/>
    <w:rsid w:val="3F3CCCBF"/>
    <w:rsid w:val="40D20146"/>
    <w:rsid w:val="47F910D7"/>
    <w:rsid w:val="4F1F57E3"/>
    <w:rsid w:val="6E931107"/>
    <w:rsid w:val="7FFEB5E2"/>
    <w:rsid w:val="999926CB"/>
    <w:rsid w:val="BAEFE214"/>
    <w:rsid w:val="DFFFA432"/>
    <w:rsid w:val="E7EB90A1"/>
    <w:rsid w:val="EBAF87D7"/>
    <w:rsid w:val="F7E6D018"/>
    <w:rsid w:val="FAF51FA2"/>
    <w:rsid w:val="FCBEBB30"/>
    <w:rsid w:val="FFEB2C09"/>
    <w:rsid w:val="FFF64116"/>
    <w:rsid w:val="FFFFD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Title"/>
    <w:next w:val="1"/>
    <w:qFormat/>
    <w:uiPriority w:val="0"/>
    <w:pPr>
      <w:widowControl w:val="0"/>
      <w:spacing w:before="240" w:beforeLines="0" w:beforeAutospacing="0" w:after="60" w:afterLines="0" w:afterAutospacing="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paragraph" w:styleId="4">
    <w:name w:val="Body Text Indent 2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5公文正文"/>
    <w:qFormat/>
    <w:uiPriority w:val="0"/>
    <w:pPr>
      <w:widowControl w:val="0"/>
      <w:snapToGrid w:val="0"/>
      <w:spacing w:line="360" w:lineRule="auto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2283</Words>
  <Characters>2390</Characters>
  <Lines>0</Lines>
  <Paragraphs>0</Paragraphs>
  <TotalTime>13</TotalTime>
  <ScaleCrop>false</ScaleCrop>
  <LinksUpToDate>false</LinksUpToDate>
  <CharactersWithSpaces>2424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2025-03-15T16:42:00Z</dcterms:created>
  <dc:creator>李云琳</dc:creator>
  <cp:lastModifiedBy>马龙</cp:lastModifiedBy>
  <dcterms:modified xsi:type="dcterms:W3CDTF">2025-03-21T08:26:11Z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AE9259C362F746D4B78CA8B2E798A83A_11</vt:lpwstr>
  </property>
  <property fmtid="{D5CDD505-2E9C-101B-9397-08002B2CF9AE}" pid="4" name="KSOTemplateDocerSaveRecord">
    <vt:lpwstr>eyJoZGlkIjoiYzBhZGYwODJiNzE2MjYxYWYzYWRjNjU2NmM1OTEwMTAiLCJ1c2VySWQiOiIzODY1MDY4NTQifQ==</vt:lpwstr>
  </property>
</Properties>
</file>