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asci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宽城区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发展和改革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2020年度</w:t>
      </w:r>
    </w:p>
    <w:p>
      <w:pPr>
        <w:widowControl/>
        <w:shd w:val="clear" w:color="auto" w:fill="FFFFFF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Calibri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报告</w:t>
      </w:r>
    </w:p>
    <w:p>
      <w:pPr>
        <w:widowControl/>
        <w:shd w:val="clear" w:color="auto" w:fill="FFFFFF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1.主动公开情况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default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宽城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区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发展和改革局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年信息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公开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发布总数量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14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条。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其中，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政府集中采购类信息14条涉14项采购项目。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发改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局高度重视政府信息公开工作。一是加强政府信息资源规范化管理。以机构改革为契机，重新梳理规范了信息公开工作流程，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认真学习《吉林省政务公开文件资料汇编》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等规范性文件，提高信息公开工作标准，严格行文格式。二是加强政府网站运维管理。根据要求，对照条例内容，结合工作职责，及时上传、更新信息公开内容。三是加强政府信息工作教育培训。将政府信息和政务公开业务学习纳入年度学习计划，认真学习新修订《政府信息公开条例》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结合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 xml:space="preserve">文化和旅游工作实际，进行相关政策解读。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2.依申请公开办理情况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本单位2020年度共收到政府信息公开申请0件。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.政府信息公开平台建设情况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本单位无微信公众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平台。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.政府信息公开监督保障及教育培训情况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全年对信息公开培训1次，加强对信息公开条例的宣传贯彻。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39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46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52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45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9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401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rPr>
          <w:trHeight w:val="383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16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>（一）存在的主要问题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政府信息公开工作站位还需进一步提高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；在公开质量、公开形式、公开内容、信息查找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更新时限等方面需进一步加强，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媒介手段运用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不够；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业务培训不够专业，专题研究不够深入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；公开意识和自觉性有待提升，公开能力有待提高，主动公开的深度和广度需要进一步加强，依法公开能力仍需提升，特别是新《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中华人民共和国政府信息公开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条例》实施后，专业领域的理论学习和对《条例》新内容的准确把握仍需加强。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kern w:val="0"/>
          <w:sz w:val="24"/>
          <w:szCs w:val="24"/>
          <w:lang w:val="en-US" w:eastAsia="zh-CN"/>
        </w:rPr>
        <w:t>（二）改进措施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1.提高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工作站位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 xml:space="preserve">牢记“为人民服务”宗旨，提高主动公开意识，确保思想认识到位、工作人员到位、工作措施到位，切实保障人民群众知情权、参与权、表达权和监督权。 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2.加强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信息公开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。重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点围绕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发改局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 xml:space="preserve">中心工作及百姓需求，加强主动公开力度，丰富网站内容。持续关注回应社会热点问题，做好相关政策解读，扩大公众参与度。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积极创新公开形式，进一步拓宽政府信息公开渠道，充分利用网络、电视、报刊等多种手段进行信息公开。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加大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信息公开培训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力度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。深入学习《政府信息公开条例》和市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、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区有关规定，合理规划培训内容，注重培训效果。提高工作人员对政策的认识、理解和把握，补齐</w:t>
      </w:r>
      <w:bookmarkStart w:id="0" w:name="_GoBack"/>
      <w:bookmarkEnd w:id="0"/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工作短板，进一步提高工作技能和服务水平。</w:t>
      </w:r>
    </w:p>
    <w:p>
      <w:pPr>
        <w:pStyle w:val="2"/>
        <w:widowControl/>
        <w:shd w:val="clear" w:color="auto" w:fill="FEFEFE"/>
        <w:wordWrap/>
        <w:adjustRightInd/>
        <w:snapToGrid/>
        <w:spacing w:before="0" w:beforeAutospacing="0" w:after="0" w:afterAutospacing="0" w:line="600" w:lineRule="exact"/>
        <w:ind w:firstLine="480" w:firstLineChars="200"/>
        <w:jc w:val="both"/>
        <w:textAlignment w:val="auto"/>
        <w:rPr>
          <w:rFonts w:hint="default" w:eastAsia="宋体"/>
          <w:color w:val="333333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.全方位提升政务公开能力。深入做好《条例》的贯彻落实，细化《条例》主体适用，严格落实依申请公开规范办理机制和工作要求。进一步规范主动公开流程，充分发挥区政务公开平台在舆情回应中的作用，健全政务舆情的监测、研判、回应机制，落实回应责任。充分发挥公开促落实、促规范、促服务的重要作用，在信息公开、政策解读、回应关切、公众参与等各环节实现新突破。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本年度报告是由长春市宽城区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发展和改革局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（简称“区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发改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局”）依据《中华人民共和国政府信息公开条例》编制而成。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本报告所列数据的统计期限,自2020年1月1日起至12月31日止。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6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长春市宽城区发展和改革局</w:t>
      </w:r>
    </w:p>
    <w:p>
      <w:pPr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202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年1月20日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2021-01-28T02:52:00Z</dcterms:created>
  <dc:creator>Administrator</dc:creator>
  <cp:lastModifiedBy>Administrator</cp:lastModifiedBy>
  <cp:lastPrinted>2021-01-28T02:58:29Z</cp:lastPrinted>
  <dcterms:modified xsi:type="dcterms:W3CDTF">2021-01-28T02:58:37Z</dcterms:modified>
  <dc:title>宽城区发展和改革局2020年度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