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A551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团山街道</w:t>
      </w:r>
    </w:p>
    <w:p w14:paraId="08A23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年度法治政府建设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74668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D8F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团山街道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始终</w:t>
      </w:r>
      <w:r>
        <w:rPr>
          <w:rFonts w:hint="eastAsia" w:ascii="仿宋_GB2312" w:hAnsi="仿宋_GB2312" w:eastAsia="仿宋_GB2312" w:cs="仿宋_GB2312"/>
          <w:sz w:val="32"/>
          <w:szCs w:val="32"/>
        </w:rPr>
        <w:t>以习近平法治思想为指引，紧扣《法治政府建设实施纲要（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2021-2025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年）》收官节点要求，锚定“法治赋能基层治理现代化”目标，将法治建设与民生服务、经济发展、平安建设深度融合，扎实推进各项任务落地，现将年度工作情况报告如下：</w:t>
      </w:r>
    </w:p>
    <w:p w14:paraId="530CB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一、2025年度推进法治政府建设的主要举措和成效</w:t>
      </w:r>
    </w:p>
    <w:p w14:paraId="2CB0BA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（一）构建“三化”学习体系，法治思想武装走深走实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创新“常态化领学、精准化研学、实战化践学”模式，将习近平法治思想纳入党工委理论学习中心组专题学习，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年组织开展专题学习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次，</w:t>
      </w:r>
      <w:r>
        <w:rPr>
          <w:rFonts w:hint="eastAsia" w:ascii="仿宋_GB2312" w:hAnsi="仿宋_GB2312" w:eastAsia="仿宋_GB2312" w:cs="仿宋_GB2312"/>
          <w:sz w:val="32"/>
          <w:szCs w:val="32"/>
        </w:rPr>
        <w:t>班子成员带头开展“法治领学课堂”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次，覆盖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全街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、职工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130</w:t>
      </w:r>
      <w:r>
        <w:rPr>
          <w:rFonts w:hint="eastAsia" w:ascii="仿宋_GB2312" w:hAnsi="仿宋_GB2312" w:eastAsia="仿宋_GB2312" w:cs="仿宋_GB2312"/>
          <w:sz w:val="32"/>
          <w:szCs w:val="32"/>
        </w:rPr>
        <w:t>余人次。针对基层治理需求，组织社区（村）“法律明白人”、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人民调解员、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执法骨干开展专题培训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期，培训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余人次。拓展“知行讲堂+案例研讨”载体，举办法治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实践实训活动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，推动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全街干部职工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法治素养从“理论认知”向“实践应用”转化。深化法治宣传下沉，开展“法治进网格、进企业”活动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次，线上推送法治短视频、案例解读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余条，阅读量超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1.2</w:t>
      </w:r>
      <w:r>
        <w:rPr>
          <w:rFonts w:hint="eastAsia" w:ascii="仿宋_GB2312" w:hAnsi="仿宋_GB2312" w:eastAsia="仿宋_GB2312" w:cs="仿宋_GB2312"/>
          <w:sz w:val="32"/>
          <w:szCs w:val="32"/>
        </w:rPr>
        <w:t>万人次，线下覆盖群众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1800</w:t>
      </w:r>
      <w:r>
        <w:rPr>
          <w:rFonts w:hint="eastAsia" w:ascii="仿宋_GB2312" w:hAnsi="仿宋_GB2312" w:eastAsia="仿宋_GB2312" w:cs="仿宋_GB2312"/>
          <w:sz w:val="32"/>
          <w:szCs w:val="32"/>
        </w:rPr>
        <w:t>余人，法治理念全民浸润成效显著。</w:t>
      </w:r>
    </w:p>
    <w:p w14:paraId="41A71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（二）常态化推进“闭环”治理，依法行政效能持续提升。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规范行政决策流程，建立“法律顾问+合法性审查+集体会商”三重把关机制，全年参与重大决策、合同审核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余件，合法性审查率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100%。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严格落实行政执法“三项制度”，聚焦安全生产、市容环境等重点领域，开展专项执法行动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次、督导检查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次；推行“柔性执法+精准服务”，开展安全生产指导服务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7307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次，“首违不罚”惠及市场主体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余家。深化矛盾纠纷多元化解，新增物业、医疗机构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</w:t>
      </w:r>
      <w:r>
        <w:rPr>
          <w:rFonts w:hint="eastAsia" w:ascii="仿宋_GB2312" w:hAnsi="仿宋_GB2312" w:eastAsia="仿宋_GB2312" w:cs="仿宋_GB2312"/>
          <w:sz w:val="32"/>
          <w:szCs w:val="32"/>
        </w:rPr>
        <w:t>调委会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家，全街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个调委会吸纳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各行业</w:t>
      </w:r>
      <w:r>
        <w:rPr>
          <w:rFonts w:hint="eastAsia" w:ascii="仿宋_GB2312" w:hAnsi="仿宋_GB2312" w:eastAsia="仿宋_GB2312" w:cs="仿宋_GB2312"/>
          <w:sz w:val="32"/>
          <w:szCs w:val="32"/>
        </w:rPr>
        <w:t>调解员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230</w:t>
      </w:r>
      <w:r>
        <w:rPr>
          <w:rFonts w:hint="eastAsia" w:ascii="仿宋_GB2312" w:hAnsi="仿宋_GB2312" w:eastAsia="仿宋_GB2312" w:cs="仿宋_GB2312"/>
          <w:sz w:val="32"/>
          <w:szCs w:val="32"/>
        </w:rPr>
        <w:t>余人，全年化解矛盾纠纷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238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件，化解率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98%</w:t>
      </w:r>
      <w:r>
        <w:rPr>
          <w:rFonts w:hint="eastAsia" w:ascii="仿宋_GB2312" w:hAnsi="仿宋_GB2312" w:eastAsia="仿宋_GB2312" w:cs="仿宋_GB2312"/>
          <w:sz w:val="32"/>
          <w:szCs w:val="32"/>
        </w:rPr>
        <w:t>，成功处置农民工欠薪群体纠纷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起，实现“小事不出社区、大事不出街道”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的年度目标。</w:t>
      </w:r>
    </w:p>
    <w:p w14:paraId="2CE0B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（三）优化“法治+”服务模式，营商环境持续向好。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聚焦企业“急难愁盼”，开展助企纾困法治服务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次，走访企业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余家，精准破解企业发展堵点难点。协助吉林鑫翔有限责任公司推进改建项目前期手续办理，为吉林良运现代农业服务有限公司解决股权出质审批相关问题，协调化解长春市串湖污水处理厂人员招聘难题，助力吉林省创立建筑工程有限公司办结营业执照等商事登记手续，切实为企业减负松绑。主动搭建政企对接桥梁，为辖区企业精准对接工商、税务、劳动保障等职能部门，常态化提供招商信息推送、跨部门沟通协调、代办跑办手续等全流程法律服务，以法治化、精细化的服务举措护航企业发展，赢得辖区企业的广泛信赖与支持。</w:t>
      </w:r>
    </w:p>
    <w:p w14:paraId="3FE34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default" w:ascii="黑体" w:hAnsi="黑体" w:eastAsia="黑体" w:cs="黑体"/>
          <w:sz w:val="32"/>
          <w:szCs w:val="32"/>
        </w:rPr>
        <w:t>2025</w:t>
      </w:r>
      <w:r>
        <w:rPr>
          <w:rFonts w:hint="eastAsia" w:ascii="黑体" w:hAnsi="黑体" w:eastAsia="黑体" w:cs="黑体"/>
          <w:sz w:val="32"/>
          <w:szCs w:val="32"/>
        </w:rPr>
        <w:t>年度推进法治政府建设存在的不足和原因</w:t>
      </w:r>
    </w:p>
    <w:p w14:paraId="06B82D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法治思想学用转化不够充分。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干部对习近平法治思想的系统性理解不深，存在“学用脱节”现象，运用法治思维破解新业态治理、复杂矛盾纠纷等新型问题的能力不足；基层培训多以集中宣讲为主，场景化、实战化训练欠缺，理论与实践衔接不紧密。核心原因在于学习考核机制不够完善，缺乏“学用转化”的刚性约束，干部主动运用法治方式解决问题的意识有待强化。</w:t>
      </w:r>
    </w:p>
    <w:p w14:paraId="25819F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（二）普法工作精准度与创新性不足。</w:t>
      </w:r>
      <w:r>
        <w:rPr>
          <w:rFonts w:hint="eastAsia" w:ascii="仿宋_GB2312" w:hAnsi="仿宋_GB2312" w:eastAsia="仿宋_GB2312" w:cs="仿宋_GB2312"/>
          <w:sz w:val="32"/>
          <w:szCs w:val="32"/>
        </w:rPr>
        <w:t>数字化普法赋能薄弱，线上内容多为法条搬运，互动性、趣味性不足，难以吸引年轻群体；对小微企业、灵活就业人员等群体的法律需求调研不充分，普法供给与群众需求存在错位。主要原因是普法工作缺乏系统性规划，资源整合不足，未能形成“需求导向+精准供给”的闭环机制。</w:t>
      </w:r>
    </w:p>
    <w:p w14:paraId="00D66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（三）法治队伍专业化水平有待提升。</w:t>
      </w:r>
      <w:r>
        <w:rPr>
          <w:rFonts w:hint="eastAsia" w:ascii="仿宋_GB2312" w:hAnsi="仿宋_GB2312" w:eastAsia="仿宋_GB2312" w:cs="仿宋_GB2312"/>
          <w:sz w:val="32"/>
          <w:szCs w:val="32"/>
        </w:rPr>
        <w:t>基层执法人员、调解员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很</w:t>
      </w:r>
      <w:r>
        <w:rPr>
          <w:rFonts w:hint="eastAsia" w:ascii="仿宋_GB2312" w:hAnsi="仿宋_GB2312" w:eastAsia="仿宋_GB2312" w:cs="仿宋_GB2312"/>
          <w:sz w:val="32"/>
          <w:szCs w:val="32"/>
        </w:rPr>
        <w:t>多为兼职，专业法律知识储备不足，应对复杂案件的处置能力欠缺；法治人才梯队建设滞后，年轻骨干培养力度不够，队伍活力不足。根本原因在于法治工作激励机制不健全，专业培训常态化不足。</w:t>
      </w:r>
    </w:p>
    <w:p w14:paraId="37F99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三、党政主要负责人履行推进法治建设第一责任人职责情况</w:t>
      </w:r>
    </w:p>
    <w:p w14:paraId="6375B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（一）高位统筹，压实法治建设责任。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>党政主要负责人切实履行“第一责任人”职责，将法治建设纳入街道年度总体规划，与中心工作同部署、同推进。成立“双组长”制依法治街工作领导小组，制定《法治建设履职清单》，明确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42</w:t>
      </w:r>
      <w:r>
        <w:rPr>
          <w:rFonts w:hint="eastAsia" w:ascii="仿宋_GB2312" w:hAnsi="仿宋_GB2312" w:eastAsia="仿宋_GB2312" w:cs="仿宋_GB2312"/>
          <w:sz w:val="32"/>
          <w:szCs w:val="32"/>
        </w:rPr>
        <w:t>项具体责任事项。全年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主持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召开法治建设专题部署会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次，听取工作汇报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次，专题研究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法治领域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重点难点问题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项，确保法治建设各项任务落地见效。</w:t>
      </w:r>
    </w:p>
    <w:p w14:paraId="0CE55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（二）示范引领，筑牢依法决策防线。</w:t>
      </w:r>
      <w:r>
        <w:rPr>
          <w:rFonts w:hint="eastAsia" w:ascii="仿宋_GB2312" w:hAnsi="仿宋_GB2312" w:eastAsia="仿宋_GB2312" w:cs="仿宋_GB2312"/>
          <w:sz w:val="32"/>
          <w:szCs w:val="32"/>
        </w:rPr>
        <w:t>带头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遵</w:t>
      </w:r>
      <w:r>
        <w:rPr>
          <w:rFonts w:hint="eastAsia" w:ascii="仿宋_GB2312" w:hAnsi="仿宋_GB2312" w:eastAsia="仿宋_GB2312" w:cs="仿宋_GB2312"/>
          <w:sz w:val="32"/>
          <w:szCs w:val="32"/>
        </w:rPr>
        <w:t>法学法守法用法，将习近平法治思想纳入党工委理论学习中心组核心内容，带头开展法治领学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次，带动班子成员专题学法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次。严格执行重大事项依法决策程序，所有重大决策均经合法性审查，全年牵头审核重大事项、合同协议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余件，确保决策于法有据。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</w:t>
      </w:r>
      <w:r>
        <w:rPr>
          <w:rFonts w:hint="eastAsia" w:ascii="仿宋_GB2312" w:hAnsi="仿宋_GB2312" w:eastAsia="仿宋_GB2312" w:cs="仿宋_GB2312"/>
          <w:sz w:val="32"/>
          <w:szCs w:val="32"/>
        </w:rPr>
        <w:t>带队开展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执法</w:t>
      </w:r>
      <w:r>
        <w:rPr>
          <w:rFonts w:hint="eastAsia" w:ascii="仿宋_GB2312" w:hAnsi="仿宋_GB2312" w:eastAsia="仿宋_GB2312" w:cs="仿宋_GB2312"/>
          <w:sz w:val="32"/>
          <w:szCs w:val="32"/>
        </w:rPr>
        <w:t>督导检查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推动整改隐患问题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个，以法治手段保护辖区安全稳定。</w:t>
      </w:r>
    </w:p>
    <w:p w14:paraId="09EAF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（三）深化实践，提升基层治理效能。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聚焦群众“急难愁盼”，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以学习教育和群腐整治为契机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依法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重点解决安全生产、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人居环境、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民生保障等突出问题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140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推进全街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基层法治示范点建设，指导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各社区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建立“一站式”矛盾纠纷调解中心，全年化解各类矛盾纠纷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1300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余件，调解成功率达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95%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以上。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全年依法依规推进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高频业务“一窗受理、并联办理、限时办结”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 年办件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余件，推进法治建设与民生服务深度融合。</w:t>
      </w:r>
    </w:p>
    <w:p w14:paraId="103C2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四、“八五”普法规划及“谁执法谁普法”责任制落实情况</w:t>
      </w:r>
    </w:p>
    <w:p w14:paraId="03ED4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（一）系统谋划，压实普法责任。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年作为“八五”普法的收官之年，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扎实落细普法责任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，明确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职</w:t>
      </w:r>
      <w:r>
        <w:rPr>
          <w:rFonts w:hint="eastAsia" w:ascii="仿宋_GB2312" w:hAnsi="仿宋_GB2312" w:eastAsia="仿宋_GB2312" w:cs="仿宋_GB2312"/>
          <w:sz w:val="32"/>
          <w:szCs w:val="32"/>
        </w:rPr>
        <w:t>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科室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村的普法职责，构建“全员、全程、全域”普法工作体系，建立“谁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执法谁普法、谁服务谁普法、谁主管谁负责”的责任闭环，确保普法任务层层落实。</w:t>
      </w:r>
    </w:p>
    <w:p w14:paraId="5C4D3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（二）精准发力，提升普法实效。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聚焦重点人群和关键节点，开展“定制化”普法服务。围绕“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3·15</w:t>
      </w:r>
      <w:r>
        <w:rPr>
          <w:rFonts w:hint="eastAsia" w:ascii="仿宋_GB2312" w:hAnsi="仿宋_GB2312" w:eastAsia="仿宋_GB2312" w:cs="仿宋_GB2312"/>
          <w:sz w:val="32"/>
          <w:szCs w:val="32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4·15</w:t>
      </w:r>
      <w:r>
        <w:rPr>
          <w:rFonts w:hint="eastAsia" w:ascii="仿宋_GB2312" w:hAnsi="仿宋_GB2312" w:eastAsia="仿宋_GB2312" w:cs="仿宋_GB2312"/>
          <w:sz w:val="32"/>
          <w:szCs w:val="32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12·4</w:t>
      </w:r>
      <w:r>
        <w:rPr>
          <w:rFonts w:hint="eastAsia" w:ascii="仿宋_GB2312" w:hAnsi="仿宋_GB2312" w:eastAsia="仿宋_GB2312" w:cs="仿宋_GB2312"/>
          <w:sz w:val="32"/>
          <w:szCs w:val="32"/>
        </w:rPr>
        <w:t>”等重要时间节点，开展主题普法活动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42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次，发放宣传资料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3000</w:t>
      </w:r>
      <w:r>
        <w:rPr>
          <w:rFonts w:hint="eastAsia" w:ascii="仿宋_GB2312" w:hAnsi="仿宋_GB2312" w:eastAsia="仿宋_GB2312" w:cs="仿宋_GB2312"/>
          <w:sz w:val="32"/>
          <w:szCs w:val="32"/>
        </w:rPr>
        <w:t>余份，解答法律咨询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220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人次，覆盖群众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余人。深化“三官一律”进社区机制，组织法官、检察官、警官、律师开展法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律咨询</w:t>
      </w:r>
      <w:r>
        <w:rPr>
          <w:rFonts w:hint="eastAsia" w:ascii="仿宋_GB2312" w:hAnsi="仿宋_GB2312" w:eastAsia="仿宋_GB2312" w:cs="仿宋_GB2312"/>
          <w:sz w:val="32"/>
          <w:szCs w:val="32"/>
        </w:rPr>
        <w:t>、纠纷调解等活动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次；针对青少年、老年人、企业经营者等群体，开展精准普法宣讲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余场，推动普法从“大水漫灌”向“精准滴灌”转型。</w:t>
      </w:r>
    </w:p>
    <w:p w14:paraId="4AC4D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（三）创新载体，厚植法治文化。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创新数字化普法模式，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街道公众号、居民微信群推送法治短视频、案例解读等内容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余条，累计阅读量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9600</w:t>
      </w:r>
      <w:r>
        <w:rPr>
          <w:rFonts w:hint="eastAsia" w:ascii="仿宋_GB2312" w:hAnsi="仿宋_GB2312" w:eastAsia="仿宋_GB2312" w:cs="仿宋_GB2312"/>
          <w:sz w:val="32"/>
          <w:szCs w:val="32"/>
        </w:rPr>
        <w:t>余人次；举办“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法官律师进社区、进乡村</w:t>
      </w:r>
      <w:r>
        <w:rPr>
          <w:rFonts w:hint="eastAsia" w:ascii="仿宋_GB2312" w:hAnsi="仿宋_GB2312" w:eastAsia="仿宋_GB2312" w:cs="仿宋_GB2312"/>
          <w:sz w:val="32"/>
          <w:szCs w:val="32"/>
        </w:rPr>
        <w:t>”等互动活动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10余</w:t>
      </w:r>
      <w:r>
        <w:rPr>
          <w:rFonts w:hint="eastAsia" w:ascii="仿宋_GB2312" w:hAnsi="仿宋_GB2312" w:eastAsia="仿宋_GB2312" w:cs="仿宋_GB2312"/>
          <w:sz w:val="32"/>
          <w:szCs w:val="32"/>
        </w:rPr>
        <w:t>场，增强普法吸引力和感染力，营造“人人学法治、事事守法治”的浓厚氛围。</w:t>
      </w:r>
    </w:p>
    <w:p w14:paraId="3B6AA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</w:t>
      </w:r>
      <w:r>
        <w:rPr>
          <w:rFonts w:hint="default" w:ascii="黑体" w:hAnsi="黑体" w:eastAsia="黑体" w:cs="黑体"/>
          <w:sz w:val="32"/>
          <w:szCs w:val="32"/>
        </w:rPr>
        <w:t>2026</w:t>
      </w:r>
      <w:r>
        <w:rPr>
          <w:rFonts w:hint="eastAsia" w:ascii="黑体" w:hAnsi="黑体" w:eastAsia="黑体" w:cs="黑体"/>
          <w:sz w:val="32"/>
          <w:szCs w:val="32"/>
        </w:rPr>
        <w:t>年度推进法治政府建设的主要安排</w:t>
      </w:r>
    </w:p>
    <w:p w14:paraId="5E8AA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（一）深化理论武装，推动学用转化。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习近平法治思想作为首要政治任务，开展专题学习、法治培训，采用案例教学、现场观摩等实战化形式，提升干部法治应用能力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，推动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学习成果转化为治理效能。</w:t>
      </w:r>
    </w:p>
    <w:p w14:paraId="7657A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（二）提升执法效能，规范行政行为。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实施执法队伍“强能计划”，开展行政执法专题培训，提升执法人员专业素养和规范化水平。深化“柔性执法”，扩大“首违不罚”适用范围，实现执法与服务并重。</w:t>
      </w:r>
    </w:p>
    <w:p w14:paraId="3FCC0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（三）建强法治队伍，完善治理体系。</w:t>
      </w:r>
      <w:r>
        <w:rPr>
          <w:rFonts w:hint="eastAsia" w:ascii="仿宋_GB2312" w:hAnsi="仿宋_GB2312" w:eastAsia="仿宋_GB2312" w:cs="仿宋_GB2312"/>
          <w:sz w:val="32"/>
          <w:szCs w:val="32"/>
        </w:rPr>
        <w:t>培育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名金牌调解员，打造特色调解品牌；吸纳律师、心理咨询师等专业力量参与矛盾化解，提升复杂纠纷处置能力。建立法治人才“老带新”传帮带机制，加强年轻骨干培养，优化法治队伍结构。</w:t>
      </w:r>
    </w:p>
    <w:p w14:paraId="37E94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六、其他需要报告的情况</w:t>
      </w:r>
    </w:p>
    <w:p w14:paraId="42B47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依托扎实的基层法治实践积淀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年街道综治中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心受邀参与区委政法委组织的全区综治系统业务培训工作，街道司法所所长、团山街社区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名优秀调解员以授课老师身份，围绕人民调解以案定补、矛盾纠纷多元化解等内容，为全区街镇社区综治工作人员开展专题培训和经验分享，将街道法治建设中的成熟经验与创新做法推广至全区，为提升区域基层法治治理整体效能贡献了团山智慧与力量。</w:t>
      </w:r>
    </w:p>
    <w:p w14:paraId="417B4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7403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BFEB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团山街道办事处</w:t>
      </w:r>
    </w:p>
    <w:p w14:paraId="61317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64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63F1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F669B4"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F669B4"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A8E2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6DF8EA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6DF8EA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60A68"/>
    <w:rsid w:val="364A585E"/>
    <w:rsid w:val="639A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2982</Words>
  <Characters>3086</Characters>
  <Lines>0</Lines>
  <Paragraphs>0</Paragraphs>
  <TotalTime>13</TotalTime>
  <ScaleCrop>false</ScaleCrop>
  <LinksUpToDate>false</LinksUpToDate>
  <CharactersWithSpaces>3087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2026-01-26T15:41:00Z</dcterms:created>
  <dc:creator>安海波</dc:creator>
  <cp:lastModifiedBy>安海波</cp:lastModifiedBy>
  <cp:lastPrinted>2026-01-27T14:50:00Z</cp:lastPrinted>
  <dcterms:modified xsi:type="dcterms:W3CDTF">2026-01-30T05:35:55Z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397E18BBA7EB4141B7F3A89DDFF8364D_13</vt:lpwstr>
  </property>
  <property fmtid="{D5CDD505-2E9C-101B-9397-08002B2CF9AE}" pid="4" name="KSOTemplateDocerSaveRecord">
    <vt:lpwstr>eyJoZGlkIjoiNmJkZThmMDNmOGQxMDJkNjc5ZTIwOTc5YzRkNjdhYWEiLCJ1c2VySWQiOiIxMjA1MDQ1MTE5In0=</vt:lpwstr>
  </property>
</Properties>
</file>