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宽城区柳影</w:t>
      </w:r>
      <w:r>
        <w:rPr>
          <w:rFonts w:hint="eastAsia" w:ascii="宋体" w:hAnsi="宋体" w:eastAsia="宋体" w:cs="宋体"/>
          <w:b/>
          <w:sz w:val="36"/>
          <w:szCs w:val="36"/>
        </w:rPr>
        <w:t>街道办事处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2019年度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政府信息公开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工作</w:t>
      </w:r>
      <w:r>
        <w:rPr>
          <w:rFonts w:hint="eastAsia" w:ascii="宋体" w:hAnsi="宋体" w:eastAsia="宋体" w:cs="宋体"/>
          <w:b/>
          <w:sz w:val="36"/>
          <w:szCs w:val="36"/>
        </w:rPr>
        <w:t>年度报告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after="0" w:line="560" w:lineRule="exact"/>
        <w:ind w:firstLine="600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根据《中华人民共和国政府信息公开条例》的文件精神，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eastAsia="zh-CN"/>
        </w:rPr>
        <w:t>柳影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街道认真梳理2019年开展政府信息公开工作情况，现将情况报告如下：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60" w:lineRule="exact"/>
        <w:rPr>
          <w:rFonts w:ascii="黑体" w:hAnsi="华文仿宋" w:eastAsia="黑体" w:cs="华文仿宋"/>
          <w:color w:val="000000"/>
          <w:sz w:val="32"/>
          <w:szCs w:val="32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>总体情况</w:t>
      </w:r>
    </w:p>
    <w:p>
      <w:pPr>
        <w:spacing w:after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2019年，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柳影</w:t>
      </w:r>
      <w:r>
        <w:rPr>
          <w:rFonts w:hint="eastAsia" w:ascii="仿宋_GB2312" w:hAnsi="宋体" w:eastAsia="仿宋_GB2312"/>
          <w:sz w:val="32"/>
          <w:szCs w:val="32"/>
        </w:rPr>
        <w:t>街道严格遵照《中华人民共和国政府信息公开条例》相关规定，紧紧围绕区政府工作部署，秉承全心全意服务于民、主动公开受民监督的态度加大信息公开力度，丰富公开内容。街道主要通过中国吉林网、和谐宽城、街道官方微信公众号等网络平台和吉林日报、长春日报等主流媒体的方式公开信息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2019年，我街的政府信息公开工作，主要是围绕以下三方面开展的：</w:t>
      </w:r>
    </w:p>
    <w:p>
      <w:pPr>
        <w:spacing w:after="0"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一是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加强组织领导。</w:t>
      </w:r>
      <w:r>
        <w:rPr>
          <w:rFonts w:hint="eastAsia" w:ascii="仿宋_GB2312" w:hAnsi="宋体" w:eastAsia="仿宋_GB2312"/>
          <w:sz w:val="32"/>
          <w:szCs w:val="32"/>
        </w:rPr>
        <w:t>政府信息公开工作涵盖了机关日常工作的诸多方面，为确保信息公开透明、准确、及时，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柳影</w:t>
      </w:r>
      <w:r>
        <w:rPr>
          <w:rFonts w:hint="eastAsia" w:ascii="仿宋_GB2312" w:hAnsi="宋体" w:eastAsia="仿宋_GB2312"/>
          <w:sz w:val="32"/>
          <w:szCs w:val="32"/>
        </w:rPr>
        <w:t>街道成立了以党工委副书记为组长，各科室负责人为组员，党政办文书为联络员的街道信息公开领导小组，加强内部沟通协调，保证政府信息公开的全面。</w:t>
      </w:r>
    </w:p>
    <w:p>
      <w:pPr>
        <w:spacing w:after="0"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二是突出公开重点。</w:t>
      </w:r>
      <w:r>
        <w:rPr>
          <w:rFonts w:hint="eastAsia" w:ascii="仿宋_GB2312" w:hAnsi="宋体" w:eastAsia="仿宋_GB2312"/>
          <w:sz w:val="32"/>
          <w:szCs w:val="32"/>
        </w:rPr>
        <w:t>围绕群众关心、社会关注的热点、难点问题，依法依规进一步拓宽了公开范围。加大政策公开力度。主动向社会公开群众迫切想要了解的就业、劳动保障、卫生服务等方面的政策，积极做好政策解读，增强了政策的执行力和公信力。</w:t>
      </w:r>
    </w:p>
    <w:p>
      <w:pPr>
        <w:spacing w:after="0"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三是拓宽公开渠道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围绕便民利民，想方设法把政府信息更便捷地公开给群众，街道采用“线上+线下”模式，线上以街道官方公众号、居民微信群等方式。线下采用</w:t>
      </w:r>
      <w:r>
        <w:rPr>
          <w:rFonts w:hint="eastAsia" w:ascii="仿宋" w:hAnsi="仿宋" w:eastAsia="仿宋" w:cs="仿宋"/>
          <w:sz w:val="32"/>
          <w:szCs w:val="32"/>
        </w:rPr>
        <w:t>公开栏、制作宣传单、便民服务手册、宣传展板的方式，大力度拓宽公开渠道，以便不同需求群体以最适合方式掌握急需信息。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公开的主要内容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2019年主动公开政府信息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629条。其中，社区公告栏发布156条；社区信息在网站上发布229条。我街政务公开的内容涵盖政策解读、工作实效、民生服务等方面。</w:t>
      </w:r>
    </w:p>
    <w:p>
      <w:pPr>
        <w:spacing w:after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560" w:lineRule="exact"/>
        <w:ind w:firstLine="600"/>
        <w:rPr>
          <w:rFonts w:ascii="黑体" w:hAnsi="华文仿宋" w:eastAsia="黑体" w:cs="华文仿宋"/>
          <w:color w:val="000000"/>
          <w:sz w:val="32"/>
          <w:szCs w:val="32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 xml:space="preserve">二、主动公开政府信息情况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235"/>
        <w:gridCol w:w="226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79" w:type="dxa"/>
            <w:gridSpan w:val="4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信息内容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本年新制作数量</w:t>
            </w: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本年新公开数量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规章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规范性文件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679" w:type="dxa"/>
            <w:gridSpan w:val="4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信息内容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上一年项目数量</w:t>
            </w: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本年增/减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行政许可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其他对外管理服务事项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679" w:type="dxa"/>
            <w:gridSpan w:val="4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信息内容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上一年项目数量</w:t>
            </w: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本年增/减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行政处罚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行政强制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9" w:type="dxa"/>
            <w:gridSpan w:val="4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信息内容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上一年项目数量</w:t>
            </w:r>
          </w:p>
        </w:tc>
        <w:tc>
          <w:tcPr>
            <w:tcW w:w="4500" w:type="dxa"/>
            <w:gridSpan w:val="2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行政事业性收费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22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9" w:type="dxa"/>
            <w:gridSpan w:val="4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信息内容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采购项目数量</w:t>
            </w:r>
          </w:p>
        </w:tc>
        <w:tc>
          <w:tcPr>
            <w:tcW w:w="4500" w:type="dxa"/>
            <w:gridSpan w:val="2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政府集中采购</w:t>
            </w:r>
          </w:p>
        </w:tc>
        <w:tc>
          <w:tcPr>
            <w:tcW w:w="22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4500" w:type="dxa"/>
            <w:gridSpan w:val="2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722</w:t>
            </w:r>
          </w:p>
        </w:tc>
      </w:tr>
    </w:tbl>
    <w:p>
      <w:pPr>
        <w:spacing w:after="0" w:line="560" w:lineRule="exact"/>
        <w:ind w:firstLine="643" w:firstLineChars="200"/>
        <w:rPr>
          <w:rFonts w:ascii="楷体_GB2312" w:hAnsi="华文仿宋" w:eastAsia="楷体_GB2312" w:cs="华文仿宋"/>
          <w:b/>
          <w:color w:val="000000"/>
          <w:sz w:val="32"/>
          <w:szCs w:val="32"/>
        </w:rPr>
      </w:pPr>
    </w:p>
    <w:p>
      <w:pPr>
        <w:spacing w:after="0" w:line="560" w:lineRule="exact"/>
        <w:ind w:firstLine="600"/>
        <w:rPr>
          <w:rFonts w:ascii="黑体" w:hAnsi="华文仿宋" w:eastAsia="黑体" w:cs="华文仿宋"/>
          <w:color w:val="000000"/>
          <w:sz w:val="32"/>
          <w:szCs w:val="32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 xml:space="preserve">三、收到和处理政府信息公开申请情况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40"/>
        <w:gridCol w:w="2985"/>
        <w:gridCol w:w="495"/>
        <w:gridCol w:w="735"/>
        <w:gridCol w:w="705"/>
        <w:gridCol w:w="960"/>
        <w:gridCol w:w="960"/>
        <w:gridCol w:w="465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560" w:type="dxa"/>
            <w:gridSpan w:val="3"/>
            <w:vMerge w:val="restart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（本列数据的勾稽关系为：第一项加第二项之和，等于第三项加第四项之和）</w:t>
            </w:r>
          </w:p>
        </w:tc>
        <w:tc>
          <w:tcPr>
            <w:tcW w:w="4830" w:type="dxa"/>
            <w:gridSpan w:val="7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560" w:type="dxa"/>
            <w:gridSpan w:val="3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95" w:type="dxa"/>
            <w:vMerge w:val="restart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自然人</w:t>
            </w:r>
          </w:p>
        </w:tc>
        <w:tc>
          <w:tcPr>
            <w:tcW w:w="3825" w:type="dxa"/>
            <w:gridSpan w:val="5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法人或其他组织</w:t>
            </w:r>
          </w:p>
        </w:tc>
        <w:tc>
          <w:tcPr>
            <w:tcW w:w="510" w:type="dxa"/>
            <w:vMerge w:val="restart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0" w:type="dxa"/>
            <w:gridSpan w:val="3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9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商业企业</w:t>
            </w: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科研机构</w:t>
            </w: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社会公益组织</w:t>
            </w: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法律服务机构</w:t>
            </w: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其他</w:t>
            </w:r>
          </w:p>
        </w:tc>
        <w:tc>
          <w:tcPr>
            <w:tcW w:w="51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0" w:type="dxa"/>
            <w:gridSpan w:val="3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一、本年新收政府信息公开申请数量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1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560" w:type="dxa"/>
            <w:gridSpan w:val="3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二、上年结转政府信息公开申请数量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restart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三、本年度办理结果</w:t>
            </w:r>
          </w:p>
        </w:tc>
        <w:tc>
          <w:tcPr>
            <w:tcW w:w="3825" w:type="dxa"/>
            <w:gridSpan w:val="2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（一）予以公开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825" w:type="dxa"/>
            <w:gridSpan w:val="2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（二）部分公开（区分处理的，只计这一情形，不计其他情形）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restart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（三）不予公开</w:t>
            </w: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1.属于国家秘密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2.其他法律行政法规禁止公开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3.危及“三安全一稳定”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4.保护第三方合法权益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5.属于三类内部事务信息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6.属于四类过程性信息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7.属于行政执法案卷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both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8.属于行政查询事项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restart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（四）无法提供</w:t>
            </w: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1.本机关不掌握相关政府信息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2.没有现成信息需要另行制作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3.补正后申请内容仍不明确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restart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（五）不予处理</w:t>
            </w: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1.信访举报投诉类申请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2.重复申请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restart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3.要求提供公开出版物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4.无正当理由大量反复申请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8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825" w:type="dxa"/>
            <w:gridSpan w:val="2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（六）其他处理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1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825" w:type="dxa"/>
            <w:gridSpan w:val="2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（七）总计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0" w:type="dxa"/>
            <w:gridSpan w:val="3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四、结转下年度继续办理</w:t>
            </w:r>
          </w:p>
        </w:tc>
        <w:tc>
          <w:tcPr>
            <w:tcW w:w="49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73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96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65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10" w:type="dxa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</w:tbl>
    <w:p>
      <w:pPr>
        <w:spacing w:after="0" w:line="560" w:lineRule="exact"/>
        <w:ind w:firstLine="600"/>
        <w:rPr>
          <w:rFonts w:ascii="黑体" w:hAnsi="华文仿宋" w:eastAsia="黑体" w:cs="华文仿宋"/>
          <w:color w:val="000000"/>
          <w:sz w:val="32"/>
          <w:szCs w:val="32"/>
        </w:rPr>
      </w:pPr>
    </w:p>
    <w:p>
      <w:pPr>
        <w:spacing w:after="0" w:line="560" w:lineRule="exact"/>
        <w:ind w:firstLine="600"/>
        <w:rPr>
          <w:rFonts w:ascii="黑体" w:hAnsi="华文仿宋" w:eastAsia="黑体" w:cs="华文仿宋"/>
          <w:color w:val="000000"/>
          <w:sz w:val="32"/>
          <w:szCs w:val="32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 xml:space="preserve">四、行政复议、诉讼和举报投诉情况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576"/>
        <w:gridCol w:w="581"/>
        <w:gridCol w:w="576"/>
        <w:gridCol w:w="576"/>
        <w:gridCol w:w="576"/>
        <w:gridCol w:w="577"/>
        <w:gridCol w:w="579"/>
        <w:gridCol w:w="569"/>
        <w:gridCol w:w="565"/>
        <w:gridCol w:w="551"/>
        <w:gridCol w:w="542"/>
        <w:gridCol w:w="52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85" w:type="dxa"/>
            <w:gridSpan w:val="5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行政复议</w:t>
            </w:r>
          </w:p>
        </w:tc>
        <w:tc>
          <w:tcPr>
            <w:tcW w:w="5639" w:type="dxa"/>
            <w:gridSpan w:val="11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jc w:val="center"/>
        </w:trPr>
        <w:tc>
          <w:tcPr>
            <w:tcW w:w="576" w:type="dxa"/>
            <w:vMerge w:val="restart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576" w:type="dxa"/>
            <w:vMerge w:val="restart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76" w:type="dxa"/>
            <w:vMerge w:val="restart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76" w:type="dxa"/>
            <w:vMerge w:val="restart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576" w:type="dxa"/>
            <w:vMerge w:val="restart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2884" w:type="dxa"/>
            <w:gridSpan w:val="5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未经复议直接起诉</w:t>
            </w:r>
          </w:p>
        </w:tc>
        <w:tc>
          <w:tcPr>
            <w:tcW w:w="2753" w:type="dxa"/>
            <w:gridSpan w:val="5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jc w:val="center"/>
        </w:trPr>
        <w:tc>
          <w:tcPr>
            <w:tcW w:w="576" w:type="dxa"/>
            <w:vMerge w:val="continue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76" w:type="dxa"/>
            <w:vMerge w:val="continue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76" w:type="dxa"/>
            <w:vMerge w:val="continue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76" w:type="dxa"/>
            <w:vMerge w:val="continue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76" w:type="dxa"/>
            <w:vMerge w:val="continue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77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577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569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565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51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42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52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jc w:val="center"/>
        </w:trPr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7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77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77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69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65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51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42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526" w:type="dxa"/>
          </w:tcPr>
          <w:p>
            <w:pPr>
              <w:autoSpaceDN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EFEFE"/>
              </w:rPr>
              <w:t>0</w:t>
            </w:r>
          </w:p>
        </w:tc>
      </w:tr>
    </w:tbl>
    <w:p>
      <w:pPr>
        <w:spacing w:after="0" w:line="560" w:lineRule="exact"/>
        <w:rPr>
          <w:rFonts w:ascii="黑体" w:hAnsi="宋体" w:eastAsia="黑体"/>
          <w:b/>
          <w:bCs/>
          <w:sz w:val="32"/>
          <w:szCs w:val="32"/>
        </w:rPr>
      </w:pPr>
    </w:p>
    <w:p>
      <w:pPr>
        <w:spacing w:after="0" w:line="560" w:lineRule="exact"/>
        <w:ind w:firstLine="600"/>
        <w:rPr>
          <w:rFonts w:ascii="黑体" w:hAnsi="华文仿宋" w:eastAsia="黑体" w:cs="华文仿宋"/>
          <w:color w:val="000000"/>
          <w:sz w:val="32"/>
          <w:szCs w:val="32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>五、政府信息公开的改进工作</w:t>
      </w:r>
    </w:p>
    <w:p>
      <w:pPr>
        <w:spacing w:after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从总体上看，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柳影</w:t>
      </w:r>
      <w:r>
        <w:rPr>
          <w:rFonts w:hint="eastAsia" w:ascii="仿宋_GB2312" w:hAnsi="宋体" w:eastAsia="仿宋_GB2312"/>
          <w:sz w:val="32"/>
          <w:szCs w:val="32"/>
        </w:rPr>
        <w:t>街道信息公开工作均按照区信息公开有关要求有序开展，有了较大的进步，但与区政府要求和广大公众的需求相比还存在一定的差距。特别是公开信息不够全面、公开渠道单一等问题。2020年，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柳影</w:t>
      </w:r>
      <w:r>
        <w:rPr>
          <w:rFonts w:hint="eastAsia" w:ascii="仿宋_GB2312" w:hAnsi="宋体" w:eastAsia="仿宋_GB2312"/>
          <w:sz w:val="32"/>
          <w:szCs w:val="32"/>
        </w:rPr>
        <w:t>街道将针对去年存在的问题与不足，进一步拓宽公开渠道，加强监督检查，创新政务信息公开途径，做好街道信息公开工作。</w:t>
      </w:r>
    </w:p>
    <w:p>
      <w:pPr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宽城区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柳影</w:t>
      </w:r>
      <w:r>
        <w:rPr>
          <w:rFonts w:hint="eastAsia" w:ascii="仿宋_GB2312" w:hAnsi="宋体" w:eastAsia="仿宋_GB2312"/>
          <w:sz w:val="32"/>
          <w:szCs w:val="32"/>
        </w:rPr>
        <w:t>街道办事处</w:t>
      </w:r>
    </w:p>
    <w:p>
      <w:pPr>
        <w:spacing w:after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20年2月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220" w:lineRule="atLeast"/>
      </w:pPr>
    </w:p>
    <w:sectPr>
      <w:pgSz w:w="12240" w:h="15840"/>
      <w:pgMar w:top="1418" w:right="1418" w:bottom="1418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265615"/>
    <w:multiLevelType w:val="multilevel"/>
    <w:tmpl w:val="60265615"/>
    <w:lvl w:ilvl="0" w:tentative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603C"/>
    <w:rsid w:val="0027004E"/>
    <w:rsid w:val="00296C2A"/>
    <w:rsid w:val="00323B43"/>
    <w:rsid w:val="0032633C"/>
    <w:rsid w:val="003D37D8"/>
    <w:rsid w:val="00426133"/>
    <w:rsid w:val="004358AB"/>
    <w:rsid w:val="00443DF6"/>
    <w:rsid w:val="004A27F2"/>
    <w:rsid w:val="00744CA6"/>
    <w:rsid w:val="008870BB"/>
    <w:rsid w:val="008B7726"/>
    <w:rsid w:val="008D2A48"/>
    <w:rsid w:val="00A14C7A"/>
    <w:rsid w:val="00BC508D"/>
    <w:rsid w:val="00C13EEA"/>
    <w:rsid w:val="00C66781"/>
    <w:rsid w:val="00D31D50"/>
    <w:rsid w:val="00D35900"/>
    <w:rsid w:val="00DC2BFC"/>
    <w:rsid w:val="00E0567D"/>
    <w:rsid w:val="00E359D7"/>
    <w:rsid w:val="00E3632E"/>
    <w:rsid w:val="00F130D3"/>
    <w:rsid w:val="07142F5E"/>
    <w:rsid w:val="0EAE51A9"/>
    <w:rsid w:val="112E02E0"/>
    <w:rsid w:val="17DF5F14"/>
    <w:rsid w:val="19D208AA"/>
    <w:rsid w:val="21285918"/>
    <w:rsid w:val="34F62235"/>
    <w:rsid w:val="38CD09AF"/>
    <w:rsid w:val="3F913E02"/>
    <w:rsid w:val="488B5E71"/>
    <w:rsid w:val="5CCB1460"/>
    <w:rsid w:val="60432C25"/>
    <w:rsid w:val="650F7889"/>
    <w:rsid w:val="698F097C"/>
    <w:rsid w:val="6A051177"/>
    <w:rsid w:val="728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302</Words>
  <Characters>1728</Characters>
  <Lines>14</Lines>
  <Paragraphs>4</Paragraphs>
  <TotalTime>1</TotalTime>
  <ScaleCrop>false</ScaleCrop>
  <LinksUpToDate>false</LinksUpToDate>
  <CharactersWithSpaces>2026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2020-02-25T03:59:00Z</cp:lastPrinted>
  <dcterms:modified xsi:type="dcterms:W3CDTF">2021-04-04T23:27:52Z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9C3B79E8A5CF482D855DB52127FFD64D</vt:lpwstr>
  </property>
</Properties>
</file>