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Calibri" w:eastAsia="宋体" w:cs="宋体"/>
          <w:b/>
          <w:bCs/>
          <w:color w:val="333333"/>
          <w:kern w:val="0"/>
          <w:sz w:val="36"/>
          <w:szCs w:val="36"/>
          <w:lang w:val="en-US" w:eastAsia="zh-CN" w:bidi="ar-SA"/>
        </w:rPr>
        <w:t>文化旅游</w:t>
      </w:r>
      <w:r>
        <w:rPr>
          <w:rFonts w:hint="eastAsia" w:cs="宋体"/>
          <w:b/>
          <w:bCs/>
          <w:color w:val="333333"/>
          <w:kern w:val="0"/>
          <w:sz w:val="36"/>
          <w:szCs w:val="36"/>
          <w:lang w:val="en-US" w:eastAsia="zh-CN" w:bidi="ar-SA"/>
        </w:rPr>
        <w:t>和体育</w:t>
      </w:r>
      <w:r>
        <w:rPr>
          <w:rFonts w:hint="eastAsia" w:ascii="宋体" w:hAnsi="Calibri" w:eastAsia="宋体" w:cs="宋体"/>
          <w:b/>
          <w:bCs/>
          <w:color w:val="333333"/>
          <w:kern w:val="0"/>
          <w:sz w:val="36"/>
          <w:szCs w:val="36"/>
          <w:lang w:val="en-US" w:eastAsia="zh-CN" w:bidi="ar-SA"/>
        </w:rPr>
        <w:t>局</w:t>
      </w:r>
      <w:r>
        <w:rPr>
          <w:rFonts w:hint="eastAsia" w:cs="宋体"/>
          <w:b/>
          <w:bCs/>
          <w:color w:val="333333"/>
          <w:kern w:val="0"/>
          <w:sz w:val="36"/>
          <w:szCs w:val="36"/>
          <w:lang w:val="en-US" w:eastAsia="zh-CN" w:bidi="ar-SA"/>
        </w:rPr>
        <w:t>2020</w:t>
      </w:r>
      <w:r>
        <w:rPr>
          <w:rFonts w:hint="eastAsia" w:ascii="宋体" w:hAnsi="Calibri" w:eastAsia="宋体" w:cs="宋体"/>
          <w:b/>
          <w:bCs/>
          <w:color w:val="333333"/>
          <w:kern w:val="0"/>
          <w:sz w:val="36"/>
          <w:szCs w:val="36"/>
          <w:lang w:val="en-US" w:eastAsia="zh-CN" w:bidi="ar-SA"/>
        </w:rPr>
        <w:t>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/>
        <w:contextualSpacing/>
        <w:textAlignment w:val="auto"/>
        <w:rPr>
          <w:rFonts w:hint="eastAsia" w:ascii="宋体" w:hAnsi="宋体" w:cs="Arial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全力推进重点领域信息公开。把政府信息公开纳入政府工作基本规则，严格遵循应公开尽公开原则，努力推动重大决策公开常态化。对规范性文件进行全方</w:t>
      </w:r>
      <w:bookmarkStart w:id="0" w:name="_GoBack"/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位清理；推进民生领域信息公开，及时公开资金使用、环境保护、公共文化、公</w:t>
      </w:r>
      <w:bookmarkEnd w:id="0"/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益事业等等社会高度关注、涉及群众切身利益的民生领域信息，便于社会知晓。全方位公布政府采购类信息，在门户网站上设立公开招标、中标公告、竞争性谈判栏目，及时、主动公布各类采购信息。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净月高新区文化旅游和体育局建立了“主要领导挂帅、分管领导具体抓、责任到部门”的工作机制，充分贯彻执行《长春净月开发区政府信息公开工作考核办法》、《长春净月开发区政府信息公开保密审查制度》、《长春净月开发区政府信息发布协调办法》、《长春净月开发区政府信息清理工作办法》、《长春净月开发区澄清虚假或不完整信息工作办法》、《长春净月开发区依申请公开政府信息管理办法》等制度，不断完善政府信息主动公开目录，确保政务公开工作制度化、规范化。同时，依照《中华人民共和国保守国家秘密法》以及其他法律、法规和国家有关规定，对拟公开的政府信息进行审查，确保公开准确，不泄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规章：地方行政规章指各省、自治区、直辖市的人民政府和省、自治区的人民政府所在地的市以及设区市的人民政府根据宪法、法律和行政法规等制定和发布的规范性文件。规章的名称一般称“规定”、“办法”，但不得称“条例”。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：是指各级人民政府及其派出机关、县级以上人民政府所属工作部门和法律、法规授权的具有管理公共事务职能的组织，在法定职权范围内依照法定程序制定、发布的针对不特定的多数人和特定事项，涉及或者影响公民、法人或者其他组织权利义务，在本行政区域或其管理范围内具有普遍约束力，能够反复适用的行政措施、决定、命令或者指示等行政规范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+4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3770000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0"/>
        <w:gridCol w:w="820"/>
        <w:gridCol w:w="755"/>
        <w:gridCol w:w="755"/>
        <w:gridCol w:w="813"/>
        <w:gridCol w:w="973"/>
        <w:gridCol w:w="712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：指2019办理总数+2018年未办结数（跨年办理数）=2019办结数+2019未结数（跨年办理数）</w:t>
            </w:r>
          </w:p>
        </w:tc>
        <w:tc>
          <w:tcPr>
            <w:tcW w:w="55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（建议咨询本级司法（法制）局或本单位政策法规部门填报）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宋体" w:cs="宋体"/>
          <w:color w:val="333333"/>
          <w:kern w:val="0"/>
          <w:sz w:val="24"/>
          <w:szCs w:val="24"/>
        </w:rPr>
      </w:pPr>
      <w:r>
        <w:rPr>
          <w:rFonts w:hint="eastAsia" w:ascii="宋体" w:cs="宋体"/>
          <w:color w:val="333333"/>
          <w:kern w:val="0"/>
          <w:sz w:val="24"/>
          <w:szCs w:val="24"/>
        </w:rPr>
        <w:t>从</w:t>
      </w:r>
      <w:r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  <w:t>2020</w:t>
      </w:r>
      <w:r>
        <w:rPr>
          <w:rFonts w:hint="eastAsia" w:ascii="宋体" w:cs="宋体"/>
          <w:color w:val="333333"/>
          <w:kern w:val="0"/>
          <w:sz w:val="24"/>
          <w:szCs w:val="24"/>
        </w:rPr>
        <w:t>年政府信息公开工作的实际情况看，我部门对政府信息公开的认识和重视还有待提高，尤其是主动公开政府信息的工作力度需要进一步加强。202</w:t>
      </w:r>
      <w:r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color w:val="333333"/>
          <w:kern w:val="0"/>
          <w:sz w:val="24"/>
          <w:szCs w:val="24"/>
        </w:rPr>
        <w:t>年，</w:t>
      </w:r>
      <w:r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  <w:t>文化旅游和体育</w:t>
      </w:r>
      <w:r>
        <w:rPr>
          <w:rFonts w:hint="eastAsia" w:ascii="宋体" w:cs="宋体"/>
          <w:color w:val="333333"/>
          <w:kern w:val="0"/>
          <w:sz w:val="24"/>
          <w:szCs w:val="24"/>
        </w:rPr>
        <w:t>局将继续提高负责人和工作人员对政府信息公开的认识，提升工作人员的能力和业务水平，强化主动公开的工作力度，确保政府信息及时、主动公开，保障群众知情权。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  <w:t>2020年净月高新区文化旅游局没有其他需要报告的事项。</w:t>
      </w:r>
    </w:p>
    <w:p>
      <w:pPr>
        <w:widowControl/>
        <w:shd w:val="clear" w:color="auto" w:fill="FFFFFF"/>
        <w:ind w:firstLine="480"/>
        <w:jc w:val="right"/>
        <w:rPr>
          <w:rFonts w:hint="eastAsia"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jc w:val="right"/>
        <w:rPr>
          <w:rFonts w:hint="eastAsia"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jc w:val="right"/>
        <w:rPr>
          <w:rFonts w:hint="eastAsia"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jc w:val="right"/>
        <w:rPr>
          <w:rFonts w:hint="eastAsia"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jc w:val="right"/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  <w:t>文化旅游和体育局</w:t>
      </w:r>
    </w:p>
    <w:p>
      <w:pPr>
        <w:widowControl/>
        <w:shd w:val="clear" w:color="auto" w:fill="FFFFFF"/>
        <w:ind w:firstLine="480"/>
        <w:jc w:val="right"/>
        <w:rPr>
          <w:rFonts w:hint="default" w:asci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333333"/>
          <w:kern w:val="0"/>
          <w:sz w:val="24"/>
          <w:szCs w:val="24"/>
          <w:lang w:val="en-US" w:eastAsia="zh-CN"/>
        </w:rPr>
        <w:t>2021年2月5日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62D83"/>
    <w:multiLevelType w:val="singleLevel"/>
    <w:tmpl w:val="49862D8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74E1"/>
    <w:rsid w:val="080706D0"/>
    <w:rsid w:val="0B9A1CD7"/>
    <w:rsid w:val="20934E4C"/>
    <w:rsid w:val="3DB842F6"/>
    <w:rsid w:val="3EC074E1"/>
    <w:rsid w:val="4629403F"/>
    <w:rsid w:val="4A447BF3"/>
    <w:rsid w:val="57E0794E"/>
    <w:rsid w:val="63A10E1B"/>
    <w:rsid w:val="7169251F"/>
    <w:rsid w:val="717D3E17"/>
    <w:rsid w:val="798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2019-11-29T01:56:00Z</dcterms:created>
  <dc:creator>酌酒当哥:D档</dc:creator>
  <cp:lastModifiedBy>hp</cp:lastModifiedBy>
  <dcterms:modified xsi:type="dcterms:W3CDTF">2021-02-10T08:22:24Z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4EB0C193F3BC42A89EEEA9198B0DDD2E</vt:lpwstr>
  </property>
</Properties>
</file>