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D7EB" w14:textId="5BCC9443" w:rsidR="005103E3" w:rsidRPr="00AF2DF6" w:rsidRDefault="00AF2DF6">
      <w:pPr>
        <w:spacing w:line="576" w:lineRule="exact"/>
        <w:rPr>
          <w:rFonts w:ascii="黑体" w:eastAsia="黑体" w:hAnsi="黑体" w:cs="Times New Roman" w:hint="eastAsia"/>
          <w:sz w:val="28"/>
          <w:szCs w:val="28"/>
        </w:rPr>
      </w:pPr>
      <w:r w:rsidRPr="00AF2DF6">
        <w:rPr>
          <w:rFonts w:ascii="黑体" w:eastAsia="黑体" w:hAnsi="黑体" w:cs="Times New Roman" w:hint="eastAsia"/>
          <w:sz w:val="28"/>
          <w:szCs w:val="28"/>
        </w:rPr>
        <w:t>附件4</w:t>
      </w:r>
    </w:p>
    <w:p w14:paraId="6193B935" w14:textId="77777777" w:rsidR="00AF2DF6" w:rsidRDefault="00AF2DF6">
      <w:pPr>
        <w:spacing w:line="576" w:lineRule="exact"/>
        <w:rPr>
          <w:rFonts w:ascii="Times New Roman" w:hAnsi="Times New Roman" w:cs="Times New Roman"/>
          <w:sz w:val="44"/>
          <w:szCs w:val="44"/>
        </w:rPr>
      </w:pPr>
    </w:p>
    <w:p w14:paraId="1B872312" w14:textId="77777777" w:rsidR="005103E3" w:rsidRDefault="00000000">
      <w:pPr>
        <w:snapToGrid w:val="0"/>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吉林省</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产业教授</w:t>
      </w:r>
      <w:r>
        <w:rPr>
          <w:rFonts w:ascii="Times New Roman" w:eastAsia="方正小标宋简体" w:hAnsi="Times New Roman" w:cs="Times New Roman"/>
          <w:sz w:val="44"/>
          <w:szCs w:val="44"/>
        </w:rPr>
        <w:t>”</w:t>
      </w:r>
      <w:bookmarkStart w:id="0" w:name="_Hlk181880758"/>
      <w:r>
        <w:rPr>
          <w:rFonts w:ascii="Times New Roman" w:eastAsia="方正小标宋简体" w:hAnsi="Times New Roman" w:cs="Times New Roman"/>
          <w:sz w:val="44"/>
          <w:szCs w:val="44"/>
        </w:rPr>
        <w:t>助力教育科技人才产业</w:t>
      </w:r>
    </w:p>
    <w:p w14:paraId="2A593512" w14:textId="77777777" w:rsidR="005103E3" w:rsidRDefault="00000000">
      <w:pPr>
        <w:snapToGrid w:val="0"/>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一体化发展</w:t>
      </w:r>
      <w:bookmarkEnd w:id="0"/>
      <w:r>
        <w:rPr>
          <w:rFonts w:ascii="Times New Roman" w:eastAsia="方正小标宋简体" w:hAnsi="Times New Roman" w:cs="Times New Roman"/>
          <w:sz w:val="44"/>
          <w:szCs w:val="44"/>
        </w:rPr>
        <w:t>三年行动方案（</w:t>
      </w:r>
      <w:r>
        <w:rPr>
          <w:rFonts w:ascii="Times New Roman" w:eastAsia="方正小标宋简体" w:hAnsi="Times New Roman" w:cs="Times New Roman"/>
          <w:sz w:val="44"/>
          <w:szCs w:val="44"/>
        </w:rPr>
        <w:t>2025—2027</w:t>
      </w:r>
      <w:r>
        <w:rPr>
          <w:rFonts w:ascii="Times New Roman" w:eastAsia="方正小标宋简体" w:hAnsi="Times New Roman" w:cs="Times New Roman"/>
          <w:sz w:val="44"/>
          <w:szCs w:val="44"/>
        </w:rPr>
        <w:t>年）</w:t>
      </w:r>
    </w:p>
    <w:p w14:paraId="3B55AA9D" w14:textId="77777777" w:rsidR="005103E3" w:rsidRDefault="005103E3">
      <w:pPr>
        <w:snapToGrid w:val="0"/>
        <w:spacing w:line="576" w:lineRule="exact"/>
        <w:ind w:firstLineChars="200" w:firstLine="880"/>
        <w:rPr>
          <w:rFonts w:ascii="Times New Roman" w:eastAsia="黑体" w:hAnsi="Times New Roman" w:cs="Times New Roman"/>
          <w:sz w:val="44"/>
          <w:szCs w:val="44"/>
        </w:rPr>
      </w:pPr>
    </w:p>
    <w:p w14:paraId="607F0FEA"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为统筹推进教育科技人才产业一体化发展，促进产业</w:t>
      </w:r>
      <w:proofErr w:type="gramStart"/>
      <w:r w:rsidRPr="0000273F">
        <w:rPr>
          <w:rFonts w:ascii="仿宋" w:eastAsia="仿宋" w:hAnsi="仿宋" w:cs="Times New Roman"/>
          <w:sz w:val="32"/>
          <w:szCs w:val="32"/>
        </w:rPr>
        <w:t>链创新链资金链人才链有效</w:t>
      </w:r>
      <w:proofErr w:type="gramEnd"/>
      <w:r w:rsidRPr="0000273F">
        <w:rPr>
          <w:rFonts w:ascii="仿宋" w:eastAsia="仿宋" w:hAnsi="仿宋" w:cs="Times New Roman"/>
          <w:sz w:val="32"/>
          <w:szCs w:val="32"/>
        </w:rPr>
        <w:t>衔接，推动科技创新与产业创新深度融合，全力破解人才供给与产业发展需求不匹配的问题，进一步拓宽高校院所与企业人才交流通道，制定本方案。</w:t>
      </w:r>
    </w:p>
    <w:p w14:paraId="05927DC5" w14:textId="77777777" w:rsidR="005103E3" w:rsidRPr="0000273F" w:rsidRDefault="00000000" w:rsidP="0000273F">
      <w:pPr>
        <w:adjustRightInd w:val="0"/>
        <w:snapToGrid w:val="0"/>
        <w:spacing w:line="576" w:lineRule="exact"/>
        <w:ind w:firstLineChars="200" w:firstLine="640"/>
        <w:rPr>
          <w:rFonts w:ascii="黑体" w:eastAsia="黑体" w:hAnsi="黑体" w:cs="Times New Roman" w:hint="eastAsia"/>
          <w:sz w:val="32"/>
          <w:szCs w:val="32"/>
        </w:rPr>
      </w:pPr>
      <w:r w:rsidRPr="0000273F">
        <w:rPr>
          <w:rFonts w:ascii="黑体" w:eastAsia="黑体" w:hAnsi="黑体" w:cs="Times New Roman"/>
          <w:sz w:val="32"/>
          <w:szCs w:val="32"/>
        </w:rPr>
        <w:t>一、重点任务</w:t>
      </w:r>
    </w:p>
    <w:p w14:paraId="5FEFA869"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2025年—2027年，每年从省内企业选派50名左右科技创新能力突出、了解和熟悉产业发展趋势的企业高级人才，入驻省内高校院所兼任2年“产业教授”，推动高校科研院所人才培养适配产业发展技术需求。三年内拟在高校院所开展产业讲座500期，为在校学生提供实习岗位3000人次，搭建产学研合作平台100个以上。</w:t>
      </w:r>
    </w:p>
    <w:p w14:paraId="081CA6AE" w14:textId="77777777" w:rsidR="005103E3" w:rsidRPr="0000273F" w:rsidRDefault="00000000" w:rsidP="0000273F">
      <w:pPr>
        <w:widowControl/>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（一）“产业教授”：在高校院所开展相应的讲座（课程），介绍相关产业发展需求和人才需求，深度参与高校院所优化调整学科专业及课程设置，推动建立</w:t>
      </w:r>
      <w:proofErr w:type="gramStart"/>
      <w:r w:rsidRPr="0000273F">
        <w:rPr>
          <w:rFonts w:ascii="仿宋" w:eastAsia="仿宋" w:hAnsi="仿宋" w:cs="Times New Roman"/>
          <w:sz w:val="32"/>
          <w:szCs w:val="32"/>
        </w:rPr>
        <w:t>校企共育人</w:t>
      </w:r>
      <w:proofErr w:type="gramEnd"/>
      <w:r w:rsidRPr="0000273F">
        <w:rPr>
          <w:rFonts w:ascii="仿宋" w:eastAsia="仿宋" w:hAnsi="仿宋" w:cs="Times New Roman"/>
          <w:sz w:val="32"/>
          <w:szCs w:val="32"/>
        </w:rPr>
        <w:t>才机制，推动所在企业与高校院所联合开展项目申报、技术研发、成果转化，不断提升高校院所人才培养与产业发展需求的适配度。</w:t>
      </w:r>
    </w:p>
    <w:p w14:paraId="4E330F37"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（二）高校院所：为“产业教授”提供授课平台与教学条件，充分吸纳企业与“产业教授”意见建议，优化完善学科专</w:t>
      </w:r>
      <w:r w:rsidRPr="0000273F">
        <w:rPr>
          <w:rFonts w:ascii="仿宋" w:eastAsia="仿宋" w:hAnsi="仿宋" w:cs="Times New Roman"/>
          <w:sz w:val="32"/>
          <w:szCs w:val="32"/>
        </w:rPr>
        <w:lastRenderedPageBreak/>
        <w:t>业及课程设置，与企业共建研发平台、实验室，建立产学研协同机制，联合开展产品研发、成果转化、人才培养、技术培训等工作，安排学生到企业实习、锻炼。</w:t>
      </w:r>
    </w:p>
    <w:p w14:paraId="17DB9F0E"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三）“产业教授”所在企业：积极引入高校、科研院所的创新资源，以企业为主体联合建立研发平台、实验室，建立学生实习平台，吸纳学生到企业开展专业实习、毕业设计、创新创业等教学实践活动，提高科技创新和科技成果转化能力，推动创新成果加快转化为现实生产力。</w:t>
      </w:r>
    </w:p>
    <w:p w14:paraId="5F71890B" w14:textId="77777777" w:rsidR="005103E3" w:rsidRPr="0000273F" w:rsidRDefault="00000000" w:rsidP="0000273F">
      <w:pPr>
        <w:adjustRightInd w:val="0"/>
        <w:snapToGrid w:val="0"/>
        <w:spacing w:line="576" w:lineRule="exact"/>
        <w:ind w:firstLineChars="200" w:firstLine="640"/>
        <w:rPr>
          <w:rFonts w:ascii="黑体" w:eastAsia="黑体" w:hAnsi="黑体" w:cs="Times New Roman" w:hint="eastAsia"/>
          <w:sz w:val="32"/>
          <w:szCs w:val="32"/>
        </w:rPr>
      </w:pPr>
      <w:r w:rsidRPr="0000273F">
        <w:rPr>
          <w:rFonts w:ascii="黑体" w:eastAsia="黑体" w:hAnsi="黑体" w:cs="Times New Roman"/>
          <w:sz w:val="32"/>
          <w:szCs w:val="32"/>
        </w:rPr>
        <w:t>二、申报条件</w:t>
      </w:r>
    </w:p>
    <w:p w14:paraId="21A3443D" w14:textId="77777777" w:rsidR="005103E3" w:rsidRPr="0000273F" w:rsidRDefault="00000000" w:rsidP="0000273F">
      <w:pPr>
        <w:adjustRightInd w:val="0"/>
        <w:snapToGrid w:val="0"/>
        <w:spacing w:line="576" w:lineRule="exact"/>
        <w:ind w:firstLineChars="200" w:firstLine="640"/>
        <w:rPr>
          <w:rFonts w:ascii="楷体" w:eastAsia="楷体" w:hAnsi="楷体" w:cs="Times New Roman" w:hint="eastAsia"/>
          <w:sz w:val="32"/>
          <w:szCs w:val="32"/>
        </w:rPr>
      </w:pPr>
      <w:r w:rsidRPr="0000273F">
        <w:rPr>
          <w:rFonts w:ascii="楷体" w:eastAsia="楷体" w:hAnsi="楷体" w:cs="Times New Roman"/>
          <w:sz w:val="32"/>
          <w:szCs w:val="32"/>
        </w:rPr>
        <w:t>（一）“产业教授”</w:t>
      </w:r>
    </w:p>
    <w:p w14:paraId="0F7D9874"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1. 拥护中国共产党的领导和中国特色社会主义制度，爱国奉献，遵纪守法，品行端正，诚实守信，有良好的职业道德和敬业精神，热心关注教育事业、人才培养和科技成果转化；</w:t>
      </w:r>
    </w:p>
    <w:p w14:paraId="604E47C5"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2. 在相关企业工作5年以上，具备技术创新能力或企业管理能力。在围绕支撑高新技术产业、战略性新兴产业、先进制造业方面，重点支持新能源、新能源汽车、新材料、新一代信息技术、现代农业、节能环保、生物医药、冰雪装备、先进制造、数字经济等与我省产业息息相关领域的企业担任副总经理以上职务或具有副高级以上技术职称或在业内有显著影响力的企业人才中选定；</w:t>
      </w:r>
    </w:p>
    <w:p w14:paraId="36244229"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3. 选派后可在“产业教授”岗位工作两年，每年为选派的高校院所开展讲座（课程）、指导学生实习累计不少于30学时。</w:t>
      </w:r>
    </w:p>
    <w:p w14:paraId="280AE075" w14:textId="77777777" w:rsidR="005103E3" w:rsidRPr="0000273F" w:rsidRDefault="00000000" w:rsidP="0000273F">
      <w:pPr>
        <w:adjustRightInd w:val="0"/>
        <w:snapToGrid w:val="0"/>
        <w:spacing w:line="576" w:lineRule="exact"/>
        <w:ind w:firstLineChars="200" w:firstLine="640"/>
        <w:rPr>
          <w:rFonts w:ascii="楷体" w:eastAsia="楷体" w:hAnsi="楷体" w:cs="Times New Roman" w:hint="eastAsia"/>
          <w:sz w:val="32"/>
          <w:szCs w:val="32"/>
        </w:rPr>
      </w:pPr>
      <w:r w:rsidRPr="0000273F">
        <w:rPr>
          <w:rFonts w:ascii="楷体" w:eastAsia="楷体" w:hAnsi="楷体" w:cs="Times New Roman"/>
          <w:sz w:val="32"/>
          <w:szCs w:val="32"/>
        </w:rPr>
        <w:lastRenderedPageBreak/>
        <w:t>（二）企业</w:t>
      </w:r>
    </w:p>
    <w:p w14:paraId="4451BFDF"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1. “产业教授”所在企业需成立3年以上，经营状况良好，重视研发投入，具有提供与高校院所共建研发平台配套经费投入能力，能为“产业教授”派驻的高校院所学生提供实习岗位、就业机会；</w:t>
      </w:r>
    </w:p>
    <w:p w14:paraId="0F3A9FE9"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2. 优先支持上市企业、高新技术企业、独角兽企业、专精特新企业及设有企业重点实验室、博士后科研工作站、院士（专家）工作站、科学家工作室、技术创新中心、企业技术中心或工程研究中心等平台的优秀企业推荐“产业教授”；</w:t>
      </w:r>
    </w:p>
    <w:p w14:paraId="57157593"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3. 鼓励与支持科技人员到高校院所兼任“产业教授”。</w:t>
      </w:r>
    </w:p>
    <w:p w14:paraId="6D4C70A0" w14:textId="77777777" w:rsidR="005103E3" w:rsidRPr="0000273F" w:rsidRDefault="00000000" w:rsidP="0000273F">
      <w:pPr>
        <w:adjustRightInd w:val="0"/>
        <w:snapToGrid w:val="0"/>
        <w:spacing w:line="576" w:lineRule="exact"/>
        <w:ind w:firstLineChars="200" w:firstLine="640"/>
        <w:rPr>
          <w:rFonts w:ascii="楷体" w:eastAsia="楷体" w:hAnsi="楷体" w:cs="Times New Roman" w:hint="eastAsia"/>
          <w:sz w:val="32"/>
          <w:szCs w:val="32"/>
        </w:rPr>
      </w:pPr>
      <w:r w:rsidRPr="0000273F">
        <w:rPr>
          <w:rFonts w:ascii="楷体" w:eastAsia="楷体" w:hAnsi="楷体" w:cs="Times New Roman"/>
          <w:sz w:val="32"/>
          <w:szCs w:val="32"/>
        </w:rPr>
        <w:t>（三）高校院所</w:t>
      </w:r>
    </w:p>
    <w:p w14:paraId="28899D5E"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1. 省内具有独立法人资格的高等院校、科研院所；</w:t>
      </w:r>
    </w:p>
    <w:p w14:paraId="4266E0B6"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2. 能为派驻的“产业教授”提供教学安排，推荐学生到“产业教授”所在企业实习、就业；</w:t>
      </w:r>
    </w:p>
    <w:p w14:paraId="7FC77D7B"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3. 在人才培养、学科建设、课程设置、教学改革等方面能充分参考产业发展需求和企业的相关意见建议。</w:t>
      </w:r>
    </w:p>
    <w:p w14:paraId="2325CFF2" w14:textId="77777777" w:rsidR="005103E3" w:rsidRPr="0000273F" w:rsidRDefault="00000000" w:rsidP="0000273F">
      <w:pPr>
        <w:adjustRightInd w:val="0"/>
        <w:snapToGrid w:val="0"/>
        <w:spacing w:line="576" w:lineRule="exact"/>
        <w:ind w:firstLineChars="200" w:firstLine="640"/>
        <w:rPr>
          <w:rFonts w:ascii="黑体" w:eastAsia="黑体" w:hAnsi="黑体" w:cs="Times New Roman" w:hint="eastAsia"/>
          <w:sz w:val="32"/>
          <w:szCs w:val="32"/>
        </w:rPr>
      </w:pPr>
      <w:r w:rsidRPr="0000273F">
        <w:rPr>
          <w:rFonts w:ascii="黑体" w:eastAsia="黑体" w:hAnsi="黑体" w:cs="Times New Roman"/>
          <w:sz w:val="32"/>
          <w:szCs w:val="32"/>
        </w:rPr>
        <w:t>三、选派程序</w:t>
      </w:r>
    </w:p>
    <w:p w14:paraId="7CA73EEB" w14:textId="77777777" w:rsidR="005103E3" w:rsidRPr="0000273F" w:rsidRDefault="00000000" w:rsidP="0000273F">
      <w:pPr>
        <w:adjustRightInd w:val="0"/>
        <w:snapToGrid w:val="0"/>
        <w:spacing w:line="576" w:lineRule="exact"/>
        <w:ind w:firstLineChars="200" w:firstLine="640"/>
        <w:rPr>
          <w:rFonts w:ascii="楷体" w:eastAsia="楷体" w:hAnsi="楷体" w:cs="Times New Roman" w:hint="eastAsia"/>
          <w:sz w:val="32"/>
          <w:szCs w:val="32"/>
        </w:rPr>
      </w:pPr>
      <w:r w:rsidRPr="0000273F">
        <w:rPr>
          <w:rFonts w:ascii="楷体" w:eastAsia="楷体" w:hAnsi="楷体" w:cs="Times New Roman"/>
          <w:sz w:val="32"/>
          <w:szCs w:val="32"/>
        </w:rPr>
        <w:t>（一）申报</w:t>
      </w:r>
    </w:p>
    <w:p w14:paraId="3725AC91"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1. 省教育厅组织高校、省科技厅组织科研院所提出“产业教授”专业领域需求，报省科技厅汇总后，由省科技厅、</w:t>
      </w:r>
      <w:proofErr w:type="gramStart"/>
      <w:r w:rsidRPr="0000273F">
        <w:rPr>
          <w:rFonts w:ascii="仿宋" w:eastAsia="仿宋" w:hAnsi="仿宋" w:cs="Times New Roman"/>
          <w:sz w:val="32"/>
          <w:szCs w:val="32"/>
        </w:rPr>
        <w:t>省工信厅向</w:t>
      </w:r>
      <w:proofErr w:type="gramEnd"/>
      <w:r w:rsidRPr="0000273F">
        <w:rPr>
          <w:rFonts w:ascii="仿宋" w:eastAsia="仿宋" w:hAnsi="仿宋" w:cs="Times New Roman"/>
          <w:sz w:val="32"/>
          <w:szCs w:val="32"/>
        </w:rPr>
        <w:t>相关企业征集人才与高校对接，确定合作意向。</w:t>
      </w:r>
    </w:p>
    <w:p w14:paraId="3B59FF6F"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2. 省科技厅拟定“产业教授”管理办法和协议细则，由高校院所和“产业教授”申报人、所在企业签订三方协议，报</w:t>
      </w:r>
      <w:r w:rsidRPr="0000273F">
        <w:rPr>
          <w:rFonts w:ascii="仿宋" w:eastAsia="仿宋" w:hAnsi="仿宋" w:cs="Times New Roman"/>
          <w:sz w:val="32"/>
          <w:szCs w:val="32"/>
        </w:rPr>
        <w:lastRenderedPageBreak/>
        <w:t>所在市（州）科技部门审核后申报。</w:t>
      </w:r>
    </w:p>
    <w:p w14:paraId="06A9071D" w14:textId="77777777" w:rsidR="005103E3" w:rsidRPr="0000273F" w:rsidRDefault="00000000" w:rsidP="0000273F">
      <w:pPr>
        <w:adjustRightInd w:val="0"/>
        <w:snapToGrid w:val="0"/>
        <w:spacing w:line="576" w:lineRule="exact"/>
        <w:ind w:firstLineChars="200" w:firstLine="640"/>
        <w:rPr>
          <w:rFonts w:ascii="楷体" w:eastAsia="楷体" w:hAnsi="楷体" w:cs="Times New Roman" w:hint="eastAsia"/>
          <w:sz w:val="32"/>
          <w:szCs w:val="32"/>
        </w:rPr>
      </w:pPr>
      <w:r w:rsidRPr="0000273F">
        <w:rPr>
          <w:rFonts w:ascii="楷体" w:eastAsia="楷体" w:hAnsi="楷体" w:cs="Times New Roman"/>
          <w:sz w:val="32"/>
          <w:szCs w:val="32"/>
        </w:rPr>
        <w:t>（二）评选</w:t>
      </w:r>
    </w:p>
    <w:p w14:paraId="1D82A972"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经市（州）科技部门审核，申报材料真实完整，推荐上报省科技厅。省科技厅组织相关专家进行评审、公示，择优选派。</w:t>
      </w:r>
    </w:p>
    <w:p w14:paraId="38AB3FF3" w14:textId="77777777" w:rsidR="005103E3" w:rsidRPr="0000273F" w:rsidRDefault="00000000" w:rsidP="0000273F">
      <w:pPr>
        <w:adjustRightInd w:val="0"/>
        <w:snapToGrid w:val="0"/>
        <w:spacing w:line="576" w:lineRule="exact"/>
        <w:ind w:firstLineChars="200" w:firstLine="640"/>
        <w:rPr>
          <w:rFonts w:ascii="楷体" w:eastAsia="楷体" w:hAnsi="楷体" w:cs="Times New Roman" w:hint="eastAsia"/>
          <w:sz w:val="32"/>
          <w:szCs w:val="32"/>
        </w:rPr>
      </w:pPr>
      <w:r w:rsidRPr="0000273F">
        <w:rPr>
          <w:rFonts w:ascii="楷体" w:eastAsia="楷体" w:hAnsi="楷体" w:cs="Times New Roman"/>
          <w:sz w:val="32"/>
          <w:szCs w:val="32"/>
        </w:rPr>
        <w:t>（三）考核</w:t>
      </w:r>
    </w:p>
    <w:p w14:paraId="1CC11656"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“产业教授”任务期满，由派驻高校院所提供考核意见，省科技厅组织相关专家进行验收。</w:t>
      </w:r>
    </w:p>
    <w:p w14:paraId="3682988A" w14:textId="77777777" w:rsidR="005103E3" w:rsidRPr="0000273F" w:rsidRDefault="00000000" w:rsidP="0000273F">
      <w:pPr>
        <w:adjustRightInd w:val="0"/>
        <w:snapToGrid w:val="0"/>
        <w:spacing w:line="576" w:lineRule="exact"/>
        <w:ind w:firstLineChars="200" w:firstLine="640"/>
        <w:rPr>
          <w:rFonts w:ascii="黑体" w:eastAsia="黑体" w:hAnsi="黑体" w:cs="Times New Roman" w:hint="eastAsia"/>
          <w:sz w:val="32"/>
          <w:szCs w:val="32"/>
        </w:rPr>
      </w:pPr>
      <w:r w:rsidRPr="0000273F">
        <w:rPr>
          <w:rFonts w:ascii="黑体" w:eastAsia="黑体" w:hAnsi="黑体" w:cs="Times New Roman"/>
          <w:sz w:val="32"/>
          <w:szCs w:val="32"/>
        </w:rPr>
        <w:t>四、条件保障</w:t>
      </w:r>
    </w:p>
    <w:p w14:paraId="4B22C1EB"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1. 入选的“产业教授”，在高校院所的教学业绩，可作为评职晋级的重要依据；</w:t>
      </w:r>
    </w:p>
    <w:p w14:paraId="0F7641C5"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2. 入选的“产业教授”视同承担省级科技发展计划科技人才项目，且不受申报数量限制；</w:t>
      </w:r>
    </w:p>
    <w:p w14:paraId="46C5DD89"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3. 优先支持符合条件的“产业教授”申报“长白英才计划”相关项目</w:t>
      </w:r>
      <w:proofErr w:type="gramStart"/>
      <w:r w:rsidRPr="0000273F">
        <w:rPr>
          <w:rFonts w:ascii="仿宋" w:eastAsia="仿宋" w:hAnsi="仿宋" w:cs="Times New Roman"/>
          <w:sz w:val="32"/>
          <w:szCs w:val="32"/>
        </w:rPr>
        <w:t>以及省聚力</w:t>
      </w:r>
      <w:proofErr w:type="gramEnd"/>
      <w:r w:rsidRPr="0000273F">
        <w:rPr>
          <w:rFonts w:ascii="仿宋" w:eastAsia="仿宋" w:hAnsi="仿宋" w:cs="Times New Roman"/>
          <w:sz w:val="32"/>
          <w:szCs w:val="32"/>
        </w:rPr>
        <w:t>攻坚专项课题、省科技发展计划项目；</w:t>
      </w:r>
    </w:p>
    <w:p w14:paraId="2FD0A8BD"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4. 优先推荐“产业教授”申报国家高层次人才计划；</w:t>
      </w:r>
    </w:p>
    <w:p w14:paraId="72E61793"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5. 鼓励与“产业教授”合作的高校院所与企业共建校企研发中心、校企联合技术创新实验室等创新平台，对符合条件的给予优先支持。</w:t>
      </w:r>
    </w:p>
    <w:p w14:paraId="00235619"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6. 支持“产业教授”所在企业申报国家“专精特新”企业、高新技术企业、省级企业技术中心，以及省重点实验室、科学家工作室、省科技创新中心等科技创新平台。</w:t>
      </w:r>
    </w:p>
    <w:p w14:paraId="66AA9B93" w14:textId="77777777" w:rsidR="005103E3" w:rsidRPr="0000273F" w:rsidRDefault="00000000" w:rsidP="0000273F">
      <w:pPr>
        <w:adjustRightInd w:val="0"/>
        <w:snapToGrid w:val="0"/>
        <w:spacing w:line="576" w:lineRule="exact"/>
        <w:ind w:firstLineChars="200" w:firstLine="640"/>
        <w:rPr>
          <w:rFonts w:ascii="仿宋" w:eastAsia="仿宋" w:hAnsi="仿宋" w:cs="Times New Roman" w:hint="eastAsia"/>
          <w:sz w:val="32"/>
          <w:szCs w:val="32"/>
        </w:rPr>
      </w:pPr>
      <w:r w:rsidRPr="0000273F">
        <w:rPr>
          <w:rFonts w:ascii="仿宋" w:eastAsia="仿宋" w:hAnsi="仿宋" w:cs="Times New Roman"/>
          <w:sz w:val="32"/>
          <w:szCs w:val="32"/>
        </w:rPr>
        <w:t>7. “产业教授”任职期间，所在企业与合作高校院所签订的横向课题，可按规定纳入省级科技发展计划项目。</w:t>
      </w:r>
    </w:p>
    <w:sectPr w:rsidR="005103E3" w:rsidRPr="0000273F" w:rsidSect="00C8697A">
      <w:footerReference w:type="default" r:id="rId8"/>
      <w:pgSz w:w="11906" w:h="16838"/>
      <w:pgMar w:top="1701" w:right="1701" w:bottom="1701" w:left="1701" w:header="794" w:footer="82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47B7E" w14:textId="77777777" w:rsidR="0065254C" w:rsidRDefault="0065254C">
      <w:pPr>
        <w:rPr>
          <w:rFonts w:hint="eastAsia"/>
        </w:rPr>
      </w:pPr>
      <w:r>
        <w:separator/>
      </w:r>
    </w:p>
  </w:endnote>
  <w:endnote w:type="continuationSeparator" w:id="0">
    <w:p w14:paraId="528E053D" w14:textId="77777777" w:rsidR="0065254C" w:rsidRDefault="006525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288716"/>
      <w:docPartObj>
        <w:docPartGallery w:val="Page Numbers (Bottom of Page)"/>
        <w:docPartUnique/>
      </w:docPartObj>
    </w:sdtPr>
    <w:sdtContent>
      <w:p w14:paraId="285CF3EA" w14:textId="34B34F04" w:rsidR="00C8697A" w:rsidRDefault="00C8697A">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47CA49A" w14:textId="77777777" w:rsidR="00C8697A" w:rsidRDefault="00C8697A">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79404" w14:textId="77777777" w:rsidR="0065254C" w:rsidRDefault="0065254C">
      <w:pPr>
        <w:rPr>
          <w:rFonts w:hint="eastAsia"/>
        </w:rPr>
      </w:pPr>
      <w:r>
        <w:separator/>
      </w:r>
    </w:p>
  </w:footnote>
  <w:footnote w:type="continuationSeparator" w:id="0">
    <w:p w14:paraId="5E71D1EF" w14:textId="77777777" w:rsidR="0065254C" w:rsidRDefault="0065254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CC"/>
    <w:rsid w:val="BDF7A650"/>
    <w:rsid w:val="DBFFCF26"/>
    <w:rsid w:val="0000273F"/>
    <w:rsid w:val="00005883"/>
    <w:rsid w:val="00012756"/>
    <w:rsid w:val="000341EC"/>
    <w:rsid w:val="00042516"/>
    <w:rsid w:val="000426FA"/>
    <w:rsid w:val="000673E7"/>
    <w:rsid w:val="00074226"/>
    <w:rsid w:val="00082D99"/>
    <w:rsid w:val="000B6E71"/>
    <w:rsid w:val="000C7DB6"/>
    <w:rsid w:val="000E1F72"/>
    <w:rsid w:val="00112AF5"/>
    <w:rsid w:val="001464F4"/>
    <w:rsid w:val="00177C18"/>
    <w:rsid w:val="001C1862"/>
    <w:rsid w:val="001C2535"/>
    <w:rsid w:val="001D376C"/>
    <w:rsid w:val="001D38FA"/>
    <w:rsid w:val="001D6D05"/>
    <w:rsid w:val="00205AAD"/>
    <w:rsid w:val="00221F33"/>
    <w:rsid w:val="0025464D"/>
    <w:rsid w:val="00255EF1"/>
    <w:rsid w:val="002607E9"/>
    <w:rsid w:val="00265DBB"/>
    <w:rsid w:val="00271A7B"/>
    <w:rsid w:val="00284DD3"/>
    <w:rsid w:val="002A4875"/>
    <w:rsid w:val="002F46E9"/>
    <w:rsid w:val="0031073D"/>
    <w:rsid w:val="003144D1"/>
    <w:rsid w:val="0031700F"/>
    <w:rsid w:val="00317F32"/>
    <w:rsid w:val="0032750F"/>
    <w:rsid w:val="003816E1"/>
    <w:rsid w:val="00397375"/>
    <w:rsid w:val="003B4589"/>
    <w:rsid w:val="003B71D1"/>
    <w:rsid w:val="003C47D5"/>
    <w:rsid w:val="003D3F8B"/>
    <w:rsid w:val="003F30DB"/>
    <w:rsid w:val="003F6D39"/>
    <w:rsid w:val="004048C0"/>
    <w:rsid w:val="004059A8"/>
    <w:rsid w:val="0041161C"/>
    <w:rsid w:val="004847AC"/>
    <w:rsid w:val="00484F45"/>
    <w:rsid w:val="00495CCA"/>
    <w:rsid w:val="004A0189"/>
    <w:rsid w:val="004A21AB"/>
    <w:rsid w:val="004A29A1"/>
    <w:rsid w:val="004A3366"/>
    <w:rsid w:val="004C7A57"/>
    <w:rsid w:val="004E03E8"/>
    <w:rsid w:val="004F4834"/>
    <w:rsid w:val="005103E3"/>
    <w:rsid w:val="00511245"/>
    <w:rsid w:val="00553CBD"/>
    <w:rsid w:val="0055409C"/>
    <w:rsid w:val="0055649D"/>
    <w:rsid w:val="00564DBA"/>
    <w:rsid w:val="00567F77"/>
    <w:rsid w:val="0058089F"/>
    <w:rsid w:val="005B19FE"/>
    <w:rsid w:val="005F3AB8"/>
    <w:rsid w:val="00602101"/>
    <w:rsid w:val="00630F74"/>
    <w:rsid w:val="00633BB0"/>
    <w:rsid w:val="0065254C"/>
    <w:rsid w:val="0067337D"/>
    <w:rsid w:val="00677B07"/>
    <w:rsid w:val="00681FB2"/>
    <w:rsid w:val="00682C4E"/>
    <w:rsid w:val="00684FA5"/>
    <w:rsid w:val="006B4987"/>
    <w:rsid w:val="006B7F7F"/>
    <w:rsid w:val="006D637F"/>
    <w:rsid w:val="006E1B47"/>
    <w:rsid w:val="006F51EB"/>
    <w:rsid w:val="0070342B"/>
    <w:rsid w:val="00704571"/>
    <w:rsid w:val="00705D5B"/>
    <w:rsid w:val="007134BF"/>
    <w:rsid w:val="00714692"/>
    <w:rsid w:val="00732D05"/>
    <w:rsid w:val="00761607"/>
    <w:rsid w:val="007A5FD0"/>
    <w:rsid w:val="007B4CD1"/>
    <w:rsid w:val="007D06FE"/>
    <w:rsid w:val="007D6CCE"/>
    <w:rsid w:val="007F084F"/>
    <w:rsid w:val="0081034B"/>
    <w:rsid w:val="00815224"/>
    <w:rsid w:val="008368F2"/>
    <w:rsid w:val="0086063C"/>
    <w:rsid w:val="00875BE0"/>
    <w:rsid w:val="0089334E"/>
    <w:rsid w:val="008D0E39"/>
    <w:rsid w:val="008E61BF"/>
    <w:rsid w:val="008E77D0"/>
    <w:rsid w:val="008F6480"/>
    <w:rsid w:val="009110CC"/>
    <w:rsid w:val="009457A8"/>
    <w:rsid w:val="00962B68"/>
    <w:rsid w:val="00963AEE"/>
    <w:rsid w:val="00965100"/>
    <w:rsid w:val="00974C3F"/>
    <w:rsid w:val="009B0B15"/>
    <w:rsid w:val="009B2CC1"/>
    <w:rsid w:val="009D64AC"/>
    <w:rsid w:val="009D7AD4"/>
    <w:rsid w:val="009F26D9"/>
    <w:rsid w:val="009F30D4"/>
    <w:rsid w:val="009F3B4C"/>
    <w:rsid w:val="00A144FE"/>
    <w:rsid w:val="00A42724"/>
    <w:rsid w:val="00A476FB"/>
    <w:rsid w:val="00A86510"/>
    <w:rsid w:val="00AB0035"/>
    <w:rsid w:val="00AC224D"/>
    <w:rsid w:val="00AE4E1F"/>
    <w:rsid w:val="00AE5263"/>
    <w:rsid w:val="00AF2DF6"/>
    <w:rsid w:val="00B104E8"/>
    <w:rsid w:val="00B10891"/>
    <w:rsid w:val="00B4347A"/>
    <w:rsid w:val="00B4522F"/>
    <w:rsid w:val="00B540D4"/>
    <w:rsid w:val="00B77046"/>
    <w:rsid w:val="00B7721C"/>
    <w:rsid w:val="00B859DC"/>
    <w:rsid w:val="00BC5683"/>
    <w:rsid w:val="00BE12C0"/>
    <w:rsid w:val="00BF10F2"/>
    <w:rsid w:val="00C05D59"/>
    <w:rsid w:val="00C14128"/>
    <w:rsid w:val="00C27271"/>
    <w:rsid w:val="00C459F7"/>
    <w:rsid w:val="00C553F1"/>
    <w:rsid w:val="00C71A1E"/>
    <w:rsid w:val="00C847AB"/>
    <w:rsid w:val="00C8697A"/>
    <w:rsid w:val="00C87943"/>
    <w:rsid w:val="00C9791A"/>
    <w:rsid w:val="00CC00DB"/>
    <w:rsid w:val="00CC598E"/>
    <w:rsid w:val="00CF6C2D"/>
    <w:rsid w:val="00CF7BBA"/>
    <w:rsid w:val="00D000E0"/>
    <w:rsid w:val="00D04223"/>
    <w:rsid w:val="00D07DBF"/>
    <w:rsid w:val="00D11A9C"/>
    <w:rsid w:val="00D2368D"/>
    <w:rsid w:val="00D54D54"/>
    <w:rsid w:val="00D6070F"/>
    <w:rsid w:val="00D62685"/>
    <w:rsid w:val="00D63216"/>
    <w:rsid w:val="00D65055"/>
    <w:rsid w:val="00D757C9"/>
    <w:rsid w:val="00D84433"/>
    <w:rsid w:val="00DB1BA8"/>
    <w:rsid w:val="00DB4510"/>
    <w:rsid w:val="00DC01A9"/>
    <w:rsid w:val="00DC2462"/>
    <w:rsid w:val="00DC31FB"/>
    <w:rsid w:val="00DF3E05"/>
    <w:rsid w:val="00E23048"/>
    <w:rsid w:val="00E615D6"/>
    <w:rsid w:val="00E73AC9"/>
    <w:rsid w:val="00EA0F41"/>
    <w:rsid w:val="00EB1C06"/>
    <w:rsid w:val="00ED790F"/>
    <w:rsid w:val="00EE2AA8"/>
    <w:rsid w:val="00EE556E"/>
    <w:rsid w:val="00EE7DEA"/>
    <w:rsid w:val="00F17501"/>
    <w:rsid w:val="00F17860"/>
    <w:rsid w:val="00F25577"/>
    <w:rsid w:val="00F34C9A"/>
    <w:rsid w:val="00F44E97"/>
    <w:rsid w:val="00F65C5B"/>
    <w:rsid w:val="00F933A7"/>
    <w:rsid w:val="00FA7756"/>
    <w:rsid w:val="00FB72B5"/>
    <w:rsid w:val="00FC5949"/>
    <w:rsid w:val="00FC7BAF"/>
    <w:rsid w:val="00FF7781"/>
    <w:rsid w:val="055015D1"/>
    <w:rsid w:val="05D40A33"/>
    <w:rsid w:val="07500DE3"/>
    <w:rsid w:val="096722D3"/>
    <w:rsid w:val="0B1A0B80"/>
    <w:rsid w:val="116A0947"/>
    <w:rsid w:val="14013F61"/>
    <w:rsid w:val="21B76E7B"/>
    <w:rsid w:val="23803FA8"/>
    <w:rsid w:val="28D43397"/>
    <w:rsid w:val="33D74297"/>
    <w:rsid w:val="39715AF0"/>
    <w:rsid w:val="45D76ECA"/>
    <w:rsid w:val="45D80EF6"/>
    <w:rsid w:val="50D11C13"/>
    <w:rsid w:val="70F3E97B"/>
    <w:rsid w:val="76126652"/>
    <w:rsid w:val="7EAE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5CB39"/>
  <w15:docId w15:val="{FDCA82FA-BAAE-4597-9B2C-76EB5C6A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qFormat/>
    <w:rPr>
      <w:kern w:val="2"/>
      <w:sz w:val="21"/>
      <w:szCs w:val="22"/>
    </w:rPr>
  </w:style>
  <w:style w:type="character" w:customStyle="1" w:styleId="aa">
    <w:name w:val="批注主题 字符"/>
    <w:basedOn w:val="a4"/>
    <w:link w:val="a9"/>
    <w:uiPriority w:val="99"/>
    <w:semiHidden/>
    <w:qFormat/>
    <w:rPr>
      <w:b/>
      <w:bCs/>
      <w:kern w:val="2"/>
      <w:sz w:val="21"/>
      <w:szCs w:val="22"/>
    </w:rPr>
  </w:style>
  <w:style w:type="paragraph" w:customStyle="1" w:styleId="1">
    <w:name w:val="修订1"/>
    <w:hidden/>
    <w:uiPriority w:val="99"/>
    <w:unhideWhenUsed/>
    <w:qFormat/>
    <w:rPr>
      <w:kern w:val="2"/>
      <w:sz w:val="21"/>
      <w:szCs w:val="22"/>
    </w:rPr>
  </w:style>
  <w:style w:type="paragraph" w:customStyle="1" w:styleId="2">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74F8C09-1D95-489B-BA81-9FBCE78FE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坤 耿</dc:creator>
  <cp:lastModifiedBy>坤 耿</cp:lastModifiedBy>
  <cp:revision>16</cp:revision>
  <cp:lastPrinted>2025-04-29T02:02:00Z</cp:lastPrinted>
  <dcterms:created xsi:type="dcterms:W3CDTF">2025-01-14T16:44:00Z</dcterms:created>
  <dcterms:modified xsi:type="dcterms:W3CDTF">2025-05-28T01:32:00Z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D37F9140075C41F7A9C4575866E49CCA_13</vt:lpwstr>
  </property>
  <property fmtid="{D5CDD505-2E9C-101B-9397-08002B2CF9AE}" pid="4" name="KSOTemplateDocerSaveRecord">
    <vt:lpwstr>eyJoZGlkIjoiNDI1NGQ4MDY4NjMxYWVlMzc3ODM2NDE0MmU1ODUxYzYiLCJ1c2VySWQiOiIzNDg4OTU5NjkifQ==</vt:lpwstr>
  </property>
</Properties>
</file>