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F80F0">
      <w:pPr>
        <w:spacing w:line="576" w:lineRule="exact"/>
        <w:jc w:val="left"/>
        <w:rPr>
          <w:rFonts w:hint="default" w:ascii="黑体" w:hAnsi="黑体" w:eastAsia="黑体" w:cs="黑体"/>
          <w:color w:val="auto"/>
          <w:sz w:val="32"/>
          <w:szCs w:val="32"/>
          <w:lang w:val="en-US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</w:p>
    <w:p w14:paraId="0EF36010">
      <w:pPr>
        <w:spacing w:line="576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15B07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吉林省氢能产业综合研究院科技专项</w:t>
      </w:r>
    </w:p>
    <w:p w14:paraId="2C6B6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cs="方正小标宋简体" w:eastAsiaTheme="majorEastAsia"/>
          <w:sz w:val="44"/>
          <w:szCs w:val="44"/>
        </w:rPr>
        <w:t>202</w:t>
      </w:r>
      <w:r>
        <w:rPr>
          <w:rFonts w:hint="eastAsia" w:ascii="方正小标宋简体" w:hAnsi="方正小标宋简体" w:cs="方正小标宋简体" w:eastAsiaTheme="majorEastAsia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bookmarkStart w:id="7" w:name="_GoBack"/>
      <w:bookmarkEnd w:id="7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项目申报指南</w:t>
      </w:r>
    </w:p>
    <w:p w14:paraId="56F8AD5D">
      <w:pPr>
        <w:spacing w:line="77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6AD0467">
      <w:pPr>
        <w:spacing w:line="579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制氢材料、部件与系统领域</w:t>
      </w:r>
    </w:p>
    <w:p w14:paraId="0FC0178B">
      <w:pPr>
        <w:spacing w:line="579" w:lineRule="exact"/>
        <w:jc w:val="center"/>
        <w:rPr>
          <w:rFonts w:hint="eastAsia" w:ascii="黑体" w:hAnsi="黑体" w:eastAsia="黑体" w:cs="黑体"/>
          <w:sz w:val="44"/>
          <w:szCs w:val="44"/>
        </w:rPr>
      </w:pPr>
    </w:p>
    <w:p w14:paraId="2E5F2089">
      <w:pPr>
        <w:spacing w:line="579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bookmarkStart w:id="0" w:name="_Hlk176532080"/>
      <w:r>
        <w:rPr>
          <w:rFonts w:hint="default" w:ascii="Times New Roman" w:hAnsi="Times New Roman" w:eastAsia="黑体" w:cs="Times New Roman"/>
          <w:sz w:val="32"/>
          <w:szCs w:val="32"/>
        </w:rPr>
        <w:t>项目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黑体" w:cs="Times New Roman"/>
          <w:sz w:val="32"/>
          <w:szCs w:val="32"/>
        </w:rPr>
        <w:t>：大功率PEM电解水电堆制造技术</w:t>
      </w:r>
    </w:p>
    <w:p w14:paraId="345205AD">
      <w:pPr>
        <w:spacing w:line="579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一、研究内容</w:t>
      </w:r>
    </w:p>
    <w:p w14:paraId="599427B1">
      <w:pPr>
        <w:spacing w:line="579" w:lineRule="exact"/>
        <w:ind w:firstLine="640" w:firstLineChars="200"/>
        <w:rPr>
          <w:rFonts w:hint="default" w:ascii="仿宋_GB2312" w:hAnsi="Times New Roman" w:eastAsia="仿宋_GB2312"/>
          <w:sz w:val="32"/>
          <w:szCs w:val="32"/>
        </w:rPr>
      </w:pPr>
      <w:r>
        <w:rPr>
          <w:rFonts w:hint="default" w:ascii="仿宋_GB2312" w:hAnsi="Times New Roman" w:eastAsia="仿宋_GB2312"/>
          <w:sz w:val="32"/>
          <w:szCs w:val="32"/>
        </w:rPr>
        <w:t>面向吉林省绿氢规模化制取、可再生能源高效利用、新型能源装备制造等领域的应用需求，针对高效电解水制氢装备自主供应能力不足、产业链亟需补强完善，特别是在大功率、低能耗质子交换膜（</w:t>
      </w:r>
      <w:r>
        <w:rPr>
          <w:rFonts w:hint="default" w:ascii="Times New Roman" w:hAnsi="Times New Roman" w:eastAsia="仿宋_GB2312"/>
          <w:sz w:val="32"/>
          <w:szCs w:val="32"/>
        </w:rPr>
        <w:t>PEM</w:t>
      </w:r>
      <w:r>
        <w:rPr>
          <w:rFonts w:hint="default" w:ascii="仿宋_GB2312" w:hAnsi="Times New Roman" w:eastAsia="仿宋_GB2312"/>
          <w:sz w:val="32"/>
          <w:szCs w:val="32"/>
        </w:rPr>
        <w:t>）电解水制氢电堆设计、组装与集成，以及批量制备技术等方面存在的问题开展深入研究，有效降低制备成本，提高</w:t>
      </w:r>
      <w:bookmarkStart w:id="1" w:name="OLE_LINK5"/>
      <w:bookmarkStart w:id="2" w:name="OLE_LINK6"/>
      <w:r>
        <w:rPr>
          <w:rFonts w:hint="default" w:ascii="仿宋_GB2312" w:hAnsi="Times New Roman" w:eastAsia="仿宋_GB2312"/>
          <w:sz w:val="32"/>
          <w:szCs w:val="32"/>
        </w:rPr>
        <w:t>集约化</w:t>
      </w:r>
      <w:bookmarkEnd w:id="1"/>
      <w:bookmarkEnd w:id="2"/>
      <w:r>
        <w:rPr>
          <w:rFonts w:hint="default" w:ascii="仿宋_GB2312" w:hAnsi="Times New Roman" w:eastAsia="仿宋_GB2312"/>
          <w:sz w:val="32"/>
          <w:szCs w:val="32"/>
        </w:rPr>
        <w:t>水平。具体包括：优化设计大功率单堆，实现“三传一反”与结构应力平衡；开发高效传质流场，构建水、电、气、热低阻流通路径；发展低气体泄露率、低接触电阻、高压力的可靠密封技术，实现高压力出氢；开展压力自平衡电堆组装技术研究，实现堆内单池间均衡工作；开发大功率电堆产业化技术，形成产业化能力。</w:t>
      </w:r>
    </w:p>
    <w:p w14:paraId="32AB47F3">
      <w:pPr>
        <w:spacing w:line="579" w:lineRule="exact"/>
        <w:ind w:firstLine="643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二、考核指标</w:t>
      </w:r>
    </w:p>
    <w:p w14:paraId="37E95827">
      <w:pPr>
        <w:spacing w:line="579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</w:rPr>
        <w:t>基于自主开发的催化剂、膜电极等材料与部件，采用国产钛毡、钛板等材料，单堆电解功率≥500kW；功率适应范围：5%~150%；电解电压≤1.8V@ 2A/cm</w:t>
      </w:r>
      <w:r>
        <w:rPr>
          <w:rFonts w:hint="default" w:ascii="Times New Roman" w:hAnsi="Times New Roman" w:eastAsia="仿宋_GB2312"/>
          <w:sz w:val="32"/>
          <w:szCs w:val="32"/>
          <w:vertAlign w:val="superscript"/>
        </w:rPr>
        <w:t>2</w:t>
      </w:r>
      <w:r>
        <w:rPr>
          <w:rFonts w:hint="default" w:ascii="Times New Roman" w:hAnsi="Times New Roman" w:eastAsia="仿宋_GB2312"/>
          <w:sz w:val="32"/>
          <w:szCs w:val="32"/>
        </w:rPr>
        <w:t>；直流电耗：额定工况下≤4.1kWh/Nm</w:t>
      </w:r>
      <w:r>
        <w:rPr>
          <w:rFonts w:hint="default" w:ascii="Times New Roman" w:hAnsi="Times New Roman" w:eastAsia="仿宋_GB2312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/>
          <w:sz w:val="32"/>
          <w:szCs w:val="32"/>
        </w:rPr>
        <w:t>；出氢压力≥3.8MPa；单堆额定产氢速率：≥120m</w:t>
      </w:r>
      <w:r>
        <w:rPr>
          <w:rFonts w:hint="default" w:ascii="Times New Roman" w:hAnsi="Times New Roman" w:eastAsia="仿宋_GB2312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/>
          <w:sz w:val="32"/>
          <w:szCs w:val="32"/>
        </w:rPr>
        <w:t>/h，氢气纯度≥99.9995%；耐久性≥50000h（实测2000h，衰减率≤20μV/h）；申请发明专利≥3件；产能≥50MW（或≥50台套）。</w:t>
      </w:r>
    </w:p>
    <w:p w14:paraId="75C88CA9">
      <w:pPr>
        <w:spacing w:line="579" w:lineRule="exact"/>
        <w:ind w:firstLine="643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三、执行周期</w:t>
      </w:r>
    </w:p>
    <w:p w14:paraId="624F3A20">
      <w:pPr>
        <w:spacing w:line="579" w:lineRule="exact"/>
        <w:ind w:firstLine="640" w:firstLineChars="200"/>
        <w:rPr>
          <w:rFonts w:ascii="Times New Roman" w:hAnsi="Times New Roman" w:eastAsia="仿宋_GB2312"/>
          <w:bCs/>
          <w:color w:val="000000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sz w:val="32"/>
          <w:szCs w:val="32"/>
        </w:rPr>
        <w:t>2年</w:t>
      </w:r>
    </w:p>
    <w:p w14:paraId="06DF1113">
      <w:pPr>
        <w:spacing w:line="579" w:lineRule="exact"/>
        <w:ind w:firstLine="643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四、经费预算</w:t>
      </w:r>
    </w:p>
    <w:p w14:paraId="4DD2C0A0">
      <w:pPr>
        <w:spacing w:line="579" w:lineRule="exact"/>
        <w:ind w:firstLine="640" w:firstLineChars="200"/>
        <w:rPr>
          <w:rFonts w:hint="default" w:ascii="Times New Roman" w:hAnsi="Times New Roman" w:eastAsia="仿宋_GB2312"/>
          <w:color w:val="000000"/>
          <w:sz w:val="32"/>
          <w:szCs w:val="32"/>
        </w:rPr>
      </w:pPr>
      <w:r>
        <w:rPr>
          <w:rFonts w:hint="default" w:ascii="Times New Roman" w:hAnsi="Times New Roman" w:eastAsia="仿宋_GB2312"/>
          <w:snapToGrid w:val="0"/>
          <w:sz w:val="32"/>
          <w:szCs w:val="32"/>
          <w:lang w:bidi="ar"/>
        </w:rPr>
        <w:t>总预算</w:t>
      </w:r>
      <w:r>
        <w:rPr>
          <w:rFonts w:hint="default" w:ascii="Times New Roman" w:hAnsi="Times New Roman" w:eastAsia="仿宋_GB2312"/>
          <w:snapToGrid w:val="0"/>
          <w:sz w:val="32"/>
          <w:szCs w:val="32"/>
          <w:lang w:val="en-US" w:eastAsia="zh-CN" w:bidi="ar"/>
        </w:rPr>
        <w:t>1800-2</w:t>
      </w:r>
      <w:r>
        <w:rPr>
          <w:rFonts w:hint="default" w:ascii="Times New Roman" w:hAnsi="Times New Roman" w:eastAsia="仿宋_GB2312"/>
          <w:snapToGrid w:val="0"/>
          <w:sz w:val="32"/>
          <w:szCs w:val="32"/>
          <w:lang w:bidi="ar"/>
        </w:rPr>
        <w:t>200万元，其中省级财政资金</w:t>
      </w:r>
      <w:r>
        <w:rPr>
          <w:rFonts w:hint="default" w:ascii="Times New Roman" w:hAnsi="Times New Roman" w:eastAsia="仿宋_GB2312"/>
          <w:snapToGrid w:val="0"/>
          <w:sz w:val="32"/>
          <w:szCs w:val="32"/>
          <w:lang w:val="en-US" w:eastAsia="zh-CN" w:bidi="ar"/>
        </w:rPr>
        <w:t>900-11</w:t>
      </w:r>
      <w:r>
        <w:rPr>
          <w:rFonts w:hint="default" w:ascii="Times New Roman" w:hAnsi="Times New Roman" w:eastAsia="仿宋_GB2312"/>
          <w:snapToGrid w:val="0"/>
          <w:sz w:val="32"/>
          <w:szCs w:val="32"/>
          <w:lang w:bidi="ar"/>
        </w:rPr>
        <w:t>00万元，企业配套经费比例不低于1:1。</w:t>
      </w:r>
    </w:p>
    <w:p w14:paraId="790191D9">
      <w:pPr>
        <w:spacing w:line="579" w:lineRule="exact"/>
        <w:ind w:firstLine="880" w:firstLineChars="200"/>
        <w:jc w:val="center"/>
        <w:rPr>
          <w:rFonts w:hint="eastAsia" w:ascii="黑体" w:hAnsi="黑体" w:eastAsia="黑体" w:cs="黑体"/>
          <w:sz w:val="44"/>
          <w:szCs w:val="44"/>
        </w:rPr>
      </w:pPr>
    </w:p>
    <w:p w14:paraId="3FD54A5C">
      <w:pPr>
        <w:spacing w:line="579" w:lineRule="exact"/>
        <w:ind w:firstLine="880" w:firstLineChars="200"/>
        <w:jc w:val="center"/>
        <w:rPr>
          <w:rFonts w:hint="eastAsia" w:ascii="黑体" w:hAnsi="黑体" w:eastAsia="黑体" w:cs="黑体"/>
          <w:sz w:val="44"/>
          <w:szCs w:val="44"/>
        </w:rPr>
      </w:pPr>
    </w:p>
    <w:p w14:paraId="3A908C03">
      <w:pPr>
        <w:spacing w:line="579" w:lineRule="exact"/>
        <w:ind w:firstLine="880" w:firstLineChars="200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储运氢材料、部件与系统领域</w:t>
      </w:r>
    </w:p>
    <w:p w14:paraId="67728D3A">
      <w:pPr>
        <w:spacing w:line="579" w:lineRule="exact"/>
        <w:ind w:firstLine="880" w:firstLineChars="200"/>
        <w:jc w:val="center"/>
        <w:rPr>
          <w:rFonts w:hint="eastAsia" w:ascii="黑体" w:hAnsi="黑体" w:eastAsia="黑体" w:cs="黑体"/>
          <w:sz w:val="44"/>
          <w:szCs w:val="44"/>
        </w:rPr>
      </w:pPr>
    </w:p>
    <w:p w14:paraId="5B2F55E7">
      <w:pPr>
        <w:spacing w:line="579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项目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：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高密度固态储氢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装置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关键技术开发与应用</w:t>
      </w:r>
    </w:p>
    <w:p w14:paraId="6937E942">
      <w:pPr>
        <w:spacing w:line="579" w:lineRule="exact"/>
        <w:ind w:firstLine="643" w:firstLineChars="200"/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一、研究内容</w:t>
      </w:r>
    </w:p>
    <w:p w14:paraId="1A577BD5">
      <w:pPr>
        <w:spacing w:line="579" w:lineRule="exact"/>
        <w:ind w:firstLine="640" w:firstLineChars="200"/>
        <w:rPr>
          <w:rFonts w:hint="default" w:ascii="仿宋_GB2312" w:hAnsi="Times New Roman" w:eastAsia="仿宋_GB2312"/>
          <w:color w:val="000000"/>
          <w:sz w:val="32"/>
          <w:szCs w:val="32"/>
        </w:rPr>
      </w:pPr>
      <w:r>
        <w:rPr>
          <w:rFonts w:hint="default" w:ascii="仿宋_GB2312" w:hAnsi="Times New Roman" w:eastAsia="仿宋_GB2312"/>
          <w:color w:val="000000"/>
          <w:sz w:val="32"/>
          <w:szCs w:val="32"/>
        </w:rPr>
        <w:t>围绕吉林省“</w:t>
      </w:r>
      <w:r>
        <w:rPr>
          <w:rFonts w:hint="default" w:ascii="仿宋_GB2312" w:hAnsi="仿宋_GB2312" w:eastAsia="仿宋_GB2312" w:cs="仿宋_GB2312"/>
          <w:snapToGrid w:val="0"/>
          <w:sz w:val="32"/>
          <w:szCs w:val="32"/>
          <w:lang w:bidi="ar"/>
        </w:rPr>
        <w:t>"</w:t>
      </w:r>
      <w:r>
        <w:rPr>
          <w:rFonts w:hint="default" w:ascii="仿宋_GB2312" w:hAnsi="仿宋_GB2312" w:eastAsia="仿宋_GB2312" w:cs="仿宋_GB2312"/>
          <w:snapToGrid w:val="0"/>
          <w:sz w:val="32"/>
          <w:szCs w:val="32"/>
          <w:lang w:val="en-US" w:eastAsia="zh-CN" w:bidi="ar"/>
        </w:rPr>
        <w:t>氢能发展规划</w:t>
      </w:r>
      <w:r>
        <w:rPr>
          <w:rFonts w:hint="default" w:ascii="仿宋_GB2312" w:hAnsi="Times New Roman" w:eastAsia="仿宋_GB2312"/>
          <w:color w:val="000000"/>
          <w:sz w:val="32"/>
          <w:szCs w:val="32"/>
        </w:rPr>
        <w:t>”</w:t>
      </w:r>
      <w:r>
        <w:rPr>
          <w:rFonts w:hint="default" w:ascii="仿宋_GB2312" w:hAnsi="Times New Roman" w:eastAsia="仿宋_GB2312"/>
          <w:color w:val="000000"/>
          <w:sz w:val="32"/>
          <w:szCs w:val="32"/>
          <w:lang w:val="en-US" w:eastAsia="zh-CN"/>
        </w:rPr>
        <w:t>战略</w:t>
      </w:r>
      <w:r>
        <w:rPr>
          <w:rFonts w:hint="default" w:ascii="仿宋_GB2312" w:hAnsi="Times New Roman" w:eastAsia="仿宋_GB2312"/>
          <w:color w:val="000000"/>
          <w:sz w:val="32"/>
          <w:szCs w:val="32"/>
        </w:rPr>
        <w:t>目标和能源转型，</w:t>
      </w:r>
      <w:r>
        <w:rPr>
          <w:rFonts w:hint="default" w:ascii="仿宋_GB2312" w:hAnsi="Times New Roman" w:eastAsia="仿宋_GB2312"/>
          <w:color w:val="000000"/>
          <w:sz w:val="32"/>
          <w:szCs w:val="32"/>
          <w:lang w:val="en-US" w:eastAsia="zh-CN"/>
        </w:rPr>
        <w:t>开发</w:t>
      </w:r>
      <w:r>
        <w:rPr>
          <w:rFonts w:hint="default" w:ascii="仿宋_GB2312" w:hAnsi="Times New Roman" w:eastAsia="仿宋_GB2312"/>
          <w:color w:val="000000"/>
          <w:sz w:val="32"/>
          <w:szCs w:val="32"/>
        </w:rPr>
        <w:t>规模化、高效率、低成本固态储氢</w:t>
      </w:r>
      <w:r>
        <w:rPr>
          <w:rFonts w:hint="default" w:ascii="仿宋_GB2312" w:hAnsi="Times New Roman" w:eastAsia="仿宋_GB2312"/>
          <w:color w:val="000000"/>
          <w:sz w:val="32"/>
          <w:szCs w:val="32"/>
          <w:lang w:val="en-US" w:eastAsia="zh-CN"/>
        </w:rPr>
        <w:t>装置</w:t>
      </w:r>
      <w:r>
        <w:rPr>
          <w:rFonts w:hint="default" w:ascii="仿宋_GB2312" w:hAnsi="Times New Roman" w:eastAsia="仿宋_GB2312"/>
          <w:color w:val="000000"/>
          <w:sz w:val="32"/>
          <w:szCs w:val="32"/>
        </w:rPr>
        <w:t>关键技术的重大需求</w:t>
      </w:r>
      <w:r>
        <w:rPr>
          <w:rFonts w:hint="default" w:ascii="仿宋_GB2312" w:hAnsi="Times New Roman" w:eastAsia="仿宋_GB2312"/>
          <w:color w:val="000000"/>
          <w:sz w:val="32"/>
          <w:szCs w:val="32"/>
          <w:lang w:eastAsia="zh-CN"/>
        </w:rPr>
        <w:t>，</w:t>
      </w:r>
      <w:r>
        <w:rPr>
          <w:rFonts w:hint="default" w:ascii="仿宋_GB2312" w:hAnsi="Times New Roman" w:eastAsia="仿宋_GB2312"/>
          <w:color w:val="000000"/>
          <w:sz w:val="32"/>
          <w:szCs w:val="32"/>
        </w:rPr>
        <w:t>具体包括：调控</w:t>
      </w:r>
      <w:r>
        <w:rPr>
          <w:rFonts w:hint="default" w:ascii="仿宋_GB2312" w:hAnsi="Times New Roman" w:eastAsia="仿宋_GB2312"/>
          <w:color w:val="000000"/>
          <w:sz w:val="32"/>
          <w:szCs w:val="32"/>
          <w:lang w:val="en-US" w:eastAsia="zh-CN"/>
        </w:rPr>
        <w:t>AB</w:t>
      </w:r>
      <w:r>
        <w:rPr>
          <w:rFonts w:hint="default" w:ascii="仿宋_GB2312" w:hAnsi="Times New Roman" w:eastAsia="仿宋_GB2312"/>
          <w:color w:val="000000"/>
          <w:sz w:val="32"/>
          <w:szCs w:val="32"/>
          <w:vertAlign w:val="subscript"/>
          <w:lang w:val="en-US" w:eastAsia="zh-CN"/>
        </w:rPr>
        <w:t>2</w:t>
      </w:r>
      <w:r>
        <w:rPr>
          <w:rFonts w:hint="default" w:ascii="仿宋_GB2312" w:hAnsi="Times New Roman" w:eastAsia="仿宋_GB2312"/>
          <w:color w:val="000000"/>
          <w:sz w:val="32"/>
          <w:szCs w:val="32"/>
          <w:vertAlign w:val="baseline"/>
          <w:lang w:val="en-US" w:eastAsia="zh-CN"/>
        </w:rPr>
        <w:t>型</w:t>
      </w:r>
      <w:r>
        <w:rPr>
          <w:rFonts w:hint="default" w:ascii="仿宋_GB2312" w:hAnsi="Times New Roman" w:eastAsia="仿宋_GB2312"/>
          <w:color w:val="000000"/>
          <w:sz w:val="32"/>
          <w:szCs w:val="32"/>
        </w:rPr>
        <w:t>固态储氢材料的热力学性能；设计</w:t>
      </w:r>
      <w:r>
        <w:rPr>
          <w:rFonts w:hint="default" w:ascii="仿宋_GB2312" w:hAnsi="Times New Roman" w:eastAsia="仿宋_GB2312"/>
          <w:color w:val="000000"/>
          <w:sz w:val="32"/>
          <w:szCs w:val="32"/>
          <w:lang w:val="en-US" w:eastAsia="zh-CN"/>
        </w:rPr>
        <w:t>储氢材料</w:t>
      </w:r>
      <w:r>
        <w:rPr>
          <w:rFonts w:hint="default" w:ascii="仿宋_GB2312" w:hAnsi="Times New Roman" w:eastAsia="仿宋_GB2312"/>
          <w:color w:val="000000"/>
          <w:sz w:val="32"/>
          <w:szCs w:val="32"/>
        </w:rPr>
        <w:t>反应床</w:t>
      </w:r>
      <w:r>
        <w:rPr>
          <w:rFonts w:hint="default" w:ascii="仿宋_GB2312" w:hAnsi="Times New Roman" w:eastAsia="仿宋_GB2312"/>
          <w:color w:val="000000"/>
          <w:sz w:val="32"/>
          <w:szCs w:val="32"/>
          <w:lang w:val="en-US" w:eastAsia="zh-CN"/>
        </w:rPr>
        <w:t>适配</w:t>
      </w:r>
      <w:r>
        <w:rPr>
          <w:rFonts w:hint="default" w:ascii="仿宋_GB2312" w:hAnsi="Times New Roman" w:eastAsia="仿宋_GB2312"/>
          <w:color w:val="000000"/>
          <w:sz w:val="32"/>
          <w:szCs w:val="32"/>
        </w:rPr>
        <w:t>结构；开展快速动态响应储氢单元的热物性研究及控制系统技术攻关</w:t>
      </w:r>
      <w:r>
        <w:rPr>
          <w:rFonts w:hint="default" w:ascii="仿宋_GB2312" w:hAnsi="Times New Roman" w:eastAsia="仿宋_GB2312"/>
          <w:color w:val="000000"/>
          <w:sz w:val="32"/>
          <w:szCs w:val="32"/>
          <w:lang w:eastAsia="zh-CN"/>
        </w:rPr>
        <w:t>；</w:t>
      </w:r>
      <w:r>
        <w:rPr>
          <w:rFonts w:hint="default" w:ascii="仿宋_GB2312" w:hAnsi="Times New Roman" w:eastAsia="仿宋_GB2312"/>
          <w:color w:val="000000"/>
          <w:sz w:val="32"/>
          <w:szCs w:val="32"/>
          <w:lang w:val="en-US" w:eastAsia="zh-CN"/>
        </w:rPr>
        <w:t>形成</w:t>
      </w:r>
      <w:r>
        <w:rPr>
          <w:rFonts w:hint="default" w:ascii="仿宋_GB2312" w:hAnsi="Times New Roman" w:eastAsia="仿宋_GB2312"/>
          <w:color w:val="000000"/>
          <w:sz w:val="32"/>
          <w:szCs w:val="32"/>
        </w:rPr>
        <w:t>储氢床体单元生产装备批量化技术</w:t>
      </w:r>
      <w:r>
        <w:rPr>
          <w:rFonts w:hint="default" w:ascii="仿宋_GB2312" w:hAnsi="Times New Roman" w:eastAsia="仿宋_GB2312"/>
          <w:color w:val="000000"/>
          <w:sz w:val="32"/>
          <w:szCs w:val="32"/>
          <w:lang w:val="en-US" w:eastAsia="zh-CN"/>
        </w:rPr>
        <w:t>成果</w:t>
      </w:r>
      <w:r>
        <w:rPr>
          <w:rFonts w:hint="default" w:ascii="仿宋_GB2312" w:hAnsi="Times New Roman" w:eastAsia="仿宋_GB2312"/>
          <w:color w:val="000000"/>
          <w:sz w:val="32"/>
          <w:szCs w:val="32"/>
        </w:rPr>
        <w:t>。</w:t>
      </w:r>
    </w:p>
    <w:p w14:paraId="3190C340">
      <w:pPr>
        <w:spacing w:line="579" w:lineRule="exact"/>
        <w:ind w:firstLine="643" w:firstLineChars="200"/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二、考核指标</w:t>
      </w:r>
    </w:p>
    <w:p w14:paraId="6EB0AF31">
      <w:pPr>
        <w:spacing w:line="579" w:lineRule="exact"/>
        <w:ind w:firstLine="640" w:firstLineChars="200"/>
        <w:rPr>
          <w:rFonts w:hint="default" w:ascii="Times New Roman" w:hAnsi="Times New Roman" w:eastAsia="仿宋_GB2312"/>
          <w:color w:val="auto"/>
          <w:sz w:val="32"/>
          <w:szCs w:val="32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  <w:t>储氢材料</w:t>
      </w:r>
      <w:r>
        <w:rPr>
          <w:rFonts w:hint="default" w:ascii="Times New Roman" w:hAnsi="Times New Roman" w:eastAsia="仿宋_GB2312"/>
          <w:color w:val="auto"/>
          <w:sz w:val="32"/>
          <w:szCs w:val="32"/>
        </w:rPr>
        <w:t>吸/放氢反应焓变≤</w:t>
      </w:r>
      <w:r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/>
          <w:color w:val="auto"/>
          <w:sz w:val="32"/>
          <w:szCs w:val="32"/>
        </w:rPr>
        <w:t>25</w:t>
      </w:r>
      <w:r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  <w:t xml:space="preserve"> kJ</w:t>
      </w:r>
      <w:r>
        <w:rPr>
          <w:rFonts w:hint="default" w:ascii="Times New Roman" w:hAnsi="Times New Roman" w:eastAsia="仿宋_GB2312"/>
          <w:color w:val="auto"/>
          <w:sz w:val="32"/>
          <w:szCs w:val="32"/>
        </w:rPr>
        <w:t>/</w:t>
      </w:r>
      <w:r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  <w:t>mol H</w:t>
      </w:r>
      <w:r>
        <w:rPr>
          <w:rFonts w:hint="default" w:ascii="Times New Roman" w:hAnsi="Times New Roman" w:eastAsia="仿宋_GB2312"/>
          <w:color w:val="auto"/>
          <w:sz w:val="32"/>
          <w:szCs w:val="32"/>
          <w:vertAlign w:val="subscript"/>
          <w:lang w:val="en-US" w:eastAsia="zh-CN"/>
        </w:rPr>
        <w:t>2</w:t>
      </w:r>
      <w:r>
        <w:rPr>
          <w:rFonts w:hint="default" w:ascii="Times New Roman" w:hAnsi="Times New Roman" w:eastAsia="仿宋_GB2312"/>
          <w:color w:val="auto"/>
          <w:sz w:val="32"/>
          <w:szCs w:val="32"/>
        </w:rPr>
        <w:t>，研制≥</w:t>
      </w:r>
      <w:r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  <w:t xml:space="preserve"> 3 kg</w:t>
      </w:r>
      <w:r>
        <w:rPr>
          <w:rFonts w:hint="default" w:ascii="Times New Roman" w:hAnsi="Times New Roman" w:eastAsia="仿宋_GB2312"/>
          <w:color w:val="auto"/>
          <w:sz w:val="32"/>
          <w:szCs w:val="32"/>
        </w:rPr>
        <w:t>储氢</w:t>
      </w:r>
      <w:r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  <w:t>容量的</w:t>
      </w:r>
      <w:r>
        <w:rPr>
          <w:rFonts w:hint="default" w:ascii="Times New Roman" w:hAnsi="Times New Roman" w:eastAsia="仿宋_GB2312"/>
          <w:color w:val="auto"/>
          <w:sz w:val="32"/>
          <w:szCs w:val="32"/>
        </w:rPr>
        <w:t>单元样机，</w:t>
      </w:r>
      <w:r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  <w:t>模块的</w:t>
      </w:r>
      <w:r>
        <w:rPr>
          <w:rFonts w:hint="default" w:ascii="Times New Roman" w:hAnsi="Times New Roman" w:eastAsia="仿宋_GB2312"/>
          <w:color w:val="auto"/>
          <w:sz w:val="32"/>
          <w:szCs w:val="32"/>
        </w:rPr>
        <w:t>体积储氢密度≥</w:t>
      </w:r>
      <w:r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/>
          <w:color w:val="auto"/>
          <w:sz w:val="32"/>
          <w:szCs w:val="32"/>
        </w:rPr>
        <w:t>60 kg/m</w:t>
      </w:r>
      <w:r>
        <w:rPr>
          <w:rFonts w:hint="default" w:ascii="Times New Roman" w:hAnsi="Times New Roman" w:eastAsia="仿宋_GB2312"/>
          <w:color w:val="auto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/>
          <w:color w:val="auto"/>
          <w:sz w:val="32"/>
          <w:szCs w:val="32"/>
        </w:rPr>
        <w:t>，充氢压力≤</w:t>
      </w:r>
      <w:r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/>
          <w:color w:val="auto"/>
          <w:sz w:val="32"/>
          <w:szCs w:val="32"/>
        </w:rPr>
        <w:t>3 MPa，稳定吸氢速率≥</w:t>
      </w:r>
      <w:r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  <w:t xml:space="preserve"> 600 L</w:t>
      </w:r>
      <w:r>
        <w:rPr>
          <w:rFonts w:hint="default" w:ascii="Times New Roman" w:hAnsi="Times New Roman" w:eastAsia="仿宋_GB2312"/>
          <w:color w:val="auto"/>
          <w:sz w:val="32"/>
          <w:szCs w:val="32"/>
        </w:rPr>
        <w:t>/min</w:t>
      </w:r>
      <w:r>
        <w:rPr>
          <w:rFonts w:hint="default" w:ascii="Times New Roman" w:hAnsi="Times New Roman" w:eastAsia="仿宋_GB2312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/>
          <w:color w:val="auto"/>
          <w:sz w:val="32"/>
          <w:szCs w:val="32"/>
        </w:rPr>
        <w:t>稳定</w:t>
      </w:r>
      <w:r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  <w:t>放</w:t>
      </w:r>
      <w:r>
        <w:rPr>
          <w:rFonts w:hint="default" w:ascii="Times New Roman" w:hAnsi="Times New Roman" w:eastAsia="仿宋_GB2312"/>
          <w:color w:val="auto"/>
          <w:sz w:val="32"/>
          <w:szCs w:val="32"/>
        </w:rPr>
        <w:t>氢速率≥</w:t>
      </w:r>
      <w:r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  <w:t xml:space="preserve"> 300 L</w:t>
      </w:r>
      <w:r>
        <w:rPr>
          <w:rFonts w:hint="default" w:ascii="Times New Roman" w:hAnsi="Times New Roman" w:eastAsia="仿宋_GB2312"/>
          <w:color w:val="auto"/>
          <w:sz w:val="32"/>
          <w:szCs w:val="32"/>
        </w:rPr>
        <w:t>/min</w:t>
      </w:r>
      <w:r>
        <w:rPr>
          <w:rFonts w:hint="default" w:ascii="Times New Roman" w:hAnsi="Times New Roman" w:eastAsia="仿宋_GB2312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  <w:t>获得储氢模块控制及批量</w:t>
      </w:r>
      <w:r>
        <w:rPr>
          <w:rFonts w:hint="default" w:ascii="Times New Roman" w:hAnsi="Times New Roman" w:eastAsia="仿宋_GB2312"/>
          <w:color w:val="auto"/>
          <w:sz w:val="32"/>
          <w:szCs w:val="32"/>
        </w:rPr>
        <w:t>生产</w:t>
      </w:r>
      <w:r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  <w:t>技术，形成年产吨级氢容量规模化储氢装置模块的生产能力，在移动式氢能设备上获得示范应用</w:t>
      </w:r>
      <w:r>
        <w:rPr>
          <w:rFonts w:hint="default" w:ascii="Times New Roman" w:hAnsi="Times New Roman" w:eastAsia="仿宋_GB2312"/>
          <w:color w:val="auto"/>
          <w:sz w:val="32"/>
          <w:szCs w:val="32"/>
        </w:rPr>
        <w:t>。</w:t>
      </w:r>
    </w:p>
    <w:p w14:paraId="66664988">
      <w:pPr>
        <w:widowControl/>
        <w:spacing w:line="579" w:lineRule="exact"/>
        <w:ind w:firstLine="643" w:firstLineChars="200"/>
        <w:rPr>
          <w:rFonts w:hint="eastAsia" w:ascii="楷体" w:hAnsi="楷体" w:eastAsia="楷体" w:cs="楷体"/>
          <w:b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color w:val="auto"/>
          <w:sz w:val="32"/>
          <w:szCs w:val="32"/>
        </w:rPr>
        <w:t>三、执行周期</w:t>
      </w:r>
    </w:p>
    <w:p w14:paraId="096C4A10">
      <w:pPr>
        <w:spacing w:line="579" w:lineRule="exact"/>
        <w:ind w:firstLine="640" w:firstLineChars="200"/>
        <w:rPr>
          <w:rFonts w:hint="eastAsia" w:ascii="Times New Roman" w:hAnsi="Times New Roman" w:eastAsia="仿宋_GB2312"/>
          <w:snapToGrid w:val="0"/>
          <w:color w:val="auto"/>
          <w:sz w:val="32"/>
          <w:szCs w:val="32"/>
          <w:lang w:bidi="ar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2年</w:t>
      </w:r>
    </w:p>
    <w:p w14:paraId="0BE984A0">
      <w:pPr>
        <w:spacing w:line="579" w:lineRule="exact"/>
        <w:ind w:firstLine="643" w:firstLineChars="200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四、经费预算</w:t>
      </w:r>
    </w:p>
    <w:p w14:paraId="529B5E36">
      <w:pPr>
        <w:spacing w:line="579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color w:val="auto"/>
          <w:sz w:val="32"/>
          <w:szCs w:val="32"/>
          <w:lang w:bidi="ar"/>
        </w:rPr>
        <w:t>总预算</w:t>
      </w:r>
      <w:r>
        <w:rPr>
          <w:rFonts w:hint="eastAsia" w:ascii="Times New Roman" w:hAnsi="Times New Roman" w:eastAsia="仿宋_GB2312"/>
          <w:snapToGrid w:val="0"/>
          <w:color w:val="auto"/>
          <w:sz w:val="32"/>
          <w:szCs w:val="32"/>
          <w:lang w:val="en-US" w:eastAsia="zh-CN" w:bidi="ar"/>
        </w:rPr>
        <w:t>1600-200</w:t>
      </w:r>
      <w:r>
        <w:rPr>
          <w:rFonts w:hint="eastAsia" w:ascii="Times New Roman" w:hAnsi="Times New Roman" w:eastAsia="仿宋_GB2312"/>
          <w:snapToGrid w:val="0"/>
          <w:color w:val="auto"/>
          <w:sz w:val="32"/>
          <w:szCs w:val="32"/>
          <w:lang w:bidi="ar"/>
        </w:rPr>
        <w:t>0万元，其中省级财政资金</w:t>
      </w:r>
      <w:r>
        <w:rPr>
          <w:rFonts w:hint="eastAsia" w:ascii="Times New Roman" w:hAnsi="Times New Roman" w:eastAsia="仿宋_GB2312"/>
          <w:snapToGrid w:val="0"/>
          <w:color w:val="auto"/>
          <w:sz w:val="32"/>
          <w:szCs w:val="32"/>
          <w:lang w:val="en-US" w:eastAsia="zh-CN" w:bidi="ar"/>
        </w:rPr>
        <w:t>800-10</w:t>
      </w:r>
      <w:r>
        <w:rPr>
          <w:rFonts w:hint="eastAsia" w:ascii="Times New Roman" w:hAnsi="Times New Roman" w:eastAsia="仿宋_GB2312"/>
          <w:snapToGrid w:val="0"/>
          <w:color w:val="auto"/>
          <w:sz w:val="32"/>
          <w:szCs w:val="32"/>
          <w:lang w:bidi="ar"/>
        </w:rPr>
        <w:t>00万元，</w:t>
      </w:r>
      <w:r>
        <w:rPr>
          <w:rFonts w:hint="eastAsia" w:ascii="Times New Roman" w:hAnsi="Times New Roman" w:eastAsia="仿宋_GB2312"/>
          <w:snapToGrid w:val="0"/>
          <w:sz w:val="32"/>
          <w:szCs w:val="32"/>
          <w:lang w:bidi="ar"/>
        </w:rPr>
        <w:t>企业配套经费比例不低于1:1。</w:t>
      </w:r>
    </w:p>
    <w:p w14:paraId="2AE487E8">
      <w:pPr>
        <w:spacing w:line="579" w:lineRule="exact"/>
        <w:rPr>
          <w:rFonts w:ascii="仿宋" w:hAnsi="仿宋" w:eastAsia="仿宋" w:cs="仿宋"/>
          <w:sz w:val="32"/>
          <w:szCs w:val="32"/>
        </w:rPr>
      </w:pPr>
    </w:p>
    <w:p w14:paraId="794DB65E">
      <w:pPr>
        <w:spacing w:line="579" w:lineRule="exac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用氢材料、部件与系统领域</w:t>
      </w:r>
    </w:p>
    <w:p w14:paraId="3E616037">
      <w:pPr>
        <w:spacing w:line="579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</w:p>
    <w:p w14:paraId="0D30B827">
      <w:pPr>
        <w:widowControl/>
        <w:spacing w:line="579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项目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：</w:t>
      </w:r>
      <w:r>
        <w:rPr>
          <w:rFonts w:hint="eastAsia" w:ascii="黑体" w:hAnsi="黑体" w:eastAsia="黑体"/>
          <w:sz w:val="32"/>
          <w:szCs w:val="32"/>
        </w:rPr>
        <w:t>高可靠、高环境适应性空冷型燃料电池电堆产业化关键技术研究</w:t>
      </w:r>
    </w:p>
    <w:p w14:paraId="51BCCDCD">
      <w:pPr>
        <w:widowControl/>
        <w:spacing w:line="579" w:lineRule="exact"/>
        <w:ind w:firstLine="643" w:firstLineChars="200"/>
        <w:rPr>
          <w:rFonts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一、研究内容</w:t>
      </w:r>
    </w:p>
    <w:p w14:paraId="01EA5953">
      <w:pPr>
        <w:widowControl/>
        <w:spacing w:line="579" w:lineRule="exact"/>
        <w:ind w:firstLine="640" w:firstLineChars="200"/>
        <w:rPr>
          <w:rFonts w:hint="eastAsia" w:ascii="Times New Roman" w:hAnsi="Times New Roman" w:eastAsia="仿宋_GB2312" w:cs="Times New Roman"/>
          <w:snapToGrid w:val="0"/>
          <w:color w:val="auto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充分发挥吉林省氢能资源的潜在优势，针对当前市场前景好、需求大、成本接受度高、易于商业化的旅游娱乐、物流配送、低空经济等领域对小型氢燃料电池动力源的迫切需求，聚焦环境适应性好、续航能力强、控制管理简易的空冷型燃料电池电堆，开展产业化关键技术研究，具体包括：开展空冷型燃料电池电堆结构设计，基于自主研发的材料与部件，开展电堆组装技术研究；开展环境适应性测试；开展生产工艺研究，实现燃料电池核心部件及电堆的自主生产能力；选择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旅游观光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无人机典型应用场景，开展示范应用研究，为大规模应用推广奠定基础。</w:t>
      </w:r>
    </w:p>
    <w:p w14:paraId="4578E805">
      <w:pPr>
        <w:widowControl/>
        <w:spacing w:line="579" w:lineRule="exact"/>
        <w:ind w:firstLine="643" w:firstLineChars="200"/>
        <w:rPr>
          <w:rFonts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二、考核指标</w:t>
      </w:r>
    </w:p>
    <w:p w14:paraId="2E4DC016">
      <w:pPr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基于自主研发的材料与部件组装的空冷型电堆最大功率≥5kW，最大质量功率密度≥1000W/kg，</w:t>
      </w:r>
      <w:bookmarkStart w:id="3" w:name="OLE_LINK9"/>
      <w:bookmarkStart w:id="4" w:name="OLE_LINK8"/>
      <w:r>
        <w:rPr>
          <w:rFonts w:hint="default" w:ascii="Times New Roman" w:hAnsi="Times New Roman" w:eastAsia="仿宋_GB2312" w:cs="Times New Roman"/>
          <w:sz w:val="32"/>
          <w:szCs w:val="32"/>
        </w:rPr>
        <w:t>寿命≥5000h（实测1000小时，衰减率≤2%）</w:t>
      </w:r>
      <w:bookmarkEnd w:id="3"/>
      <w:bookmarkEnd w:id="4"/>
      <w:r>
        <w:rPr>
          <w:rFonts w:hint="default" w:ascii="Times New Roman" w:hAnsi="Times New Roman" w:eastAsia="仿宋_GB2312" w:cs="Times New Roman"/>
          <w:sz w:val="32"/>
          <w:szCs w:val="32"/>
        </w:rPr>
        <w:t>，环境温度-20°C~40°C（裸堆），环境湿度10%~90%，最大海拔高度4000米，零部件国产化率≥85%，产能</w:t>
      </w:r>
      <w:bookmarkStart w:id="5" w:name="OLE_LINK1"/>
      <w:bookmarkStart w:id="6" w:name="OLE_LINK2"/>
      <w:r>
        <w:rPr>
          <w:rFonts w:hint="default" w:ascii="Times New Roman" w:hAnsi="Times New Roman" w:eastAsia="仿宋_GB2312" w:cs="Times New Roman"/>
          <w:sz w:val="32"/>
          <w:szCs w:val="32"/>
        </w:rPr>
        <w:t>≥</w:t>
      </w:r>
      <w:bookmarkEnd w:id="5"/>
      <w:bookmarkEnd w:id="6"/>
      <w:r>
        <w:rPr>
          <w:rFonts w:hint="default" w:ascii="Times New Roman" w:hAnsi="Times New Roman" w:eastAsia="仿宋_GB2312" w:cs="Times New Roman"/>
          <w:sz w:val="32"/>
          <w:szCs w:val="32"/>
        </w:rPr>
        <w:t>1000台/年；开发燃料电池旅游观光车、无人机等燃料电池产品2种以上，并实现一个以上燃料电池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产品的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示范应用。</w:t>
      </w:r>
    </w:p>
    <w:p w14:paraId="790CA0E1">
      <w:pPr>
        <w:widowControl/>
        <w:spacing w:line="579" w:lineRule="exact"/>
        <w:ind w:firstLine="643" w:firstLineChars="200"/>
        <w:rPr>
          <w:rFonts w:ascii="楷体" w:hAnsi="楷体" w:eastAsia="楷体" w:cs="楷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三、执行周期</w:t>
      </w:r>
    </w:p>
    <w:p w14:paraId="133CF903">
      <w:pPr>
        <w:spacing w:line="579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2年</w:t>
      </w:r>
    </w:p>
    <w:p w14:paraId="17014C23">
      <w:pPr>
        <w:spacing w:line="579" w:lineRule="exact"/>
        <w:ind w:firstLine="643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四、经费预算</w:t>
      </w:r>
    </w:p>
    <w:p w14:paraId="7F1FC736">
      <w:pPr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bidi="ar"/>
        </w:rPr>
        <w:t>总预算2000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val="en-US" w:eastAsia="zh-CN" w:bidi="ar"/>
        </w:rPr>
        <w:t>-2400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bidi="ar"/>
        </w:rPr>
        <w:t>万元，其中省级财政资金1000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val="en-US" w:eastAsia="zh-CN" w:bidi="ar"/>
        </w:rPr>
        <w:t>-1200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bidi="ar"/>
        </w:rPr>
        <w:t>万元，企业配套经费比例不低于1:1。</w:t>
      </w:r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4EA4656-3CBC-420A-BAFF-ACEA90F9BEB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19F4EAC-6D67-4B86-AF47-9A7CD382BA9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C0F64AB-5C85-48E2-B889-1B6FC79DB859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3AD3D384-D241-4136-8EC1-EE9BC544377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8B26B8A5-D842-4E14-9D1B-6503C2526AF7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12F2A5C5-4B81-483F-8930-AE8718979E2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5D5EB7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BE6EE8">
                          <w:pPr>
                            <w:pStyle w:val="5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- 2 -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BE6EE8">
                    <w:pPr>
                      <w:pStyle w:val="5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</w:rPr>
                      <w:t>- 2 -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2YWJlOThjOTFmN2JiYzA2YjhjMjM1ODI5ODNhN2QifQ=="/>
  </w:docVars>
  <w:rsids>
    <w:rsidRoot w:val="005E1AF6"/>
    <w:rsid w:val="00002603"/>
    <w:rsid w:val="00035008"/>
    <w:rsid w:val="00092240"/>
    <w:rsid w:val="000E205E"/>
    <w:rsid w:val="00194DD6"/>
    <w:rsid w:val="002D2525"/>
    <w:rsid w:val="00394ECF"/>
    <w:rsid w:val="0042196E"/>
    <w:rsid w:val="004472EA"/>
    <w:rsid w:val="00493EC0"/>
    <w:rsid w:val="00512B56"/>
    <w:rsid w:val="005464FE"/>
    <w:rsid w:val="005E1AF6"/>
    <w:rsid w:val="006670AA"/>
    <w:rsid w:val="006A4FC9"/>
    <w:rsid w:val="00771F32"/>
    <w:rsid w:val="007F079C"/>
    <w:rsid w:val="007F26BA"/>
    <w:rsid w:val="00877219"/>
    <w:rsid w:val="008C550D"/>
    <w:rsid w:val="00937618"/>
    <w:rsid w:val="009D4D62"/>
    <w:rsid w:val="00A0602E"/>
    <w:rsid w:val="00A06478"/>
    <w:rsid w:val="00A31F84"/>
    <w:rsid w:val="00CE3C69"/>
    <w:rsid w:val="00D66DA5"/>
    <w:rsid w:val="00D67DB4"/>
    <w:rsid w:val="00DD3649"/>
    <w:rsid w:val="00E352F4"/>
    <w:rsid w:val="00F3514E"/>
    <w:rsid w:val="00F73591"/>
    <w:rsid w:val="00FC7E89"/>
    <w:rsid w:val="05406AA1"/>
    <w:rsid w:val="080F7088"/>
    <w:rsid w:val="0FED6894"/>
    <w:rsid w:val="16EF2274"/>
    <w:rsid w:val="17FE6898"/>
    <w:rsid w:val="1A1F0777"/>
    <w:rsid w:val="24EF69CA"/>
    <w:rsid w:val="25E8B757"/>
    <w:rsid w:val="2DBBB8D2"/>
    <w:rsid w:val="2EDF98B9"/>
    <w:rsid w:val="2EEF0F6A"/>
    <w:rsid w:val="335C8E81"/>
    <w:rsid w:val="37FD55D3"/>
    <w:rsid w:val="37FE286C"/>
    <w:rsid w:val="38ECADE1"/>
    <w:rsid w:val="3AA02F76"/>
    <w:rsid w:val="3AEFBA23"/>
    <w:rsid w:val="3B72D897"/>
    <w:rsid w:val="3DBFC702"/>
    <w:rsid w:val="3EEF446B"/>
    <w:rsid w:val="3F17E002"/>
    <w:rsid w:val="3F6F8002"/>
    <w:rsid w:val="3F773259"/>
    <w:rsid w:val="3F7BC64D"/>
    <w:rsid w:val="3FFF2505"/>
    <w:rsid w:val="460FCAA0"/>
    <w:rsid w:val="46BA491A"/>
    <w:rsid w:val="46FF21C4"/>
    <w:rsid w:val="510AD25B"/>
    <w:rsid w:val="51778424"/>
    <w:rsid w:val="55CE8C9F"/>
    <w:rsid w:val="56F6E4DD"/>
    <w:rsid w:val="57DF83E6"/>
    <w:rsid w:val="59ED5E00"/>
    <w:rsid w:val="5AFECACD"/>
    <w:rsid w:val="5D2AA678"/>
    <w:rsid w:val="5DFBC7F0"/>
    <w:rsid w:val="5EB721BF"/>
    <w:rsid w:val="5F7B3985"/>
    <w:rsid w:val="5F8E65CD"/>
    <w:rsid w:val="5FA300CE"/>
    <w:rsid w:val="5FB7F387"/>
    <w:rsid w:val="5FBB44D3"/>
    <w:rsid w:val="5FEF0DC0"/>
    <w:rsid w:val="5FFAC41F"/>
    <w:rsid w:val="5FFB99F0"/>
    <w:rsid w:val="624C293C"/>
    <w:rsid w:val="65849A05"/>
    <w:rsid w:val="67E22AE4"/>
    <w:rsid w:val="68FF2440"/>
    <w:rsid w:val="69DE353C"/>
    <w:rsid w:val="6A3B38DA"/>
    <w:rsid w:val="6B7FF90F"/>
    <w:rsid w:val="6C7B38CD"/>
    <w:rsid w:val="6D4074C9"/>
    <w:rsid w:val="6DE389C7"/>
    <w:rsid w:val="6DFF6D7F"/>
    <w:rsid w:val="6F3EC4C6"/>
    <w:rsid w:val="6F55151F"/>
    <w:rsid w:val="6F9B5639"/>
    <w:rsid w:val="6FAB6244"/>
    <w:rsid w:val="6FFDC46A"/>
    <w:rsid w:val="713FE651"/>
    <w:rsid w:val="71E7BE0F"/>
    <w:rsid w:val="71FFD7C6"/>
    <w:rsid w:val="72573CF3"/>
    <w:rsid w:val="739F8E99"/>
    <w:rsid w:val="73DF364C"/>
    <w:rsid w:val="74BC20D2"/>
    <w:rsid w:val="74DDDE03"/>
    <w:rsid w:val="75B3CB3D"/>
    <w:rsid w:val="761F560E"/>
    <w:rsid w:val="7629200F"/>
    <w:rsid w:val="76F6BA70"/>
    <w:rsid w:val="76FF15C3"/>
    <w:rsid w:val="77BFC1ED"/>
    <w:rsid w:val="78FF4092"/>
    <w:rsid w:val="79F4DDEC"/>
    <w:rsid w:val="79F5191A"/>
    <w:rsid w:val="7BF31927"/>
    <w:rsid w:val="7DDDB732"/>
    <w:rsid w:val="7DFA0A3D"/>
    <w:rsid w:val="7DFEB8ED"/>
    <w:rsid w:val="7E44ABC3"/>
    <w:rsid w:val="7EDB0479"/>
    <w:rsid w:val="7EF74E72"/>
    <w:rsid w:val="7EFBDAFE"/>
    <w:rsid w:val="7EFF2AAC"/>
    <w:rsid w:val="7F1ADCB8"/>
    <w:rsid w:val="7F522715"/>
    <w:rsid w:val="7F7F261A"/>
    <w:rsid w:val="7FB91AE8"/>
    <w:rsid w:val="7FBFE2EC"/>
    <w:rsid w:val="7FDF6917"/>
    <w:rsid w:val="7FE1499F"/>
    <w:rsid w:val="7FE7C906"/>
    <w:rsid w:val="7FFF7B81"/>
    <w:rsid w:val="9CBFD5EE"/>
    <w:rsid w:val="9EBF62BF"/>
    <w:rsid w:val="9FBF45AC"/>
    <w:rsid w:val="A3F73426"/>
    <w:rsid w:val="A7EE59EA"/>
    <w:rsid w:val="AE9BBA0E"/>
    <w:rsid w:val="B7FDF728"/>
    <w:rsid w:val="BAFFD66C"/>
    <w:rsid w:val="BD5A01CC"/>
    <w:rsid w:val="BEF2436E"/>
    <w:rsid w:val="C4ED02DD"/>
    <w:rsid w:val="CED52569"/>
    <w:rsid w:val="CF64E76C"/>
    <w:rsid w:val="CFF5ACC0"/>
    <w:rsid w:val="D0F53E95"/>
    <w:rsid w:val="D337EBC2"/>
    <w:rsid w:val="D59F03DA"/>
    <w:rsid w:val="D7BF2F68"/>
    <w:rsid w:val="D7EF3595"/>
    <w:rsid w:val="DAEA74B8"/>
    <w:rsid w:val="DCFFB436"/>
    <w:rsid w:val="DD27747A"/>
    <w:rsid w:val="DDEFB241"/>
    <w:rsid w:val="DE7CF58C"/>
    <w:rsid w:val="DF7FF252"/>
    <w:rsid w:val="DFD677F1"/>
    <w:rsid w:val="DFE54CE3"/>
    <w:rsid w:val="DFFE5DC7"/>
    <w:rsid w:val="DFFFFA82"/>
    <w:rsid w:val="E5EF9AE4"/>
    <w:rsid w:val="E6BA730D"/>
    <w:rsid w:val="E76FD6D6"/>
    <w:rsid w:val="E77F4D66"/>
    <w:rsid w:val="E9F6CAAC"/>
    <w:rsid w:val="EEBF3B1F"/>
    <w:rsid w:val="EEDDFE64"/>
    <w:rsid w:val="EFAC656F"/>
    <w:rsid w:val="EFEF8057"/>
    <w:rsid w:val="EFF3F252"/>
    <w:rsid w:val="F3EDE4BC"/>
    <w:rsid w:val="F3FF7353"/>
    <w:rsid w:val="F6FB8831"/>
    <w:rsid w:val="F7327AD3"/>
    <w:rsid w:val="F73FFB1E"/>
    <w:rsid w:val="F787543D"/>
    <w:rsid w:val="F79BE764"/>
    <w:rsid w:val="F7BEC1BC"/>
    <w:rsid w:val="F7DA0F81"/>
    <w:rsid w:val="F7FDBB2C"/>
    <w:rsid w:val="F7FFD121"/>
    <w:rsid w:val="F83F45C7"/>
    <w:rsid w:val="F9DD1610"/>
    <w:rsid w:val="F9DFF8BB"/>
    <w:rsid w:val="F9FFF2FA"/>
    <w:rsid w:val="FA6DBEC4"/>
    <w:rsid w:val="FB788871"/>
    <w:rsid w:val="FBBB8F1B"/>
    <w:rsid w:val="FD3DF9D8"/>
    <w:rsid w:val="FDAB50E2"/>
    <w:rsid w:val="FDBBDAF3"/>
    <w:rsid w:val="FDFFD9F7"/>
    <w:rsid w:val="FE534EA7"/>
    <w:rsid w:val="FE7F3BA4"/>
    <w:rsid w:val="FF2E2851"/>
    <w:rsid w:val="FF4706EA"/>
    <w:rsid w:val="FF5F620C"/>
    <w:rsid w:val="FF7B57C4"/>
    <w:rsid w:val="FF7F6D81"/>
    <w:rsid w:val="FF7FCA86"/>
    <w:rsid w:val="FFB33904"/>
    <w:rsid w:val="FFBDA494"/>
    <w:rsid w:val="FFCF8465"/>
    <w:rsid w:val="FFE6FAAD"/>
    <w:rsid w:val="FFF4F293"/>
    <w:rsid w:val="FFF9AA4F"/>
    <w:rsid w:val="FFFB0B28"/>
    <w:rsid w:val="FFFD0DD8"/>
    <w:rsid w:val="FFFEBF83"/>
    <w:rsid w:val="FFFF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snapToGrid w:val="0"/>
      <w:spacing w:line="560" w:lineRule="exact"/>
      <w:outlineLvl w:val="1"/>
    </w:pPr>
    <w:rPr>
      <w:rFonts w:ascii="仿宋_GB2312" w:eastAsia="仿宋_GB2312"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qFormat/>
    <w:uiPriority w:val="0"/>
    <w:pPr>
      <w:spacing w:after="120"/>
    </w:pPr>
  </w:style>
  <w:style w:type="paragraph" w:styleId="4">
    <w:name w:val="Balloon Text"/>
    <w:basedOn w:val="1"/>
    <w:link w:val="10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oc 1"/>
    <w:basedOn w:val="1"/>
    <w:next w:val="1"/>
    <w:unhideWhenUsed/>
    <w:qFormat/>
    <w:uiPriority w:val="39"/>
    <w:pPr>
      <w:tabs>
        <w:tab w:val="right" w:leader="dot" w:pos="8494"/>
      </w:tabs>
      <w:ind w:firstLine="627"/>
      <w:jc w:val="center"/>
    </w:pPr>
    <w:rPr>
      <w:rFonts w:ascii="仿宋" w:hAnsi="仿宋" w:eastAsia="仿宋" w:cs="仿宋"/>
      <w:sz w:val="32"/>
      <w:szCs w:val="32"/>
    </w:rPr>
  </w:style>
  <w:style w:type="character" w:customStyle="1" w:styleId="10">
    <w:name w:val="批注框文本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1">
    <w:name w:val="正文文本 字符"/>
    <w:basedOn w:val="9"/>
    <w:link w:val="3"/>
    <w:qFormat/>
    <w:uiPriority w:val="0"/>
    <w:rPr>
      <w:rFonts w:hint="default" w:ascii="Calibri" w:hAnsi="Calibri" w:cs="Calibri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6C2B35-5DA6-4061-82CA-03E842FAF2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4</Pages>
  <Words>1371</Words>
  <Characters>1581</Characters>
  <Lines>4</Lines>
  <Paragraphs>1</Paragraphs>
  <TotalTime>0</TotalTime>
  <ScaleCrop>false</ScaleCrop>
  <LinksUpToDate>false</LinksUpToDate>
  <CharactersWithSpaces>1595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2025-05-08T15:19:00Z</dcterms:created>
  <dc:creator>kjt</dc:creator>
  <cp:lastModifiedBy>   ⚡️</cp:lastModifiedBy>
  <cp:lastPrinted>2024-11-12T08:55:00Z</cp:lastPrinted>
  <dcterms:modified xsi:type="dcterms:W3CDTF">2025-05-15T07:00:21Z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A037F85CA12E426183541DDCBABCA24A_13</vt:lpwstr>
  </property>
  <property fmtid="{D5CDD505-2E9C-101B-9397-08002B2CF9AE}" pid="4" name="KSOTemplateDocerSaveRecord">
    <vt:lpwstr>eyJoZGlkIjoiNzNhYzAzODNkYTUyNjVlOTRlYmQwNjU1ODBhYTVjMDgiLCJ1c2VySWQiOiIzNjU0MjY4NDEifQ==</vt:lpwstr>
  </property>
</Properties>
</file>