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5CDE" w14:textId="04F8A1E9" w:rsidR="00177951" w:rsidRPr="003C564D" w:rsidRDefault="00177951" w:rsidP="00177951">
      <w:pPr>
        <w:jc w:val="center"/>
        <w:rPr>
          <w:b/>
          <w:sz w:val="36"/>
          <w:szCs w:val="36"/>
        </w:rPr>
      </w:pPr>
      <w:r w:rsidRPr="003C564D">
        <w:rPr>
          <w:rFonts w:hint="eastAsia"/>
          <w:b/>
          <w:sz w:val="36"/>
          <w:szCs w:val="36"/>
        </w:rPr>
        <w:t>科技创新发展“十四五”规划</w:t>
      </w:r>
    </w:p>
    <w:p w14:paraId="406A2744" w14:textId="77777777" w:rsidR="00177951" w:rsidRPr="00177951" w:rsidRDefault="00177951" w:rsidP="00177951">
      <w:pPr>
        <w:jc w:val="center"/>
        <w:rPr>
          <w:sz w:val="36"/>
          <w:szCs w:val="32"/>
        </w:rPr>
      </w:pPr>
    </w:p>
    <w:p w14:paraId="43713877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按照《长春净月高新技术产业开发区“十四五”规划编制工作方案》的具体工作安排，我们认真梳理、总结了“十三五”期间全区科技创新发展情况，并根据我区现有科技创新发展的基础以及重点产业布局，初步形成了科技创新发展</w:t>
      </w:r>
      <w:r w:rsidR="00B92244" w:rsidRPr="00000B56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“十四五”规划。具体情况报告如下：</w:t>
      </w:r>
    </w:p>
    <w:p w14:paraId="6990021F" w14:textId="77777777" w:rsidR="00177951" w:rsidRPr="00000B56" w:rsidRDefault="00177951" w:rsidP="003C564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00B56">
        <w:rPr>
          <w:rFonts w:ascii="Times New Roman" w:eastAsia="仿宋" w:hAnsi="Times New Roman" w:hint="eastAsia"/>
          <w:sz w:val="32"/>
          <w:szCs w:val="32"/>
        </w:rPr>
        <w:t>一、“十三五”时期主要成果</w:t>
      </w:r>
    </w:p>
    <w:p w14:paraId="54AE57BF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“十三五”以来，按照国家高新区的使命和方向，立足区域发展实际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强优势、补短板、筑生态，全区科技创新呈现出良好的发展态势。</w:t>
      </w:r>
    </w:p>
    <w:p w14:paraId="3F691739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一是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坚持内培外引，大力培育科技创新主体。通过实施创新主体培育工程，引导企业与高校、科研院所合作，打造以企业为主体、市场化为导向的技术创新体系，不断培育和挖潜企业自主创新能力，全区科技创新主体呈现爆发式增长。国家高新技术企业</w:t>
      </w:r>
      <w:r w:rsidR="000A24A0" w:rsidRPr="00000B56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="008B6430" w:rsidRPr="00000B56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户增长到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120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户，长春市科技型小巨人企业</w:t>
      </w:r>
      <w:r w:rsidR="000A24A0" w:rsidRPr="00000B56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户增长到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69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户，省级科技型小巨人企业达到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户。技术交易合同备案累计实现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76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亿元。</w:t>
      </w:r>
    </w:p>
    <w:p w14:paraId="3DACC192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二是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紧抓载体建设，持续放大产业孵化空间。孵化载体建设从零起步，利用五年时间，打造了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29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个孵化载体，其中：国家级孵化载体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个，省级孵化载体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个，总面积达到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32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万平方米，在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孵企业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645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户，累积孵化高新技术企业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54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户。同时，还打造谋划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了津长双创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服务中心、</w:t>
      </w:r>
      <w:r w:rsidR="00493736" w:rsidRPr="00000B56">
        <w:rPr>
          <w:rFonts w:ascii="Times New Roman" w:eastAsia="仿宋" w:hAnsi="Times New Roman" w:cs="Times New Roman" w:hint="eastAsia"/>
          <w:sz w:val="32"/>
          <w:szCs w:val="32"/>
        </w:rPr>
        <w:t>一亿中流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上市企业加速器、科技成果承接转化基地三个辐射全区的孵化空间，以及生物医药产业、光电子产业等服务全区的公共服务平台。</w:t>
      </w:r>
    </w:p>
    <w:p w14:paraId="278ACC0B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三是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强化政策引导，不断激发区域创新活力。通过借鉴成都高新区、天津滨海新区等发达高新区的政策，对原有政策体系进行了修改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完善，进一步加大了政策支持力度与扶持范围，累计兑现落实政策资金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6130</w:t>
      </w:r>
      <w:r w:rsidR="002E1698" w:rsidRPr="00000B56">
        <w:rPr>
          <w:rFonts w:ascii="Times New Roman" w:eastAsia="仿宋" w:hAnsi="Times New Roman" w:cs="Times New Roman" w:hint="eastAsia"/>
          <w:sz w:val="32"/>
          <w:szCs w:val="32"/>
        </w:rPr>
        <w:t>万元。同时，辅导推荐</w:t>
      </w:r>
      <w:r w:rsidR="002E1698" w:rsidRPr="00000B56">
        <w:rPr>
          <w:rFonts w:ascii="Times New Roman" w:eastAsia="仿宋" w:hAnsi="Times New Roman" w:cs="Times New Roman" w:hint="eastAsia"/>
          <w:sz w:val="32"/>
          <w:szCs w:val="32"/>
        </w:rPr>
        <w:t>100</w:t>
      </w:r>
      <w:r w:rsidR="002E1698" w:rsidRPr="00000B56">
        <w:rPr>
          <w:rFonts w:ascii="Times New Roman" w:eastAsia="仿宋" w:hAnsi="Times New Roman" w:cs="Times New Roman" w:hint="eastAsia"/>
          <w:sz w:val="32"/>
          <w:szCs w:val="32"/>
        </w:rPr>
        <w:t>多个项目申报省、市科技发展计划等科技项目，累积申报项目资金</w:t>
      </w:r>
      <w:r w:rsidR="002E1698" w:rsidRPr="00000B56">
        <w:rPr>
          <w:rFonts w:ascii="Times New Roman" w:eastAsia="仿宋" w:hAnsi="Times New Roman" w:cs="Times New Roman" w:hint="eastAsia"/>
          <w:sz w:val="32"/>
          <w:szCs w:val="32"/>
        </w:rPr>
        <w:t>6000</w:t>
      </w:r>
      <w:r w:rsidR="002E1698" w:rsidRPr="00000B56">
        <w:rPr>
          <w:rFonts w:ascii="Times New Roman" w:eastAsia="仿宋" w:hAnsi="Times New Roman" w:cs="Times New Roman" w:hint="eastAsia"/>
          <w:sz w:val="32"/>
          <w:szCs w:val="32"/>
        </w:rPr>
        <w:t>余万元</w:t>
      </w:r>
      <w:r w:rsidR="00D63D18" w:rsidRPr="00000B5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为企业实现创新发展提供了有力支撑。</w:t>
      </w:r>
    </w:p>
    <w:p w14:paraId="12C278D9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四是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把握对口契机，深化与东部发达地区合作。把握国家推动老东北工业基地新一轮振兴有利机遇，为贯彻落实国务院关于开展对口合作工作的相关工作部署和要求，打造了总面积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44000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平方米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的津长双创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服务中心。引进培育各类企业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62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家，其中高新技术企业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13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家，虚拟注册企业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119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家，引进打造了知识产权促进中心、长春科技金融中心净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月分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中心等</w:t>
      </w:r>
      <w:r w:rsidR="00ED64DD" w:rsidRPr="00000B56">
        <w:rPr>
          <w:rFonts w:ascii="Times New Roman" w:eastAsia="仿宋" w:hAnsi="Times New Roman" w:cs="Times New Roman" w:hint="eastAsia"/>
          <w:sz w:val="32"/>
          <w:szCs w:val="32"/>
        </w:rPr>
        <w:t>公共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服务平台。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49A2CECF" w14:textId="77777777" w:rsidR="00177951" w:rsidRPr="00000B56" w:rsidRDefault="00177951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五是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营造双创氛围，不断提升创新创业活力。先后组织承办了第六届、第七届中国创新创业大赛吉林赛区赛事，阿里巴巴“诸神之战”全球创科大赛（东北亚赛区），中英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年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硬科技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创新创业大赛，吉林省首届数字产业高峰论坛等极具影响力的赛事及活动，在全区创业者心中树立起了良好的口碑，全区创新创业活力不断提升。</w:t>
      </w:r>
    </w:p>
    <w:p w14:paraId="05E4BAF6" w14:textId="77777777" w:rsidR="002A0548" w:rsidRPr="00000B56" w:rsidRDefault="00ED64DD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三、“十四五”</w:t>
      </w:r>
      <w:r w:rsidR="007E77EE" w:rsidRPr="00000B56">
        <w:rPr>
          <w:rFonts w:ascii="Times New Roman" w:eastAsia="仿宋" w:hAnsi="Times New Roman" w:cs="Times New Roman" w:hint="eastAsia"/>
          <w:sz w:val="32"/>
          <w:szCs w:val="32"/>
        </w:rPr>
        <w:t>时期发展思路</w:t>
      </w:r>
    </w:p>
    <w:p w14:paraId="32E52817" w14:textId="77777777" w:rsidR="00F27092" w:rsidRPr="00000B56" w:rsidRDefault="00F27092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一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）提升自主</w:t>
      </w:r>
      <w:r w:rsidRPr="00000B56">
        <w:rPr>
          <w:rFonts w:ascii="Times New Roman" w:eastAsia="仿宋" w:hAnsi="Times New Roman" w:cs="宋体" w:hint="eastAsia"/>
          <w:sz w:val="32"/>
          <w:szCs w:val="32"/>
        </w:rPr>
        <w:t>创</w:t>
      </w:r>
      <w:r w:rsidRPr="00000B56">
        <w:rPr>
          <w:rFonts w:ascii="Times New Roman" w:eastAsia="仿宋" w:hAnsi="Times New Roman" w:cs="MS Mincho" w:hint="eastAsia"/>
          <w:sz w:val="32"/>
          <w:szCs w:val="32"/>
        </w:rPr>
        <w:t>新能力。</w:t>
      </w:r>
    </w:p>
    <w:p w14:paraId="1C3FC117" w14:textId="77777777" w:rsidR="00F27092" w:rsidRPr="00000B56" w:rsidRDefault="00F27092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1.</w:t>
      </w: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建设公共创新平台。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完善光电子、新材料、生物医药、新能源、生态农业等技术服务平台。整合高校、科研机构和企业的实验、检测等资源，建立开放共享的开放实验室。依托企业、高校、科研院所建设一批科技成果中试中心、工业性实验基地和实验站。深入推进</w:t>
      </w:r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新型产业研究院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建设，推动科技创新资源和市场需求直接对接。建立新型研发机构，探索集聚高端创新资源、加速科技成果转化新模式。</w:t>
      </w:r>
    </w:p>
    <w:p w14:paraId="54DF54D0" w14:textId="77777777" w:rsidR="00F27092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2.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培育技术创新主体。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大力培育高新技术企业、科技小巨人企业，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打造一批拥有核心技术、竞争力强、成长性好的科技领军企业。落实研发费用加计扣除政策，引导企业加大研发投入。</w:t>
      </w:r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完善企业全生命周期梯度培育链条，构建以雏鹰企业、瞪</w:t>
      </w:r>
      <w:proofErr w:type="gramStart"/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羚</w:t>
      </w:r>
      <w:proofErr w:type="gramEnd"/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企业、独角兽企业为重点的企业梯度培育体系，扶持企业发展壮大。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组织开展产学研协同创新，鼓励企业与高校、科研院所开展战略合作，共建产业技术战略联盟、共建新型研发机构，为企业发展提供技术支撑。</w:t>
      </w:r>
    </w:p>
    <w:p w14:paraId="16C59804" w14:textId="77777777" w:rsidR="00F27092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3.</w:t>
      </w:r>
      <w:r w:rsidR="00F27092"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聚集科技创新资源。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加大政策力度，鼓励、吸引两院院士、高端科技人才及团队在</w:t>
      </w:r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净月高新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区创办企业、开展科研成果转化、建设创新平台等创新创业活动。探索与</w:t>
      </w:r>
      <w:r w:rsidR="009076AB" w:rsidRPr="00000B56">
        <w:rPr>
          <w:rFonts w:ascii="Times New Roman" w:eastAsia="仿宋" w:hAnsi="Times New Roman" w:cs="Times New Roman" w:hint="eastAsia"/>
          <w:sz w:val="32"/>
          <w:szCs w:val="32"/>
        </w:rPr>
        <w:t>中科院长春分院、长春光机所、长春应化所、吉林大学、东北师范大学、吉林农业大学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等高校院所科技人才、科技成果等科技资源在</w:t>
      </w:r>
      <w:r w:rsidR="00764A74" w:rsidRPr="00000B56">
        <w:rPr>
          <w:rFonts w:ascii="Times New Roman" w:eastAsia="仿宋" w:hAnsi="Times New Roman" w:cs="Times New Roman" w:hint="eastAsia"/>
          <w:sz w:val="32"/>
          <w:szCs w:val="32"/>
        </w:rPr>
        <w:t>净月高新区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创新创业。加强与浙江、天津、北京、上海、江苏、广东、深圳等</w:t>
      </w:r>
      <w:proofErr w:type="gramStart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地区域</w:t>
      </w:r>
      <w:proofErr w:type="gramEnd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科技合作，重点推进津长（吉浙）双创合作示范基地建设。</w:t>
      </w:r>
    </w:p>
    <w:p w14:paraId="35658CDF" w14:textId="77777777" w:rsidR="00F27092" w:rsidRPr="00000B56" w:rsidRDefault="00F27092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）完善创新创业生态系统。</w:t>
      </w:r>
    </w:p>
    <w:p w14:paraId="13DA226D" w14:textId="77777777" w:rsidR="00F27092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1.</w:t>
      </w:r>
      <w:r w:rsidR="005D0708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打造</w:t>
      </w:r>
      <w:r w:rsidR="008A2577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创新创业</w:t>
      </w:r>
      <w:r w:rsidR="005D0708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新高地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依托在长“大校、大所、大企、大区”大力发展综合性和专业化孵化器，积极</w:t>
      </w:r>
      <w:proofErr w:type="gramStart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发展创客空间</w:t>
      </w:r>
      <w:proofErr w:type="gramEnd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、创业咖啡等新型孵化模式，推动“互联网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创业服务”“孵化器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商业空间”发展，加快建设一批创业苗圃，打造众多双创平台。</w:t>
      </w:r>
    </w:p>
    <w:p w14:paraId="32677A27" w14:textId="77777777" w:rsidR="00F27092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2.</w:t>
      </w:r>
      <w:r w:rsidR="00F27092" w:rsidRPr="00000B56">
        <w:rPr>
          <w:rFonts w:ascii="Times New Roman" w:eastAsia="仿宋" w:hAnsi="Times New Roman" w:cs="Times New Roman" w:hint="eastAsia"/>
          <w:b/>
          <w:sz w:val="32"/>
          <w:szCs w:val="32"/>
        </w:rPr>
        <w:t>完善创新创业服务。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吸引和培养一批优质科技服务机构开展战略咨询、创业服务、融资对接等服务。推行创业导师制度，加强区内双创载体创业培训指导，支持创业论坛、创业大赛、创业路</w:t>
      </w:r>
      <w:proofErr w:type="gramStart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演以及</w:t>
      </w:r>
      <w:proofErr w:type="gramEnd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产品展览</w:t>
      </w:r>
      <w:proofErr w:type="gramStart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等创业</w:t>
      </w:r>
      <w:proofErr w:type="gramEnd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活动开展。充分</w:t>
      </w:r>
      <w:proofErr w:type="gramStart"/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利用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津长双创</w:t>
      </w:r>
      <w:proofErr w:type="gramEnd"/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服务中心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创新创业要素集散中心的作用，为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全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区企业、创新创业人员提供全面优质服务。</w:t>
      </w:r>
    </w:p>
    <w:p w14:paraId="46C5F9BE" w14:textId="77777777" w:rsidR="00F27092" w:rsidRPr="00000B56" w:rsidRDefault="006363CF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 w:rsidR="00ED64DD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.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培育</w:t>
      </w:r>
      <w:r w:rsidR="005D0708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创新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创业文化。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积极倡导敢为人先、宽容失败的创新文化。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引导建设创业者、投资人、导师等各种形式的创业组织和网络，支持创业资源的联通和共享，建设创业资源密集和创业文化浓郁的创业社区。鼓励开展创业大赛、创业论坛、创业培训，引导创业服务和运营机构的社会化、专业化发展。支持创业活动的国际合作。引导新闻媒体加强创业宣传力度，推动全社会形成崇尚创新创业的文化氛围。</w:t>
      </w:r>
    </w:p>
    <w:p w14:paraId="340AC41E" w14:textId="77777777" w:rsidR="00F27092" w:rsidRPr="00000B56" w:rsidRDefault="00F27092" w:rsidP="003C564D">
      <w:pPr>
        <w:adjustRightInd w:val="0"/>
        <w:snapToGrid w:val="0"/>
        <w:spacing w:line="336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）开展全面开放创新。</w:t>
      </w:r>
    </w:p>
    <w:p w14:paraId="1C12816D" w14:textId="77777777" w:rsidR="00F27092" w:rsidRPr="00000B56" w:rsidRDefault="00F27092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1.</w:t>
      </w: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推动全方位对口合作。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深入推动与浙江、天津的全方位对口合作，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抢抓对口合作有利契机，着力引进发达地区先进的管理理念、发展经验和要素资源，全力推动创新赶超。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积极推进津长（吉浙）双创合作示范基地、津长（吉浙）双创服务中心建设，支持阿里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云创新</w:t>
      </w:r>
      <w:proofErr w:type="gramEnd"/>
      <w:r w:rsidRPr="00000B56">
        <w:rPr>
          <w:rFonts w:ascii="Times New Roman" w:eastAsia="仿宋" w:hAnsi="Times New Roman" w:cs="Times New Roman" w:hint="eastAsia"/>
          <w:sz w:val="32"/>
          <w:szCs w:val="32"/>
        </w:rPr>
        <w:t>中心、天津</w:t>
      </w:r>
      <w:proofErr w:type="gramStart"/>
      <w:r w:rsidRPr="00000B56">
        <w:rPr>
          <w:rFonts w:ascii="Times New Roman" w:eastAsia="仿宋" w:hAnsi="Times New Roman" w:cs="Times New Roman" w:hint="eastAsia"/>
          <w:sz w:val="32"/>
          <w:szCs w:val="32"/>
        </w:rPr>
        <w:t>榴莲众创空间</w:t>
      </w:r>
      <w:proofErr w:type="gramEnd"/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、一亿中流</w:t>
      </w:r>
      <w:r w:rsidR="006363CF" w:rsidRPr="00000B56">
        <w:rPr>
          <w:rFonts w:ascii="Times New Roman" w:eastAsia="仿宋" w:hAnsi="Times New Roman" w:hint="eastAsia"/>
          <w:sz w:val="32"/>
          <w:szCs w:val="32"/>
        </w:rPr>
        <w:t>上市企业加速器</w:t>
      </w:r>
      <w:r w:rsidRPr="00000B56">
        <w:rPr>
          <w:rFonts w:ascii="Times New Roman" w:eastAsia="仿宋" w:hAnsi="Times New Roman" w:cs="Times New Roman" w:hint="eastAsia"/>
          <w:sz w:val="32"/>
          <w:szCs w:val="32"/>
        </w:rPr>
        <w:t>等平台的运营发展，着力打造津长（吉浙）双创合作的示范载体和平台。</w:t>
      </w:r>
    </w:p>
    <w:p w14:paraId="0CFBF3DD" w14:textId="77777777" w:rsidR="00F27092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2.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强化多层次战略合作。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加强与上海、江苏、广东、深圳等长三角、珠三角地区开展合作，推动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区内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优势科技资源与发达地区的资本、市场、管理等创新要素对接。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深化与俄罗斯激光协会、白俄罗斯科学园、韩国未来部等国家机构及组织的合作基础，积极引进产品技术和产业资源，打通国际合作交流通道。</w:t>
      </w:r>
    </w:p>
    <w:p w14:paraId="38C720C7" w14:textId="77777777" w:rsidR="006363CF" w:rsidRPr="00000B56" w:rsidRDefault="00ED64DD" w:rsidP="003C564D">
      <w:pPr>
        <w:adjustRightInd w:val="0"/>
        <w:snapToGrid w:val="0"/>
        <w:spacing w:line="336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3.</w:t>
      </w:r>
      <w:r w:rsidR="00F27092" w:rsidRPr="00000B5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加强紧密型战略合作。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加强与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中科院长春分院、长春光机所、长春应化所、吉林大学、东北师范大学、吉林农业大学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等合作，实现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与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大校大所科技创新优势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、创新资源、创造能力的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对接。吸引两院院士、高端科技人才及团队在</w:t>
      </w:r>
      <w:r w:rsidR="006363CF" w:rsidRPr="00000B56">
        <w:rPr>
          <w:rFonts w:ascii="Times New Roman" w:eastAsia="仿宋" w:hAnsi="Times New Roman" w:cs="Times New Roman" w:hint="eastAsia"/>
          <w:sz w:val="32"/>
          <w:szCs w:val="32"/>
        </w:rPr>
        <w:t>净月高新</w:t>
      </w:r>
      <w:r w:rsidR="00F27092" w:rsidRPr="00000B56">
        <w:rPr>
          <w:rFonts w:ascii="Times New Roman" w:eastAsia="仿宋" w:hAnsi="Times New Roman" w:cs="Times New Roman" w:hint="eastAsia"/>
          <w:sz w:val="32"/>
          <w:szCs w:val="32"/>
        </w:rPr>
        <w:t>区开展多种形式的创新创业活动。</w:t>
      </w:r>
    </w:p>
    <w:sectPr w:rsidR="006363CF" w:rsidRPr="00000B56" w:rsidSect="00ED68F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9E1B" w14:textId="77777777" w:rsidR="00B36B30" w:rsidRDefault="00B36B30" w:rsidP="00F27092">
      <w:r>
        <w:separator/>
      </w:r>
    </w:p>
  </w:endnote>
  <w:endnote w:type="continuationSeparator" w:id="0">
    <w:p w14:paraId="0975AF93" w14:textId="77777777" w:rsidR="00B36B30" w:rsidRDefault="00B36B30" w:rsidP="00F2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5471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5CA5980" w14:textId="77777777" w:rsidR="000E552B" w:rsidRDefault="000E552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8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8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8454A" w14:textId="77777777" w:rsidR="000E552B" w:rsidRDefault="000E5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AAFD" w14:textId="77777777" w:rsidR="00B36B30" w:rsidRDefault="00B36B30" w:rsidP="00F27092">
      <w:r>
        <w:separator/>
      </w:r>
    </w:p>
  </w:footnote>
  <w:footnote w:type="continuationSeparator" w:id="0">
    <w:p w14:paraId="5C7FBBEF" w14:textId="77777777" w:rsidR="00B36B30" w:rsidRDefault="00B36B30" w:rsidP="00F2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71"/>
    <w:rsid w:val="00000B56"/>
    <w:rsid w:val="00035052"/>
    <w:rsid w:val="000471E5"/>
    <w:rsid w:val="0006207B"/>
    <w:rsid w:val="00092A38"/>
    <w:rsid w:val="000A24A0"/>
    <w:rsid w:val="000A3081"/>
    <w:rsid w:val="000E552B"/>
    <w:rsid w:val="0012367F"/>
    <w:rsid w:val="0013103B"/>
    <w:rsid w:val="0016102C"/>
    <w:rsid w:val="00177951"/>
    <w:rsid w:val="001D04B2"/>
    <w:rsid w:val="001D0CE4"/>
    <w:rsid w:val="001E4B72"/>
    <w:rsid w:val="00226C69"/>
    <w:rsid w:val="00230990"/>
    <w:rsid w:val="0023414C"/>
    <w:rsid w:val="00237204"/>
    <w:rsid w:val="0024096D"/>
    <w:rsid w:val="002837AF"/>
    <w:rsid w:val="002A0548"/>
    <w:rsid w:val="002A5852"/>
    <w:rsid w:val="002E1698"/>
    <w:rsid w:val="00310A8D"/>
    <w:rsid w:val="00346BC0"/>
    <w:rsid w:val="003B22DB"/>
    <w:rsid w:val="003B554C"/>
    <w:rsid w:val="003B6B59"/>
    <w:rsid w:val="003C564D"/>
    <w:rsid w:val="003D71A1"/>
    <w:rsid w:val="00413CD2"/>
    <w:rsid w:val="00416626"/>
    <w:rsid w:val="004233D9"/>
    <w:rsid w:val="00493736"/>
    <w:rsid w:val="004C2474"/>
    <w:rsid w:val="005602E1"/>
    <w:rsid w:val="0057754A"/>
    <w:rsid w:val="0057792D"/>
    <w:rsid w:val="005950C9"/>
    <w:rsid w:val="00595DFE"/>
    <w:rsid w:val="005D0708"/>
    <w:rsid w:val="005D2CB2"/>
    <w:rsid w:val="005D7951"/>
    <w:rsid w:val="0063009B"/>
    <w:rsid w:val="006363CF"/>
    <w:rsid w:val="00656148"/>
    <w:rsid w:val="00683CCD"/>
    <w:rsid w:val="00691A19"/>
    <w:rsid w:val="006B2485"/>
    <w:rsid w:val="006B26FE"/>
    <w:rsid w:val="006D3161"/>
    <w:rsid w:val="006E052F"/>
    <w:rsid w:val="006E5748"/>
    <w:rsid w:val="007306B8"/>
    <w:rsid w:val="00736930"/>
    <w:rsid w:val="00742506"/>
    <w:rsid w:val="0075690C"/>
    <w:rsid w:val="00764A74"/>
    <w:rsid w:val="007808AB"/>
    <w:rsid w:val="007A03AB"/>
    <w:rsid w:val="007A72BC"/>
    <w:rsid w:val="007C2574"/>
    <w:rsid w:val="007D5530"/>
    <w:rsid w:val="007D7224"/>
    <w:rsid w:val="007E77EE"/>
    <w:rsid w:val="007F6A66"/>
    <w:rsid w:val="00835474"/>
    <w:rsid w:val="00881118"/>
    <w:rsid w:val="008A1503"/>
    <w:rsid w:val="008A2577"/>
    <w:rsid w:val="008B004D"/>
    <w:rsid w:val="008B6430"/>
    <w:rsid w:val="009076AB"/>
    <w:rsid w:val="009203FF"/>
    <w:rsid w:val="00960F04"/>
    <w:rsid w:val="009E5047"/>
    <w:rsid w:val="00A86771"/>
    <w:rsid w:val="00A9314E"/>
    <w:rsid w:val="00AA1516"/>
    <w:rsid w:val="00AA1C95"/>
    <w:rsid w:val="00AD0581"/>
    <w:rsid w:val="00AF7BA5"/>
    <w:rsid w:val="00B10DF3"/>
    <w:rsid w:val="00B21F26"/>
    <w:rsid w:val="00B36B30"/>
    <w:rsid w:val="00B50CA8"/>
    <w:rsid w:val="00B53388"/>
    <w:rsid w:val="00B56CA0"/>
    <w:rsid w:val="00B92244"/>
    <w:rsid w:val="00BA5247"/>
    <w:rsid w:val="00C12954"/>
    <w:rsid w:val="00C249CD"/>
    <w:rsid w:val="00C770C9"/>
    <w:rsid w:val="00CF6C77"/>
    <w:rsid w:val="00D47049"/>
    <w:rsid w:val="00D47B05"/>
    <w:rsid w:val="00D63D18"/>
    <w:rsid w:val="00D73686"/>
    <w:rsid w:val="00D818F5"/>
    <w:rsid w:val="00D84B51"/>
    <w:rsid w:val="00DA4565"/>
    <w:rsid w:val="00DC4210"/>
    <w:rsid w:val="00DD1C92"/>
    <w:rsid w:val="00DD21E6"/>
    <w:rsid w:val="00DD62F1"/>
    <w:rsid w:val="00E1478F"/>
    <w:rsid w:val="00E21180"/>
    <w:rsid w:val="00E90CE3"/>
    <w:rsid w:val="00E925D9"/>
    <w:rsid w:val="00EA5D23"/>
    <w:rsid w:val="00ED5AF9"/>
    <w:rsid w:val="00ED64DD"/>
    <w:rsid w:val="00ED68F0"/>
    <w:rsid w:val="00EF56EB"/>
    <w:rsid w:val="00F27092"/>
    <w:rsid w:val="00F55B07"/>
    <w:rsid w:val="00F67590"/>
    <w:rsid w:val="00FA3B72"/>
    <w:rsid w:val="00FB1578"/>
    <w:rsid w:val="00FC78D8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765B"/>
  <w15:docId w15:val="{452E7B39-7C8E-4BD5-8D00-1DD1A8BD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0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A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3A96-1E85-4836-B944-04744C6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管麒</dc:creator>
  <cp:keywords/>
  <dc:description/>
  <cp:lastModifiedBy>Lenovo</cp:lastModifiedBy>
  <cp:revision>2</cp:revision>
  <cp:lastPrinted>2020-07-30T01:52:00Z</cp:lastPrinted>
  <dcterms:created xsi:type="dcterms:W3CDTF">2023-03-29T02:27:00Z</dcterms:created>
  <dcterms:modified xsi:type="dcterms:W3CDTF">2023-03-29T02:27:00Z</dcterms:modified>
</cp:coreProperties>
</file>