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b/>
          <w:bCs/>
          <w:color w:val="auto"/>
          <w:sz w:val="44"/>
          <w:szCs w:val="44"/>
          <w:lang w:val="en-US" w:eastAsia="zh-CN"/>
        </w:rPr>
      </w:pPr>
    </w:p>
    <w:p>
      <w:pPr>
        <w:pStyle w:val="2"/>
        <w:rPr>
          <w:rFonts w:hint="eastAsia"/>
          <w:lang w:val="en-US" w:eastAsia="zh-CN"/>
        </w:rPr>
      </w:pPr>
    </w:p>
    <w:p>
      <w:pPr>
        <w:bidi w:val="0"/>
        <w:ind w:left="0" w:leftChars="0" w:firstLine="0" w:firstLineChars="0"/>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长春净月高新技术产业开发区</w:t>
      </w:r>
    </w:p>
    <w:p>
      <w:pPr>
        <w:bidi w:val="0"/>
        <w:ind w:left="0" w:leftChars="0" w:firstLine="0" w:firstLineChars="0"/>
        <w:jc w:val="center"/>
        <w:rPr>
          <w:rFonts w:hint="eastAsia"/>
          <w:b/>
          <w:bCs/>
          <w:color w:val="auto"/>
          <w:sz w:val="44"/>
          <w:szCs w:val="44"/>
          <w:lang w:val="en-US" w:eastAsia="zh-CN"/>
        </w:rPr>
      </w:pPr>
    </w:p>
    <w:p>
      <w:pPr>
        <w:bidi w:val="0"/>
        <w:ind w:left="0" w:leftChars="0" w:firstLine="0" w:firstLineChars="0"/>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供热突发事件应急预案</w:t>
      </w:r>
    </w:p>
    <w:p>
      <w:pPr>
        <w:bidi w:val="0"/>
        <w:ind w:left="0" w:leftChars="0" w:firstLine="0" w:firstLineChars="0"/>
        <w:jc w:val="center"/>
        <w:rPr>
          <w:rFonts w:hint="eastAsia"/>
          <w:b/>
          <w:bCs/>
          <w:color w:val="auto"/>
          <w:sz w:val="44"/>
          <w:szCs w:val="44"/>
          <w:lang w:val="en-US" w:eastAsia="zh-CN"/>
        </w:rPr>
      </w:pPr>
    </w:p>
    <w:p>
      <w:pPr>
        <w:bidi w:val="0"/>
        <w:ind w:left="0" w:leftChars="0" w:firstLine="0" w:firstLineChars="0"/>
        <w:jc w:val="center"/>
        <w:rPr>
          <w:rFonts w:hint="eastAsia"/>
          <w:b/>
          <w:bCs/>
          <w:color w:val="auto"/>
          <w:sz w:val="44"/>
          <w:szCs w:val="44"/>
          <w:lang w:val="en-US" w:eastAsia="zh-CN"/>
        </w:rPr>
      </w:pPr>
    </w:p>
    <w:p>
      <w:pPr>
        <w:bidi w:val="0"/>
        <w:ind w:left="0" w:leftChars="0" w:firstLine="0" w:firstLineChars="0"/>
        <w:jc w:val="center"/>
        <w:rPr>
          <w:rFonts w:hint="eastAsia"/>
          <w:b/>
          <w:bCs/>
          <w:color w:val="auto"/>
          <w:sz w:val="44"/>
          <w:szCs w:val="44"/>
          <w:lang w:val="en-US" w:eastAsia="zh-CN"/>
        </w:rPr>
      </w:pPr>
    </w:p>
    <w:p>
      <w:pPr>
        <w:bidi w:val="0"/>
        <w:ind w:left="0" w:leftChars="0" w:firstLine="0" w:firstLineChars="0"/>
        <w:jc w:val="center"/>
        <w:rPr>
          <w:rFonts w:hint="eastAsia"/>
          <w:b/>
          <w:bCs/>
          <w:color w:val="auto"/>
          <w:sz w:val="44"/>
          <w:szCs w:val="44"/>
          <w:lang w:val="en-US" w:eastAsia="zh-CN"/>
        </w:rPr>
      </w:pPr>
    </w:p>
    <w:p>
      <w:pPr>
        <w:pStyle w:val="2"/>
        <w:ind w:left="0" w:leftChars="0" w:firstLine="0" w:firstLineChars="0"/>
        <w:jc w:val="center"/>
        <w:rPr>
          <w:rFonts w:hint="eastAsia"/>
          <w:color w:val="auto"/>
          <w:lang w:val="en-US" w:eastAsia="zh-CN"/>
        </w:rPr>
      </w:pPr>
    </w:p>
    <w:p>
      <w:pPr>
        <w:bidi w:val="0"/>
        <w:ind w:left="0" w:leftChars="0" w:firstLine="0" w:firstLineChars="0"/>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预案编号：JY-GR-YJ-01</w:t>
      </w:r>
    </w:p>
    <w:p>
      <w:pPr>
        <w:bidi w:val="0"/>
        <w:ind w:left="0" w:leftChars="0" w:firstLine="0" w:firstLineChars="0"/>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版本号：第一版</w:t>
      </w:r>
    </w:p>
    <w:p>
      <w:pPr>
        <w:bidi w:val="0"/>
        <w:jc w:val="both"/>
        <w:rPr>
          <w:rFonts w:hint="eastAsia" w:ascii="宋体" w:hAnsi="宋体" w:eastAsia="宋体" w:cs="宋体"/>
          <w:b/>
          <w:bCs/>
          <w:color w:val="auto"/>
          <w:sz w:val="32"/>
          <w:szCs w:val="32"/>
          <w:lang w:val="en-US" w:eastAsia="zh-CN"/>
        </w:rPr>
      </w:pPr>
    </w:p>
    <w:p>
      <w:pPr>
        <w:bidi w:val="0"/>
        <w:jc w:val="both"/>
        <w:rPr>
          <w:rFonts w:hint="eastAsia" w:ascii="宋体" w:hAnsi="宋体" w:eastAsia="宋体" w:cs="宋体"/>
          <w:b/>
          <w:bCs/>
          <w:color w:val="auto"/>
          <w:sz w:val="32"/>
          <w:szCs w:val="32"/>
          <w:lang w:val="en-US" w:eastAsia="zh-CN"/>
        </w:rPr>
      </w:pPr>
    </w:p>
    <w:p>
      <w:pPr>
        <w:bidi w:val="0"/>
        <w:jc w:val="both"/>
        <w:rPr>
          <w:rFonts w:hint="eastAsia" w:ascii="宋体" w:hAnsi="宋体" w:eastAsia="宋体" w:cs="宋体"/>
          <w:b/>
          <w:bCs/>
          <w:color w:val="auto"/>
          <w:sz w:val="32"/>
          <w:szCs w:val="32"/>
          <w:lang w:val="en-US" w:eastAsia="zh-CN"/>
        </w:rPr>
      </w:pPr>
    </w:p>
    <w:p>
      <w:pPr>
        <w:bidi w:val="0"/>
        <w:jc w:val="both"/>
        <w:rPr>
          <w:rFonts w:hint="eastAsia" w:ascii="宋体" w:hAnsi="宋体" w:eastAsia="宋体" w:cs="宋体"/>
          <w:b/>
          <w:bCs/>
          <w:color w:val="auto"/>
          <w:sz w:val="32"/>
          <w:szCs w:val="32"/>
          <w:lang w:val="en-US" w:eastAsia="zh-CN"/>
        </w:rPr>
      </w:pPr>
    </w:p>
    <w:p>
      <w:pPr>
        <w:bidi w:val="0"/>
        <w:jc w:val="both"/>
        <w:rPr>
          <w:rFonts w:hint="eastAsia" w:ascii="宋体" w:hAnsi="宋体" w:eastAsia="宋体" w:cs="宋体"/>
          <w:b/>
          <w:bCs/>
          <w:color w:val="auto"/>
          <w:sz w:val="32"/>
          <w:szCs w:val="32"/>
          <w:lang w:val="en-US" w:eastAsia="zh-CN"/>
        </w:rPr>
      </w:pPr>
    </w:p>
    <w:p>
      <w:pPr>
        <w:bidi w:val="0"/>
        <w:jc w:val="both"/>
        <w:rPr>
          <w:rFonts w:hint="eastAsia" w:ascii="宋体" w:hAnsi="宋体" w:eastAsia="宋体" w:cs="宋体"/>
          <w:b/>
          <w:bCs/>
          <w:color w:val="auto"/>
          <w:sz w:val="32"/>
          <w:szCs w:val="32"/>
          <w:lang w:val="en-US" w:eastAsia="zh-CN"/>
        </w:rPr>
      </w:pPr>
    </w:p>
    <w:p>
      <w:pPr>
        <w:bidi w:val="0"/>
        <w:jc w:val="both"/>
        <w:rPr>
          <w:rFonts w:hint="eastAsia" w:ascii="宋体" w:hAnsi="宋体" w:eastAsia="宋体" w:cs="宋体"/>
          <w:b/>
          <w:bCs/>
          <w:color w:val="auto"/>
          <w:sz w:val="32"/>
          <w:szCs w:val="32"/>
          <w:lang w:val="en-US" w:eastAsia="zh-CN"/>
        </w:rPr>
      </w:pPr>
    </w:p>
    <w:p>
      <w:pPr>
        <w:bidi w:val="0"/>
        <w:ind w:left="0" w:leftChars="0" w:firstLine="0" w:firstLineChars="0"/>
        <w:jc w:val="both"/>
        <w:rPr>
          <w:rFonts w:hint="eastAsia" w:ascii="宋体" w:hAnsi="宋体" w:eastAsia="宋体" w:cs="宋体"/>
          <w:b/>
          <w:bCs/>
          <w:color w:val="auto"/>
          <w:sz w:val="32"/>
          <w:szCs w:val="32"/>
          <w:u w:val="single"/>
          <w:lang w:val="en-US" w:eastAsia="zh-CN"/>
        </w:rPr>
      </w:pPr>
      <w:r>
        <w:rPr>
          <w:rFonts w:hint="eastAsia" w:ascii="宋体" w:hAnsi="宋体" w:eastAsia="宋体" w:cs="宋体"/>
          <w:b/>
          <w:bCs/>
          <w:color w:val="auto"/>
          <w:sz w:val="32"/>
          <w:szCs w:val="32"/>
          <w:u w:val="single"/>
          <w:lang w:val="en-US" w:eastAsia="zh-CN"/>
        </w:rPr>
        <w:t>2022年8月5日发布             2022年8月5日实施</w:t>
      </w:r>
    </w:p>
    <w:p>
      <w:pPr>
        <w:ind w:left="0" w:leftChars="0" w:firstLine="0" w:firstLineChars="0"/>
        <w:rPr>
          <w:rFonts w:hint="eastAsia" w:ascii="宋体" w:hAnsi="宋体"/>
          <w:b/>
          <w:color w:val="auto"/>
          <w:sz w:val="36"/>
          <w:szCs w:val="36"/>
          <w:lang w:val="en-US" w:eastAsia="zh-CN"/>
        </w:rPr>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pPr>
      <w:bookmarkStart w:id="72" w:name="_GoBack"/>
      <w:bookmarkEnd w:id="72"/>
    </w:p>
    <w:p>
      <w:pPr>
        <w:widowControl/>
        <w:pBdr>
          <w:bottom w:val="none" w:color="009ED9" w:sz="0" w:space="0"/>
        </w:pBdr>
        <w:bidi w:val="0"/>
        <w:spacing w:before="0" w:after="0" w:line="600" w:lineRule="exact"/>
        <w:ind w:left="0" w:leftChars="0" w:firstLine="0" w:firstLineChars="0"/>
        <w:jc w:val="center"/>
        <w:rPr>
          <w:rFonts w:hint="eastAsia" w:ascii="仿宋" w:hAnsi="仿宋" w:eastAsia="仿宋" w:cs="仿宋"/>
          <w:color w:val="auto"/>
          <w:kern w:val="2"/>
          <w:sz w:val="32"/>
          <w:szCs w:val="32"/>
          <w:lang w:val="en-US" w:eastAsia="zh-CN" w:bidi="ar-SA"/>
        </w:rPr>
      </w:pPr>
      <w:bookmarkStart w:id="0" w:name="_Toc2406"/>
      <w:bookmarkStart w:id="1" w:name="_Toc9635"/>
      <w:r>
        <w:rPr>
          <w:rFonts w:hint="eastAsia" w:ascii="宋体" w:hAnsi="宋体" w:eastAsia="宋体" w:cs="宋体"/>
          <w:b/>
          <w:bCs/>
          <w:color w:val="auto"/>
          <w:sz w:val="44"/>
          <w:szCs w:val="44"/>
          <w:shd w:val="clear" w:color="auto" w:fill="FFFFFF"/>
        </w:rPr>
        <w:t>目</w:t>
      </w:r>
      <w:r>
        <w:rPr>
          <w:rFonts w:hint="eastAsia" w:ascii="宋体" w:hAnsi="宋体" w:eastAsia="宋体" w:cs="宋体"/>
          <w:b/>
          <w:bCs/>
          <w:color w:val="auto"/>
          <w:sz w:val="44"/>
          <w:szCs w:val="44"/>
          <w:shd w:val="clear" w:color="auto" w:fill="FFFFFF"/>
          <w:lang w:val="en-US" w:eastAsia="zh-CN"/>
        </w:rPr>
        <w:t xml:space="preserve">  </w:t>
      </w:r>
      <w:r>
        <w:rPr>
          <w:rFonts w:hint="eastAsia" w:ascii="宋体" w:hAnsi="宋体" w:eastAsia="宋体" w:cs="宋体"/>
          <w:b/>
          <w:bCs/>
          <w:color w:val="auto"/>
          <w:sz w:val="44"/>
          <w:szCs w:val="44"/>
          <w:shd w:val="clear" w:color="auto" w:fill="FFFFFF"/>
        </w:rPr>
        <w:t>录</w:t>
      </w:r>
      <w:bookmarkEnd w:id="0"/>
      <w:bookmarkEnd w:id="1"/>
      <w:r>
        <w:rPr>
          <w:rFonts w:hint="eastAsia" w:ascii="仿宋" w:hAnsi="仿宋" w:eastAsia="仿宋" w:cs="仿宋"/>
          <w:b w:val="0"/>
          <w:bCs w:val="0"/>
          <w:color w:val="auto"/>
        </w:rPr>
        <w:fldChar w:fldCharType="begin"/>
      </w:r>
      <w:r>
        <w:rPr>
          <w:rFonts w:hint="eastAsia" w:ascii="仿宋" w:hAnsi="仿宋" w:eastAsia="仿宋" w:cs="仿宋"/>
          <w:b w:val="0"/>
          <w:bCs w:val="0"/>
          <w:color w:val="auto"/>
        </w:rPr>
        <w:instrText xml:space="preserve">TOC \o "1-2" \h \u </w:instrText>
      </w:r>
      <w:r>
        <w:rPr>
          <w:rFonts w:hint="eastAsia" w:ascii="仿宋" w:hAnsi="仿宋" w:eastAsia="仿宋" w:cs="仿宋"/>
          <w:b w:val="0"/>
          <w:bCs w:val="0"/>
          <w:color w:val="auto"/>
        </w:rPr>
        <w:fldChar w:fldCharType="separate"/>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_Toc22628 </w:instrText>
      </w:r>
      <w:r>
        <w:rPr>
          <w:rFonts w:hint="eastAsia" w:ascii="仿宋" w:hAnsi="仿宋" w:eastAsia="仿宋" w:cs="仿宋"/>
          <w:color w:val="auto"/>
          <w:szCs w:val="32"/>
        </w:rPr>
        <w:fldChar w:fldCharType="separate"/>
      </w:r>
      <w:r>
        <w:rPr>
          <w:rFonts w:hint="eastAsia"/>
          <w:color w:val="auto"/>
          <w:lang w:val="en-US" w:eastAsia="zh-CN"/>
        </w:rPr>
        <w:t xml:space="preserve">1.  </w:t>
      </w:r>
      <w:r>
        <w:rPr>
          <w:rFonts w:hint="eastAsia"/>
          <w:color w:val="auto"/>
        </w:rPr>
        <w:t>总则</w:t>
      </w:r>
      <w:r>
        <w:rPr>
          <w:color w:val="auto"/>
        </w:rPr>
        <w:tab/>
      </w:r>
      <w:r>
        <w:rPr>
          <w:color w:val="auto"/>
        </w:rPr>
        <w:fldChar w:fldCharType="begin"/>
      </w:r>
      <w:r>
        <w:rPr>
          <w:color w:val="auto"/>
        </w:rPr>
        <w:instrText xml:space="preserve"> PAGEREF _Toc22628 \h </w:instrText>
      </w:r>
      <w:r>
        <w:rPr>
          <w:color w:val="auto"/>
        </w:rPr>
        <w:fldChar w:fldCharType="separate"/>
      </w:r>
      <w:r>
        <w:rPr>
          <w:color w:val="auto"/>
        </w:rPr>
        <w:t>1</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_Toc2191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1.1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编制目的</w:t>
      </w:r>
      <w:r>
        <w:rPr>
          <w:color w:val="auto"/>
        </w:rPr>
        <w:tab/>
      </w:r>
      <w:r>
        <w:rPr>
          <w:color w:val="auto"/>
        </w:rPr>
        <w:fldChar w:fldCharType="begin"/>
      </w:r>
      <w:r>
        <w:rPr>
          <w:color w:val="auto"/>
        </w:rPr>
        <w:instrText xml:space="preserve"> PAGEREF _Toc2191 \h </w:instrText>
      </w:r>
      <w:r>
        <w:rPr>
          <w:color w:val="auto"/>
        </w:rPr>
        <w:fldChar w:fldCharType="separate"/>
      </w:r>
      <w:r>
        <w:rPr>
          <w:color w:val="auto"/>
        </w:rPr>
        <w:t>1</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_Toc28360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1.2</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编制依据</w:t>
      </w:r>
      <w:r>
        <w:rPr>
          <w:color w:val="auto"/>
        </w:rPr>
        <w:tab/>
      </w:r>
      <w:r>
        <w:rPr>
          <w:color w:val="auto"/>
        </w:rPr>
        <w:fldChar w:fldCharType="begin"/>
      </w:r>
      <w:r>
        <w:rPr>
          <w:color w:val="auto"/>
        </w:rPr>
        <w:instrText xml:space="preserve"> PAGEREF _Toc28360 \h </w:instrText>
      </w:r>
      <w:r>
        <w:rPr>
          <w:color w:val="auto"/>
        </w:rPr>
        <w:fldChar w:fldCharType="separate"/>
      </w:r>
      <w:r>
        <w:rPr>
          <w:color w:val="auto"/>
        </w:rPr>
        <w:t>1</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_Toc18338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1.3</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适用范围</w:t>
      </w:r>
      <w:r>
        <w:rPr>
          <w:color w:val="auto"/>
        </w:rPr>
        <w:tab/>
      </w:r>
      <w:r>
        <w:rPr>
          <w:color w:val="auto"/>
        </w:rPr>
        <w:fldChar w:fldCharType="begin"/>
      </w:r>
      <w:r>
        <w:rPr>
          <w:color w:val="auto"/>
        </w:rPr>
        <w:instrText xml:space="preserve"> PAGEREF _Toc18338 \h </w:instrText>
      </w:r>
      <w:r>
        <w:rPr>
          <w:color w:val="auto"/>
        </w:rPr>
        <w:fldChar w:fldCharType="separate"/>
      </w:r>
      <w:r>
        <w:rPr>
          <w:color w:val="auto"/>
        </w:rPr>
        <w:t>1</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_Toc2926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1.4</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工作原则</w:t>
      </w:r>
      <w:r>
        <w:rPr>
          <w:color w:val="auto"/>
        </w:rPr>
        <w:tab/>
      </w:r>
      <w:r>
        <w:rPr>
          <w:color w:val="auto"/>
        </w:rPr>
        <w:fldChar w:fldCharType="begin"/>
      </w:r>
      <w:r>
        <w:rPr>
          <w:color w:val="auto"/>
        </w:rPr>
        <w:instrText xml:space="preserve"> PAGEREF _Toc2926 \h </w:instrText>
      </w:r>
      <w:r>
        <w:rPr>
          <w:color w:val="auto"/>
        </w:rPr>
        <w:fldChar w:fldCharType="separate"/>
      </w:r>
      <w:r>
        <w:rPr>
          <w:color w:val="auto"/>
        </w:rPr>
        <w:t>1</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_Toc16941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5 事故分级标准</w:t>
      </w:r>
      <w:r>
        <w:rPr>
          <w:color w:val="auto"/>
        </w:rPr>
        <w:tab/>
      </w:r>
      <w:r>
        <w:rPr>
          <w:color w:val="auto"/>
        </w:rPr>
        <w:fldChar w:fldCharType="begin"/>
      </w:r>
      <w:r>
        <w:rPr>
          <w:color w:val="auto"/>
        </w:rPr>
        <w:instrText xml:space="preserve"> PAGEREF _Toc16941 \h </w:instrText>
      </w:r>
      <w:r>
        <w:rPr>
          <w:color w:val="auto"/>
        </w:rPr>
        <w:fldChar w:fldCharType="separate"/>
      </w:r>
      <w:r>
        <w:rPr>
          <w:color w:val="auto"/>
        </w:rPr>
        <w:t>2</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_Toc4086 </w:instrText>
      </w:r>
      <w:r>
        <w:rPr>
          <w:rFonts w:hint="eastAsia" w:ascii="仿宋" w:hAnsi="仿宋" w:eastAsia="仿宋" w:cs="仿宋"/>
          <w:color w:val="auto"/>
          <w:szCs w:val="32"/>
        </w:rPr>
        <w:fldChar w:fldCharType="separate"/>
      </w:r>
      <w:r>
        <w:rPr>
          <w:rFonts w:hint="eastAsia"/>
          <w:color w:val="auto"/>
          <w:lang w:val="en-US" w:eastAsia="zh-CN"/>
        </w:rPr>
        <w:t xml:space="preserve">2.  </w:t>
      </w:r>
      <w:r>
        <w:rPr>
          <w:rFonts w:hint="eastAsia"/>
          <w:color w:val="auto"/>
        </w:rPr>
        <w:t>组织机构及职责</w:t>
      </w:r>
      <w:r>
        <w:rPr>
          <w:color w:val="auto"/>
        </w:rPr>
        <w:tab/>
      </w:r>
      <w:r>
        <w:rPr>
          <w:color w:val="auto"/>
        </w:rPr>
        <w:fldChar w:fldCharType="begin"/>
      </w:r>
      <w:r>
        <w:rPr>
          <w:color w:val="auto"/>
        </w:rPr>
        <w:instrText xml:space="preserve"> PAGEREF _Toc4086 \h </w:instrText>
      </w:r>
      <w:r>
        <w:rPr>
          <w:color w:val="auto"/>
        </w:rPr>
        <w:fldChar w:fldCharType="separate"/>
      </w:r>
      <w:r>
        <w:rPr>
          <w:color w:val="auto"/>
        </w:rPr>
        <w:t>3</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_Toc10042 </w:instrText>
      </w:r>
      <w:r>
        <w:rPr>
          <w:rFonts w:hint="eastAsia" w:ascii="仿宋" w:hAnsi="仿宋" w:eastAsia="仿宋" w:cs="仿宋"/>
          <w:color w:val="auto"/>
          <w:szCs w:val="32"/>
        </w:rPr>
        <w:fldChar w:fldCharType="separate"/>
      </w:r>
      <w:r>
        <w:rPr>
          <w:rFonts w:hint="eastAsia"/>
          <w:color w:val="auto"/>
          <w:lang w:val="en-US" w:eastAsia="zh-CN"/>
        </w:rPr>
        <w:t xml:space="preserve">3.  </w:t>
      </w:r>
      <w:r>
        <w:rPr>
          <w:rFonts w:hint="eastAsia"/>
          <w:color w:val="auto"/>
        </w:rPr>
        <w:t>信息报告与发布</w:t>
      </w:r>
      <w:r>
        <w:rPr>
          <w:color w:val="auto"/>
        </w:rPr>
        <w:tab/>
      </w:r>
      <w:r>
        <w:rPr>
          <w:color w:val="auto"/>
        </w:rPr>
        <w:fldChar w:fldCharType="begin"/>
      </w:r>
      <w:r>
        <w:rPr>
          <w:color w:val="auto"/>
        </w:rPr>
        <w:instrText xml:space="preserve"> PAGEREF _Toc10042 \h </w:instrText>
      </w:r>
      <w:r>
        <w:rPr>
          <w:color w:val="auto"/>
        </w:rPr>
        <w:fldChar w:fldCharType="separate"/>
      </w:r>
      <w:r>
        <w:rPr>
          <w:color w:val="auto"/>
        </w:rPr>
        <w:t>6</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_Toc7043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信息报告</w:t>
      </w:r>
      <w:r>
        <w:rPr>
          <w:color w:val="auto"/>
        </w:rPr>
        <w:tab/>
      </w:r>
      <w:r>
        <w:rPr>
          <w:color w:val="auto"/>
        </w:rPr>
        <w:fldChar w:fldCharType="begin"/>
      </w:r>
      <w:r>
        <w:rPr>
          <w:color w:val="auto"/>
        </w:rPr>
        <w:instrText xml:space="preserve"> PAGEREF _Toc7043 \h </w:instrText>
      </w:r>
      <w:r>
        <w:rPr>
          <w:color w:val="auto"/>
        </w:rPr>
        <w:fldChar w:fldCharType="separate"/>
      </w:r>
      <w:r>
        <w:rPr>
          <w:color w:val="auto"/>
        </w:rPr>
        <w:t>6</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_Toc7320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信息发布</w:t>
      </w:r>
      <w:r>
        <w:rPr>
          <w:color w:val="auto"/>
        </w:rPr>
        <w:tab/>
      </w:r>
      <w:r>
        <w:rPr>
          <w:color w:val="auto"/>
        </w:rPr>
        <w:fldChar w:fldCharType="begin"/>
      </w:r>
      <w:r>
        <w:rPr>
          <w:color w:val="auto"/>
        </w:rPr>
        <w:instrText xml:space="preserve"> PAGEREF _Toc7320 \h </w:instrText>
      </w:r>
      <w:r>
        <w:rPr>
          <w:color w:val="auto"/>
        </w:rPr>
        <w:fldChar w:fldCharType="separate"/>
      </w:r>
      <w:r>
        <w:rPr>
          <w:color w:val="auto"/>
        </w:rPr>
        <w:t>6</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_Toc6906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3.3 实行供热应急信息快速反应机制</w:t>
      </w:r>
      <w:r>
        <w:rPr>
          <w:color w:val="auto"/>
        </w:rPr>
        <w:tab/>
      </w:r>
      <w:r>
        <w:rPr>
          <w:color w:val="auto"/>
        </w:rPr>
        <w:fldChar w:fldCharType="begin"/>
      </w:r>
      <w:r>
        <w:rPr>
          <w:color w:val="auto"/>
        </w:rPr>
        <w:instrText xml:space="preserve"> PAGEREF _Toc6906 \h </w:instrText>
      </w:r>
      <w:r>
        <w:rPr>
          <w:color w:val="auto"/>
        </w:rPr>
        <w:fldChar w:fldCharType="separate"/>
      </w:r>
      <w:r>
        <w:rPr>
          <w:color w:val="auto"/>
        </w:rPr>
        <w:t>7</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_Toc2214 </w:instrText>
      </w:r>
      <w:r>
        <w:rPr>
          <w:rFonts w:hint="eastAsia" w:ascii="仿宋" w:hAnsi="仿宋" w:eastAsia="仿宋" w:cs="仿宋"/>
          <w:color w:val="auto"/>
          <w:szCs w:val="32"/>
        </w:rPr>
        <w:fldChar w:fldCharType="separate"/>
      </w:r>
      <w:r>
        <w:rPr>
          <w:rFonts w:hint="default" w:ascii="仿宋" w:hAnsi="仿宋" w:eastAsia="仿宋" w:cs="仿宋"/>
          <w:color w:val="auto"/>
        </w:rPr>
        <w:t xml:space="preserve">4. </w:t>
      </w:r>
      <w:r>
        <w:rPr>
          <w:rFonts w:hint="eastAsia"/>
          <w:color w:val="auto"/>
        </w:rPr>
        <w:t>预防预警机制</w:t>
      </w:r>
      <w:r>
        <w:rPr>
          <w:color w:val="auto"/>
        </w:rPr>
        <w:tab/>
      </w:r>
      <w:r>
        <w:rPr>
          <w:color w:val="auto"/>
        </w:rPr>
        <w:fldChar w:fldCharType="begin"/>
      </w:r>
      <w:r>
        <w:rPr>
          <w:color w:val="auto"/>
        </w:rPr>
        <w:instrText xml:space="preserve"> PAGEREF _Toc2214 \h </w:instrText>
      </w:r>
      <w:r>
        <w:rPr>
          <w:color w:val="auto"/>
        </w:rPr>
        <w:fldChar w:fldCharType="separate"/>
      </w:r>
      <w:r>
        <w:rPr>
          <w:color w:val="auto"/>
        </w:rPr>
        <w:t>7</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_Toc31775 </w:instrText>
      </w:r>
      <w:r>
        <w:rPr>
          <w:rFonts w:hint="eastAsia" w:ascii="仿宋" w:hAnsi="仿宋" w:eastAsia="仿宋" w:cs="仿宋"/>
          <w:color w:val="auto"/>
          <w:szCs w:val="32"/>
        </w:rPr>
        <w:fldChar w:fldCharType="separate"/>
      </w:r>
      <w:r>
        <w:rPr>
          <w:rFonts w:hint="eastAsia"/>
          <w:color w:val="auto"/>
          <w:lang w:val="en-US" w:eastAsia="zh-CN"/>
        </w:rPr>
        <w:t>4.1 信息监测和预警</w:t>
      </w:r>
      <w:r>
        <w:rPr>
          <w:color w:val="auto"/>
        </w:rPr>
        <w:tab/>
      </w:r>
      <w:r>
        <w:rPr>
          <w:color w:val="auto"/>
        </w:rPr>
        <w:fldChar w:fldCharType="begin"/>
      </w:r>
      <w:r>
        <w:rPr>
          <w:color w:val="auto"/>
        </w:rPr>
        <w:instrText xml:space="preserve"> PAGEREF _Toc31775 \h </w:instrText>
      </w:r>
      <w:r>
        <w:rPr>
          <w:color w:val="auto"/>
        </w:rPr>
        <w:fldChar w:fldCharType="separate"/>
      </w:r>
      <w:r>
        <w:rPr>
          <w:color w:val="auto"/>
        </w:rPr>
        <w:t>7</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_Toc18285 </w:instrText>
      </w:r>
      <w:r>
        <w:rPr>
          <w:rFonts w:hint="eastAsia" w:ascii="仿宋" w:hAnsi="仿宋" w:eastAsia="仿宋" w:cs="仿宋"/>
          <w:color w:val="auto"/>
          <w:szCs w:val="32"/>
        </w:rPr>
        <w:fldChar w:fldCharType="separate"/>
      </w:r>
      <w:r>
        <w:rPr>
          <w:rFonts w:hint="default"/>
          <w:color w:val="auto"/>
          <w:lang w:val="en-US" w:eastAsia="zh-CN"/>
        </w:rPr>
        <w:t>4.2 预警预防行动</w:t>
      </w:r>
      <w:r>
        <w:rPr>
          <w:color w:val="auto"/>
        </w:rPr>
        <w:tab/>
      </w:r>
      <w:r>
        <w:rPr>
          <w:color w:val="auto"/>
        </w:rPr>
        <w:fldChar w:fldCharType="begin"/>
      </w:r>
      <w:r>
        <w:rPr>
          <w:color w:val="auto"/>
        </w:rPr>
        <w:instrText xml:space="preserve"> PAGEREF _Toc18285 \h </w:instrText>
      </w:r>
      <w:r>
        <w:rPr>
          <w:color w:val="auto"/>
        </w:rPr>
        <w:fldChar w:fldCharType="separate"/>
      </w:r>
      <w:r>
        <w:rPr>
          <w:color w:val="auto"/>
        </w:rPr>
        <w:t>7</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_Toc8904 </w:instrText>
      </w:r>
      <w:r>
        <w:rPr>
          <w:rFonts w:hint="eastAsia" w:ascii="仿宋" w:hAnsi="仿宋" w:eastAsia="仿宋" w:cs="仿宋"/>
          <w:color w:val="auto"/>
          <w:szCs w:val="32"/>
        </w:rPr>
        <w:fldChar w:fldCharType="separate"/>
      </w:r>
      <w:r>
        <w:rPr>
          <w:rFonts w:hint="default"/>
          <w:color w:val="auto"/>
          <w:lang w:val="en-US" w:eastAsia="zh-CN"/>
        </w:rPr>
        <w:t>4.3</w:t>
      </w:r>
      <w:r>
        <w:rPr>
          <w:rFonts w:hint="eastAsia"/>
          <w:color w:val="auto"/>
          <w:lang w:val="en-US" w:eastAsia="zh-CN"/>
        </w:rPr>
        <w:t xml:space="preserve"> </w:t>
      </w:r>
      <w:r>
        <w:rPr>
          <w:rFonts w:hint="default"/>
          <w:color w:val="auto"/>
          <w:lang w:val="en-US" w:eastAsia="zh-CN"/>
        </w:rPr>
        <w:t>预警级别发布</w:t>
      </w:r>
      <w:r>
        <w:rPr>
          <w:color w:val="auto"/>
        </w:rPr>
        <w:tab/>
      </w:r>
      <w:r>
        <w:rPr>
          <w:color w:val="auto"/>
        </w:rPr>
        <w:fldChar w:fldCharType="begin"/>
      </w:r>
      <w:r>
        <w:rPr>
          <w:color w:val="auto"/>
        </w:rPr>
        <w:instrText xml:space="preserve"> PAGEREF _Toc8904 \h </w:instrText>
      </w:r>
      <w:r>
        <w:rPr>
          <w:color w:val="auto"/>
        </w:rPr>
        <w:fldChar w:fldCharType="separate"/>
      </w:r>
      <w:r>
        <w:rPr>
          <w:color w:val="auto"/>
        </w:rPr>
        <w:t>8</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_Toc3477 </w:instrText>
      </w:r>
      <w:r>
        <w:rPr>
          <w:rFonts w:hint="eastAsia" w:ascii="仿宋" w:hAnsi="仿宋" w:eastAsia="仿宋" w:cs="仿宋"/>
          <w:color w:val="auto"/>
          <w:szCs w:val="32"/>
        </w:rPr>
        <w:fldChar w:fldCharType="separate"/>
      </w:r>
      <w:r>
        <w:rPr>
          <w:rFonts w:hint="default" w:ascii="仿宋" w:hAnsi="仿宋" w:eastAsia="仿宋" w:cs="仿宋"/>
          <w:color w:val="auto"/>
        </w:rPr>
        <w:t xml:space="preserve">5. </w:t>
      </w:r>
      <w:r>
        <w:rPr>
          <w:rFonts w:hint="eastAsia"/>
          <w:color w:val="auto"/>
        </w:rPr>
        <w:t>应急响应</w:t>
      </w:r>
      <w:r>
        <w:rPr>
          <w:color w:val="auto"/>
        </w:rPr>
        <w:tab/>
      </w:r>
      <w:r>
        <w:rPr>
          <w:color w:val="auto"/>
        </w:rPr>
        <w:fldChar w:fldCharType="begin"/>
      </w:r>
      <w:r>
        <w:rPr>
          <w:color w:val="auto"/>
        </w:rPr>
        <w:instrText xml:space="preserve"> PAGEREF _Toc3477 \h </w:instrText>
      </w:r>
      <w:r>
        <w:rPr>
          <w:color w:val="auto"/>
        </w:rPr>
        <w:fldChar w:fldCharType="separate"/>
      </w:r>
      <w:r>
        <w:rPr>
          <w:color w:val="auto"/>
        </w:rPr>
        <w:t>8</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_Toc30849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 xml:space="preserve">1 </w:t>
      </w:r>
      <w:r>
        <w:rPr>
          <w:rFonts w:hint="eastAsia" w:ascii="仿宋_GB2312" w:hAnsi="仿宋_GB2312" w:eastAsia="仿宋_GB2312" w:cs="仿宋_GB2312"/>
          <w:color w:val="auto"/>
        </w:rPr>
        <w:t>事件报告</w:t>
      </w:r>
      <w:r>
        <w:rPr>
          <w:color w:val="auto"/>
        </w:rPr>
        <w:tab/>
      </w:r>
      <w:r>
        <w:rPr>
          <w:color w:val="auto"/>
        </w:rPr>
        <w:fldChar w:fldCharType="begin"/>
      </w:r>
      <w:r>
        <w:rPr>
          <w:color w:val="auto"/>
        </w:rPr>
        <w:instrText xml:space="preserve"> PAGEREF _Toc30849 \h </w:instrText>
      </w:r>
      <w:r>
        <w:rPr>
          <w:color w:val="auto"/>
        </w:rPr>
        <w:fldChar w:fldCharType="separate"/>
      </w:r>
      <w:r>
        <w:rPr>
          <w:color w:val="auto"/>
        </w:rPr>
        <w:t>8</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_Toc4089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 xml:space="preserve">2 </w:t>
      </w:r>
      <w:r>
        <w:rPr>
          <w:rFonts w:hint="eastAsia" w:ascii="仿宋_GB2312" w:hAnsi="仿宋_GB2312" w:eastAsia="仿宋_GB2312" w:cs="仿宋_GB2312"/>
          <w:color w:val="auto"/>
        </w:rPr>
        <w:t>分级响应</w:t>
      </w:r>
      <w:r>
        <w:rPr>
          <w:color w:val="auto"/>
        </w:rPr>
        <w:tab/>
      </w:r>
      <w:r>
        <w:rPr>
          <w:color w:val="auto"/>
        </w:rPr>
        <w:fldChar w:fldCharType="begin"/>
      </w:r>
      <w:r>
        <w:rPr>
          <w:color w:val="auto"/>
        </w:rPr>
        <w:instrText xml:space="preserve"> PAGEREF _Toc4089 \h </w:instrText>
      </w:r>
      <w:r>
        <w:rPr>
          <w:color w:val="auto"/>
        </w:rPr>
        <w:fldChar w:fldCharType="separate"/>
      </w:r>
      <w:r>
        <w:rPr>
          <w:color w:val="auto"/>
        </w:rPr>
        <w:t>8</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_Toc29255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5.3 响应程序</w:t>
      </w:r>
      <w:r>
        <w:rPr>
          <w:color w:val="auto"/>
        </w:rPr>
        <w:tab/>
      </w:r>
      <w:r>
        <w:rPr>
          <w:color w:val="auto"/>
        </w:rPr>
        <w:fldChar w:fldCharType="begin"/>
      </w:r>
      <w:r>
        <w:rPr>
          <w:color w:val="auto"/>
        </w:rPr>
        <w:instrText xml:space="preserve"> PAGEREF _Toc29255 \h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_Toc31977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 xml:space="preserve">4 </w:t>
      </w:r>
      <w:r>
        <w:rPr>
          <w:rFonts w:hint="eastAsia" w:ascii="仿宋_GB2312" w:hAnsi="仿宋_GB2312" w:eastAsia="仿宋_GB2312" w:cs="仿宋_GB2312"/>
          <w:color w:val="auto"/>
        </w:rPr>
        <w:t>应急结束</w:t>
      </w:r>
      <w:r>
        <w:rPr>
          <w:color w:val="auto"/>
        </w:rPr>
        <w:tab/>
      </w:r>
      <w:r>
        <w:rPr>
          <w:color w:val="auto"/>
        </w:rPr>
        <w:fldChar w:fldCharType="begin"/>
      </w:r>
      <w:r>
        <w:rPr>
          <w:color w:val="auto"/>
        </w:rPr>
        <w:instrText xml:space="preserve"> PAGEREF _Toc31977 \h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_Toc1364 </w:instrText>
      </w:r>
      <w:r>
        <w:rPr>
          <w:rFonts w:hint="eastAsia" w:ascii="仿宋" w:hAnsi="仿宋" w:eastAsia="仿宋" w:cs="仿宋"/>
          <w:color w:val="auto"/>
          <w:szCs w:val="32"/>
        </w:rPr>
        <w:fldChar w:fldCharType="separate"/>
      </w:r>
      <w:r>
        <w:rPr>
          <w:rFonts w:hint="default" w:ascii="仿宋" w:hAnsi="仿宋" w:eastAsia="仿宋" w:cs="仿宋"/>
          <w:color w:val="auto"/>
        </w:rPr>
        <w:t>6.</w:t>
      </w:r>
      <w:r>
        <w:rPr>
          <w:rFonts w:hint="eastAsia" w:cs="仿宋"/>
          <w:color w:val="auto"/>
          <w:lang w:val="en-US" w:eastAsia="zh-CN"/>
        </w:rPr>
        <w:t xml:space="preserve"> </w:t>
      </w:r>
      <w:r>
        <w:rPr>
          <w:rFonts w:hint="default" w:ascii="仿宋" w:hAnsi="仿宋" w:eastAsia="仿宋" w:cs="仿宋"/>
          <w:color w:val="auto"/>
        </w:rPr>
        <w:t xml:space="preserve"> </w:t>
      </w:r>
      <w:r>
        <w:rPr>
          <w:rFonts w:hint="eastAsia"/>
          <w:color w:val="auto"/>
        </w:rPr>
        <w:t>后期处置</w:t>
      </w:r>
      <w:r>
        <w:rPr>
          <w:color w:val="auto"/>
        </w:rPr>
        <w:tab/>
      </w:r>
      <w:r>
        <w:rPr>
          <w:color w:val="auto"/>
        </w:rPr>
        <w:fldChar w:fldCharType="begin"/>
      </w:r>
      <w:r>
        <w:rPr>
          <w:color w:val="auto"/>
        </w:rPr>
        <w:instrText xml:space="preserve"> PAGEREF _Toc1364 \h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_Toc31825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事件调查</w:t>
      </w:r>
      <w:r>
        <w:rPr>
          <w:color w:val="auto"/>
        </w:rPr>
        <w:tab/>
      </w:r>
      <w:r>
        <w:rPr>
          <w:color w:val="auto"/>
        </w:rPr>
        <w:fldChar w:fldCharType="begin"/>
      </w:r>
      <w:r>
        <w:rPr>
          <w:color w:val="auto"/>
        </w:rPr>
        <w:instrText xml:space="preserve"> PAGEREF _Toc31825 \h </w:instrText>
      </w:r>
      <w:r>
        <w:rPr>
          <w:color w:val="auto"/>
        </w:rPr>
        <w:fldChar w:fldCharType="separate"/>
      </w:r>
      <w:r>
        <w:rPr>
          <w:color w:val="auto"/>
        </w:rPr>
        <w:t>9</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_Toc2829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 xml:space="preserve">6.2 </w:t>
      </w:r>
      <w:r>
        <w:rPr>
          <w:rFonts w:hint="eastAsia" w:ascii="仿宋_GB2312" w:hAnsi="仿宋_GB2312" w:eastAsia="仿宋_GB2312" w:cs="仿宋_GB2312"/>
          <w:color w:val="auto"/>
        </w:rPr>
        <w:t>善后处理</w:t>
      </w:r>
      <w:r>
        <w:rPr>
          <w:color w:val="auto"/>
        </w:rPr>
        <w:tab/>
      </w:r>
      <w:r>
        <w:rPr>
          <w:color w:val="auto"/>
        </w:rPr>
        <w:fldChar w:fldCharType="begin"/>
      </w:r>
      <w:r>
        <w:rPr>
          <w:color w:val="auto"/>
        </w:rPr>
        <w:instrText xml:space="preserve"> PAGEREF _Toc2829 \h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_Toc22123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 xml:space="preserve">6.3 </w:t>
      </w:r>
      <w:r>
        <w:rPr>
          <w:rFonts w:hint="eastAsia" w:ascii="仿宋_GB2312" w:hAnsi="仿宋_GB2312" w:eastAsia="仿宋_GB2312" w:cs="仿宋_GB2312"/>
          <w:color w:val="auto"/>
        </w:rPr>
        <w:t>事件评估与总结</w:t>
      </w:r>
      <w:r>
        <w:rPr>
          <w:color w:val="auto"/>
        </w:rPr>
        <w:tab/>
      </w:r>
      <w:r>
        <w:rPr>
          <w:color w:val="auto"/>
        </w:rPr>
        <w:fldChar w:fldCharType="begin"/>
      </w:r>
      <w:r>
        <w:rPr>
          <w:color w:val="auto"/>
        </w:rPr>
        <w:instrText xml:space="preserve"> PAGEREF _Toc22123 \h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_Toc21902 </w:instrText>
      </w:r>
      <w:r>
        <w:rPr>
          <w:rFonts w:hint="eastAsia" w:ascii="仿宋" w:hAnsi="仿宋" w:eastAsia="仿宋" w:cs="仿宋"/>
          <w:color w:val="auto"/>
          <w:szCs w:val="32"/>
        </w:rPr>
        <w:fldChar w:fldCharType="separate"/>
      </w:r>
      <w:r>
        <w:rPr>
          <w:rFonts w:hint="default" w:ascii="仿宋" w:hAnsi="仿宋" w:eastAsia="仿宋" w:cs="仿宋"/>
          <w:color w:val="auto"/>
          <w:lang w:val="en-US" w:eastAsia="zh-CN"/>
        </w:rPr>
        <w:t xml:space="preserve">7. </w:t>
      </w:r>
      <w:r>
        <w:rPr>
          <w:rFonts w:hint="eastAsia" w:cs="仿宋"/>
          <w:color w:val="auto"/>
          <w:lang w:val="en-US" w:eastAsia="zh-CN"/>
        </w:rPr>
        <w:t xml:space="preserve"> </w:t>
      </w:r>
      <w:r>
        <w:rPr>
          <w:rFonts w:hint="eastAsia"/>
          <w:color w:val="auto"/>
        </w:rPr>
        <w:t>保障</w:t>
      </w:r>
      <w:r>
        <w:rPr>
          <w:rFonts w:hint="eastAsia"/>
          <w:color w:val="auto"/>
          <w:lang w:val="en-US" w:eastAsia="zh-CN"/>
        </w:rPr>
        <w:t>措施</w:t>
      </w:r>
      <w:r>
        <w:rPr>
          <w:color w:val="auto"/>
        </w:rPr>
        <w:tab/>
      </w:r>
      <w:r>
        <w:rPr>
          <w:color w:val="auto"/>
        </w:rPr>
        <w:fldChar w:fldCharType="begin"/>
      </w:r>
      <w:r>
        <w:rPr>
          <w:color w:val="auto"/>
        </w:rPr>
        <w:instrText xml:space="preserve"> PAGEREF _Toc21902 \h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_Toc7327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通讯</w:t>
      </w:r>
      <w:r>
        <w:rPr>
          <w:rFonts w:hint="eastAsia" w:ascii="仿宋_GB2312" w:hAnsi="仿宋_GB2312" w:eastAsia="仿宋_GB2312" w:cs="仿宋_GB2312"/>
          <w:color w:val="auto"/>
          <w:lang w:val="en-US" w:eastAsia="zh-CN"/>
        </w:rPr>
        <w:t>与信息</w:t>
      </w:r>
      <w:r>
        <w:rPr>
          <w:rFonts w:hint="eastAsia" w:ascii="仿宋_GB2312" w:hAnsi="仿宋_GB2312" w:eastAsia="仿宋_GB2312" w:cs="仿宋_GB2312"/>
          <w:color w:val="auto"/>
        </w:rPr>
        <w:t>保障</w:t>
      </w:r>
      <w:r>
        <w:rPr>
          <w:color w:val="auto"/>
        </w:rPr>
        <w:tab/>
      </w:r>
      <w:r>
        <w:rPr>
          <w:color w:val="auto"/>
        </w:rPr>
        <w:fldChar w:fldCharType="begin"/>
      </w:r>
      <w:r>
        <w:rPr>
          <w:color w:val="auto"/>
        </w:rPr>
        <w:instrText xml:space="preserve"> PAGEREF _Toc7327 \h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_Toc362 </w:instrText>
      </w:r>
      <w:r>
        <w:rPr>
          <w:rFonts w:hint="eastAsia" w:ascii="仿宋" w:hAnsi="仿宋" w:eastAsia="仿宋" w:cs="仿宋"/>
          <w:color w:val="auto"/>
          <w:szCs w:val="32"/>
        </w:rPr>
        <w:fldChar w:fldCharType="separate"/>
      </w:r>
      <w:r>
        <w:rPr>
          <w:rFonts w:hint="eastAsia"/>
          <w:color w:val="auto"/>
          <w:lang w:val="en-US" w:eastAsia="zh-CN"/>
        </w:rPr>
        <w:t>7</w:t>
      </w:r>
      <w:r>
        <w:rPr>
          <w:rFonts w:hint="eastAsia"/>
          <w:color w:val="auto"/>
        </w:rPr>
        <w:t>.2</w:t>
      </w:r>
      <w:r>
        <w:rPr>
          <w:rFonts w:hint="eastAsia"/>
          <w:color w:val="auto"/>
          <w:lang w:val="en-US" w:eastAsia="zh-CN"/>
        </w:rPr>
        <w:t xml:space="preserve"> </w:t>
      </w:r>
      <w:r>
        <w:rPr>
          <w:rFonts w:hint="eastAsia"/>
          <w:color w:val="auto"/>
        </w:rPr>
        <w:t>队伍</w:t>
      </w:r>
      <w:r>
        <w:rPr>
          <w:rFonts w:hint="eastAsia"/>
          <w:color w:val="auto"/>
          <w:lang w:val="en-US" w:eastAsia="zh-CN"/>
        </w:rPr>
        <w:t>和物资</w:t>
      </w:r>
      <w:r>
        <w:rPr>
          <w:rFonts w:hint="eastAsia"/>
          <w:color w:val="auto"/>
        </w:rPr>
        <w:t>保障</w:t>
      </w:r>
      <w:r>
        <w:rPr>
          <w:color w:val="auto"/>
        </w:rPr>
        <w:tab/>
      </w:r>
      <w:r>
        <w:rPr>
          <w:color w:val="auto"/>
        </w:rPr>
        <w:fldChar w:fldCharType="begin"/>
      </w:r>
      <w:r>
        <w:rPr>
          <w:color w:val="auto"/>
        </w:rPr>
        <w:instrText xml:space="preserve"> PAGEREF _Toc362 \h </w:instrText>
      </w:r>
      <w:r>
        <w:rPr>
          <w:color w:val="auto"/>
        </w:rPr>
        <w:fldChar w:fldCharType="separate"/>
      </w:r>
      <w:r>
        <w:rPr>
          <w:color w:val="auto"/>
        </w:rPr>
        <w:t>10</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_Toc20157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 xml:space="preserve">3 </w:t>
      </w:r>
      <w:r>
        <w:rPr>
          <w:rFonts w:hint="eastAsia" w:ascii="仿宋_GB2312" w:hAnsi="仿宋_GB2312" w:eastAsia="仿宋_GB2312" w:cs="仿宋_GB2312"/>
          <w:color w:val="auto"/>
        </w:rPr>
        <w:t>资金保障</w:t>
      </w:r>
      <w:r>
        <w:rPr>
          <w:color w:val="auto"/>
        </w:rPr>
        <w:tab/>
      </w:r>
      <w:r>
        <w:rPr>
          <w:color w:val="auto"/>
        </w:rPr>
        <w:fldChar w:fldCharType="begin"/>
      </w:r>
      <w:r>
        <w:rPr>
          <w:color w:val="auto"/>
        </w:rPr>
        <w:instrText xml:space="preserve"> PAGEREF _Toc20157 \h </w:instrText>
      </w:r>
      <w:r>
        <w:rPr>
          <w:color w:val="auto"/>
        </w:rPr>
        <w:fldChar w:fldCharType="separate"/>
      </w:r>
      <w:r>
        <w:rPr>
          <w:color w:val="auto"/>
        </w:rPr>
        <w:t>11</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_Toc13977 </w:instrText>
      </w:r>
      <w:r>
        <w:rPr>
          <w:rFonts w:hint="eastAsia" w:ascii="仿宋" w:hAnsi="仿宋" w:eastAsia="仿宋" w:cs="仿宋"/>
          <w:color w:val="auto"/>
          <w:szCs w:val="32"/>
        </w:rPr>
        <w:fldChar w:fldCharType="separate"/>
      </w:r>
      <w:r>
        <w:rPr>
          <w:rFonts w:hint="default" w:ascii="仿宋" w:hAnsi="仿宋" w:eastAsia="仿宋" w:cs="仿宋"/>
          <w:color w:val="auto"/>
          <w:lang w:val="en-US"/>
        </w:rPr>
        <w:t xml:space="preserve">8. </w:t>
      </w:r>
      <w:r>
        <w:rPr>
          <w:rFonts w:hint="eastAsia" w:cs="仿宋"/>
          <w:color w:val="auto"/>
          <w:lang w:val="en-US" w:eastAsia="zh-CN"/>
        </w:rPr>
        <w:t xml:space="preserve"> </w:t>
      </w:r>
      <w:r>
        <w:rPr>
          <w:rFonts w:hint="eastAsia"/>
          <w:color w:val="auto"/>
          <w:lang w:val="en-US" w:eastAsia="zh-CN"/>
        </w:rPr>
        <w:t>责任与奖惩</w:t>
      </w:r>
      <w:r>
        <w:rPr>
          <w:color w:val="auto"/>
        </w:rPr>
        <w:tab/>
      </w:r>
      <w:r>
        <w:rPr>
          <w:color w:val="auto"/>
        </w:rPr>
        <w:fldChar w:fldCharType="begin"/>
      </w:r>
      <w:r>
        <w:rPr>
          <w:color w:val="auto"/>
        </w:rPr>
        <w:instrText xml:space="preserve"> PAGEREF _Toc13977 \h </w:instrText>
      </w:r>
      <w:r>
        <w:rPr>
          <w:color w:val="auto"/>
        </w:rPr>
        <w:fldChar w:fldCharType="separate"/>
      </w:r>
      <w:r>
        <w:rPr>
          <w:color w:val="auto"/>
        </w:rPr>
        <w:t>11</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_Toc1723 </w:instrText>
      </w:r>
      <w:r>
        <w:rPr>
          <w:rFonts w:hint="eastAsia" w:ascii="仿宋" w:hAnsi="仿宋" w:eastAsia="仿宋" w:cs="仿宋"/>
          <w:color w:val="auto"/>
          <w:szCs w:val="32"/>
        </w:rPr>
        <w:fldChar w:fldCharType="separate"/>
      </w:r>
      <w:r>
        <w:rPr>
          <w:rFonts w:hint="default" w:ascii="仿宋" w:hAnsi="仿宋" w:eastAsia="仿宋" w:cs="仿宋"/>
          <w:color w:val="auto"/>
        </w:rPr>
        <w:t>9.</w:t>
      </w:r>
      <w:r>
        <w:rPr>
          <w:rFonts w:hint="eastAsia" w:cs="仿宋"/>
          <w:color w:val="auto"/>
          <w:lang w:val="en-US" w:eastAsia="zh-CN"/>
        </w:rPr>
        <w:t xml:space="preserve"> </w:t>
      </w:r>
      <w:r>
        <w:rPr>
          <w:rFonts w:hint="default" w:ascii="仿宋" w:hAnsi="仿宋" w:eastAsia="仿宋" w:cs="仿宋"/>
          <w:color w:val="auto"/>
        </w:rPr>
        <w:t xml:space="preserve"> </w:t>
      </w:r>
      <w:r>
        <w:rPr>
          <w:rFonts w:hint="eastAsia"/>
          <w:color w:val="auto"/>
          <w:lang w:val="en-US" w:eastAsia="zh-CN"/>
        </w:rPr>
        <w:t>附则</w:t>
      </w:r>
      <w:r>
        <w:rPr>
          <w:color w:val="auto"/>
        </w:rPr>
        <w:tab/>
      </w:r>
      <w:r>
        <w:rPr>
          <w:color w:val="auto"/>
        </w:rPr>
        <w:fldChar w:fldCharType="begin"/>
      </w:r>
      <w:r>
        <w:rPr>
          <w:color w:val="auto"/>
        </w:rPr>
        <w:instrText xml:space="preserve"> PAGEREF _Toc1723 \h </w:instrText>
      </w:r>
      <w:r>
        <w:rPr>
          <w:color w:val="auto"/>
        </w:rPr>
        <w:fldChar w:fldCharType="separate"/>
      </w:r>
      <w:r>
        <w:rPr>
          <w:color w:val="auto"/>
        </w:rPr>
        <w:t>11</w:t>
      </w:r>
      <w:r>
        <w:rPr>
          <w:color w:val="auto"/>
        </w:rPr>
        <w:fldChar w:fldCharType="end"/>
      </w:r>
      <w:r>
        <w:rPr>
          <w:rFonts w:hint="eastAsia" w:ascii="仿宋" w:hAnsi="仿宋" w:eastAsia="仿宋" w:cs="仿宋"/>
          <w:color w:val="auto"/>
          <w:szCs w:val="32"/>
        </w:rPr>
        <w:fldChar w:fldCharType="end"/>
      </w:r>
    </w:p>
    <w:p>
      <w:pPr>
        <w:pStyle w:val="14"/>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_Toc22953 </w:instrText>
      </w:r>
      <w:r>
        <w:rPr>
          <w:rFonts w:hint="eastAsia" w:ascii="仿宋" w:hAnsi="仿宋" w:eastAsia="仿宋" w:cs="仿宋"/>
          <w:color w:val="auto"/>
          <w:szCs w:val="32"/>
        </w:rPr>
        <w:fldChar w:fldCharType="separate"/>
      </w:r>
      <w:r>
        <w:rPr>
          <w:rFonts w:hint="eastAsia"/>
          <w:color w:val="auto"/>
          <w:lang w:val="en-US" w:eastAsia="zh-CN"/>
        </w:rPr>
        <w:t xml:space="preserve">10.  </w:t>
      </w:r>
      <w:r>
        <w:rPr>
          <w:rFonts w:hint="eastAsia"/>
          <w:color w:val="auto"/>
        </w:rPr>
        <w:t>附件</w:t>
      </w:r>
      <w:r>
        <w:rPr>
          <w:color w:val="auto"/>
        </w:rPr>
        <w:tab/>
      </w:r>
      <w:r>
        <w:rPr>
          <w:color w:val="auto"/>
        </w:rPr>
        <w:fldChar w:fldCharType="begin"/>
      </w:r>
      <w:r>
        <w:rPr>
          <w:color w:val="auto"/>
        </w:rPr>
        <w:instrText xml:space="preserve"> PAGEREF _Toc22953 \h </w:instrText>
      </w:r>
      <w:r>
        <w:rPr>
          <w:color w:val="auto"/>
        </w:rPr>
        <w:fldChar w:fldCharType="separate"/>
      </w:r>
      <w:r>
        <w:rPr>
          <w:color w:val="auto"/>
        </w:rPr>
        <w:t>11</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_Toc18321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附件1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应急指挥成员及外部机构联系方式</w:t>
      </w:r>
      <w:r>
        <w:rPr>
          <w:color w:val="auto"/>
        </w:rPr>
        <w:tab/>
      </w:r>
      <w:r>
        <w:rPr>
          <w:color w:val="auto"/>
        </w:rPr>
        <w:fldChar w:fldCharType="begin"/>
      </w:r>
      <w:r>
        <w:rPr>
          <w:color w:val="auto"/>
        </w:rPr>
        <w:instrText xml:space="preserve"> PAGEREF _Toc18321 \h </w:instrText>
      </w:r>
      <w:r>
        <w:rPr>
          <w:color w:val="auto"/>
        </w:rPr>
        <w:fldChar w:fldCharType="separate"/>
      </w:r>
      <w:r>
        <w:rPr>
          <w:color w:val="auto"/>
        </w:rPr>
        <w:t>12</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_Toc30641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附件</w:t>
      </w:r>
      <w:r>
        <w:rPr>
          <w:rFonts w:hint="eastAsia" w:ascii="仿宋_GB2312" w:hAnsi="仿宋_GB2312" w:eastAsia="仿宋_GB2312" w:cs="仿宋_GB2312"/>
          <w:color w:val="auto"/>
          <w:lang w:val="en-US" w:eastAsia="zh-CN"/>
        </w:rPr>
        <w:t xml:space="preserve">2 </w:t>
      </w:r>
      <w:r>
        <w:rPr>
          <w:rFonts w:hint="eastAsia" w:ascii="仿宋_GB2312" w:hAnsi="仿宋_GB2312" w:eastAsia="仿宋_GB2312" w:cs="仿宋_GB2312"/>
          <w:color w:val="auto"/>
        </w:rPr>
        <w:t>事故信息规范上报格式化文本（事故调查报告）</w:t>
      </w:r>
      <w:r>
        <w:rPr>
          <w:color w:val="auto"/>
        </w:rPr>
        <w:tab/>
      </w:r>
      <w:r>
        <w:rPr>
          <w:color w:val="auto"/>
        </w:rPr>
        <w:fldChar w:fldCharType="begin"/>
      </w:r>
      <w:r>
        <w:rPr>
          <w:color w:val="auto"/>
        </w:rPr>
        <w:instrText xml:space="preserve"> PAGEREF _Toc30641 \h </w:instrText>
      </w:r>
      <w:r>
        <w:rPr>
          <w:color w:val="auto"/>
        </w:rPr>
        <w:fldChar w:fldCharType="separate"/>
      </w:r>
      <w:r>
        <w:rPr>
          <w:color w:val="auto"/>
        </w:rPr>
        <w:t>14</w:t>
      </w:r>
      <w:r>
        <w:rPr>
          <w:color w:val="auto"/>
        </w:rPr>
        <w:fldChar w:fldCharType="end"/>
      </w:r>
      <w:r>
        <w:rPr>
          <w:rFonts w:hint="eastAsia" w:ascii="仿宋" w:hAnsi="仿宋" w:eastAsia="仿宋" w:cs="仿宋"/>
          <w:color w:val="auto"/>
          <w:szCs w:val="32"/>
        </w:rPr>
        <w:fldChar w:fldCharType="end"/>
      </w:r>
    </w:p>
    <w:p>
      <w:pPr>
        <w:pStyle w:val="15"/>
        <w:tabs>
          <w:tab w:val="right" w:leader="dot" w:pos="8306"/>
        </w:tabs>
        <w:rPr>
          <w:color w:val="auto"/>
        </w:rPr>
      </w:pPr>
      <w:r>
        <w:rPr>
          <w:rFonts w:hint="eastAsia" w:ascii="仿宋" w:hAnsi="仿宋" w:eastAsia="仿宋" w:cs="仿宋"/>
          <w:color w:val="auto"/>
          <w:szCs w:val="32"/>
        </w:rPr>
        <w:fldChar w:fldCharType="begin"/>
      </w:r>
      <w:r>
        <w:rPr>
          <w:rFonts w:hint="eastAsia" w:ascii="仿宋" w:hAnsi="仿宋" w:eastAsia="仿宋" w:cs="仿宋"/>
          <w:color w:val="auto"/>
          <w:szCs w:val="32"/>
        </w:rPr>
        <w:instrText xml:space="preserve"> HYPERLINK \l _Toc12283 </w:instrText>
      </w:r>
      <w:r>
        <w:rPr>
          <w:rFonts w:hint="eastAsia" w:ascii="仿宋" w:hAnsi="仿宋" w:eastAsia="仿宋" w:cs="仿宋"/>
          <w:color w:val="auto"/>
          <w:szCs w:val="32"/>
        </w:rPr>
        <w:fldChar w:fldCharType="separate"/>
      </w:r>
      <w:r>
        <w:rPr>
          <w:rFonts w:hint="eastAsia" w:ascii="仿宋_GB2312" w:hAnsi="仿宋_GB2312" w:eastAsia="仿宋_GB2312" w:cs="仿宋_GB2312"/>
          <w:color w:val="auto"/>
        </w:rPr>
        <w:t>附件</w:t>
      </w:r>
      <w:r>
        <w:rPr>
          <w:rFonts w:hint="eastAsia" w:ascii="仿宋_GB2312" w:hAnsi="仿宋_GB2312" w:eastAsia="仿宋_GB2312" w:cs="仿宋_GB2312"/>
          <w:color w:val="auto"/>
          <w:lang w:val="en-US" w:eastAsia="zh-CN"/>
        </w:rPr>
        <w:t xml:space="preserve">3 </w:t>
      </w:r>
      <w:r>
        <w:rPr>
          <w:rFonts w:hint="eastAsia" w:ascii="仿宋_GB2312" w:hAnsi="仿宋_GB2312" w:eastAsia="仿宋_GB2312" w:cs="仿宋_GB2312"/>
          <w:color w:val="auto"/>
        </w:rPr>
        <w:t>应急演练记录</w:t>
      </w:r>
      <w:r>
        <w:rPr>
          <w:color w:val="auto"/>
        </w:rPr>
        <w:tab/>
      </w:r>
      <w:r>
        <w:rPr>
          <w:color w:val="auto"/>
        </w:rPr>
        <w:fldChar w:fldCharType="begin"/>
      </w:r>
      <w:r>
        <w:rPr>
          <w:color w:val="auto"/>
        </w:rPr>
        <w:instrText xml:space="preserve"> PAGEREF _Toc12283 \h </w:instrText>
      </w:r>
      <w:r>
        <w:rPr>
          <w:color w:val="auto"/>
        </w:rPr>
        <w:fldChar w:fldCharType="separate"/>
      </w:r>
      <w:r>
        <w:rPr>
          <w:color w:val="auto"/>
        </w:rPr>
        <w:t>15</w:t>
      </w:r>
      <w:r>
        <w:rPr>
          <w:color w:val="auto"/>
        </w:rPr>
        <w:fldChar w:fldCharType="end"/>
      </w:r>
      <w:r>
        <w:rPr>
          <w:rFonts w:hint="eastAsia" w:ascii="仿宋" w:hAnsi="仿宋" w:eastAsia="仿宋" w:cs="仿宋"/>
          <w:color w:val="auto"/>
          <w:szCs w:val="32"/>
        </w:rPr>
        <w:fldChar w:fldCharType="end"/>
      </w:r>
    </w:p>
    <w:p>
      <w:pPr>
        <w:widowControl/>
        <w:pBdr>
          <w:bottom w:val="none" w:color="009ED9" w:sz="0" w:space="0"/>
        </w:pBdr>
        <w:bidi w:val="0"/>
        <w:spacing w:before="0" w:after="0" w:line="600" w:lineRule="exact"/>
        <w:ind w:left="0" w:leftChars="0" w:firstLine="0" w:firstLineChars="0"/>
        <w:jc w:val="center"/>
        <w:rPr>
          <w:rFonts w:hint="eastAsia" w:ascii="仿宋" w:hAnsi="仿宋" w:eastAsia="仿宋" w:cs="仿宋"/>
          <w:color w:val="auto"/>
          <w:sz w:val="32"/>
          <w:szCs w:val="32"/>
        </w:rPr>
      </w:pPr>
      <w:r>
        <w:rPr>
          <w:rFonts w:hint="eastAsia" w:ascii="仿宋" w:hAnsi="仿宋" w:eastAsia="仿宋" w:cs="仿宋"/>
          <w:color w:val="auto"/>
          <w:sz w:val="32"/>
          <w:szCs w:val="32"/>
        </w:rPr>
        <w:fldChar w:fldCharType="end"/>
      </w:r>
      <w:bookmarkStart w:id="2" w:name="_Toc23089"/>
      <w:bookmarkStart w:id="3" w:name="_Toc21193"/>
      <w:bookmarkStart w:id="4" w:name="_Toc15373"/>
      <w:bookmarkStart w:id="5" w:name="_Toc29577"/>
      <w:bookmarkStart w:id="6" w:name="_Toc22287"/>
      <w:bookmarkStart w:id="7" w:name="_Toc12232"/>
      <w:bookmarkStart w:id="8" w:name="_Toc13439"/>
    </w:p>
    <w:p>
      <w:pPr>
        <w:pStyle w:val="5"/>
        <w:widowControl/>
        <w:pBdr>
          <w:bottom w:val="none" w:color="009ED9" w:sz="0" w:space="0"/>
        </w:pBdr>
        <w:spacing w:before="0" w:after="0" w:line="600" w:lineRule="exact"/>
        <w:jc w:val="center"/>
        <w:rPr>
          <w:rFonts w:hint="eastAsia"/>
          <w:b/>
          <w:bCs/>
          <w:color w:val="auto"/>
          <w:spacing w:val="-6"/>
          <w:sz w:val="44"/>
          <w:szCs w:val="44"/>
          <w:shd w:val="clear" w:color="auto" w:fill="FFFFFF"/>
        </w:rPr>
        <w:sectPr>
          <w:footerReference r:id="rId7" w:type="default"/>
          <w:pgSz w:w="11906" w:h="16838"/>
          <w:pgMar w:top="1440" w:right="1800" w:bottom="1440" w:left="1800" w:header="851" w:footer="992" w:gutter="0"/>
          <w:pgNumType w:fmt="upperRoman" w:start="1"/>
          <w:cols w:space="720" w:num="1"/>
          <w:docGrid w:type="lines" w:linePitch="312" w:charSpace="0"/>
        </w:sectPr>
      </w:pPr>
    </w:p>
    <w:bookmarkEnd w:id="2"/>
    <w:bookmarkEnd w:id="3"/>
    <w:bookmarkEnd w:id="4"/>
    <w:bookmarkEnd w:id="5"/>
    <w:bookmarkEnd w:id="6"/>
    <w:bookmarkEnd w:id="7"/>
    <w:bookmarkEnd w:id="8"/>
    <w:p>
      <w:pPr>
        <w:pStyle w:val="4"/>
        <w:bidi w:val="0"/>
        <w:jc w:val="both"/>
        <w:rPr>
          <w:rFonts w:hint="eastAsia"/>
          <w:color w:val="auto"/>
        </w:rPr>
      </w:pPr>
      <w:bookmarkStart w:id="9" w:name="_Toc22628"/>
      <w:r>
        <w:rPr>
          <w:rFonts w:hint="eastAsia"/>
          <w:color w:val="auto"/>
          <w:lang w:val="en-US" w:eastAsia="zh-CN"/>
        </w:rPr>
        <w:t xml:space="preserve">1.  </w:t>
      </w:r>
      <w:r>
        <w:rPr>
          <w:rFonts w:hint="eastAsia"/>
          <w:color w:val="auto"/>
        </w:rPr>
        <w:t>总则</w:t>
      </w:r>
      <w:bookmarkEnd w:id="9"/>
    </w:p>
    <w:p>
      <w:pPr>
        <w:pStyle w:val="5"/>
        <w:bidi w:val="0"/>
        <w:rPr>
          <w:rFonts w:hint="eastAsia" w:ascii="仿宋_GB2312" w:hAnsi="仿宋_GB2312" w:eastAsia="仿宋_GB2312" w:cs="仿宋_GB2312"/>
          <w:color w:val="auto"/>
        </w:rPr>
      </w:pPr>
      <w:bookmarkStart w:id="10" w:name="_Toc2191"/>
      <w:r>
        <w:rPr>
          <w:rFonts w:hint="eastAsia" w:ascii="仿宋_GB2312" w:hAnsi="仿宋_GB2312" w:eastAsia="仿宋_GB2312" w:cs="仿宋_GB2312"/>
          <w:color w:val="auto"/>
        </w:rPr>
        <w:t>1.1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编制目的</w:t>
      </w:r>
      <w:bookmarkEnd w:id="10"/>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为健全供热突发事件预警机制</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及时、高效处置供热突发事件</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最大限度减少供热突发事件造成的影响和损失，保证居民安全过冬，保证正常生产、生活秩序，</w:t>
      </w:r>
      <w:r>
        <w:rPr>
          <w:rFonts w:hint="eastAsia" w:ascii="仿宋_GB2312" w:hAnsi="仿宋_GB2312" w:eastAsia="仿宋_GB2312" w:cs="仿宋_GB2312"/>
          <w:color w:val="auto"/>
        </w:rPr>
        <w:t>特制定本预案。</w:t>
      </w:r>
    </w:p>
    <w:p>
      <w:pPr>
        <w:pStyle w:val="5"/>
        <w:bidi w:val="0"/>
        <w:rPr>
          <w:rFonts w:hint="eastAsia" w:ascii="仿宋_GB2312" w:hAnsi="仿宋_GB2312" w:eastAsia="仿宋_GB2312" w:cs="仿宋_GB2312"/>
          <w:color w:val="auto"/>
        </w:rPr>
      </w:pPr>
      <w:bookmarkStart w:id="11" w:name="_Toc28360"/>
      <w:r>
        <w:rPr>
          <w:rFonts w:hint="eastAsia" w:ascii="仿宋_GB2312" w:hAnsi="仿宋_GB2312" w:eastAsia="仿宋_GB2312" w:cs="仿宋_GB2312"/>
          <w:color w:val="auto"/>
        </w:rPr>
        <w:t>1.2</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编制依据</w:t>
      </w:r>
      <w:bookmarkEnd w:id="11"/>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《中华人民共和国安全生产法》《中华人民共和国突发事件应对法》《突发事件应急预案管理办法》</w:t>
      </w:r>
      <w:r>
        <w:rPr>
          <w:rFonts w:hint="eastAsia" w:ascii="仿宋_GB2312" w:hAnsi="仿宋_GB2312" w:eastAsia="仿宋_GB2312" w:cs="仿宋_GB2312"/>
          <w:color w:val="auto"/>
        </w:rPr>
        <w:t>《生产安全事故报告和调查处理条例》《突发事件应急预案管理办法》《国家突发公共事件总体应急预案》</w:t>
      </w:r>
      <w:r>
        <w:rPr>
          <w:rFonts w:hint="eastAsia" w:ascii="仿宋_GB2312" w:hAnsi="仿宋_GB2312" w:eastAsia="仿宋_GB2312" w:cs="仿宋_GB2312"/>
          <w:color w:val="auto"/>
          <w:lang w:val="en-US" w:eastAsia="zh-CN"/>
        </w:rPr>
        <w:t>《吉林省突发公共事件总体应急预案》《长春市突发公共事件总体应急预案》</w:t>
      </w:r>
      <w:r>
        <w:rPr>
          <w:rFonts w:hint="eastAsia" w:ascii="仿宋_GB2312" w:hAnsi="仿宋_GB2312" w:eastAsia="仿宋_GB2312" w:cs="仿宋_GB2312"/>
          <w:color w:val="auto"/>
          <w:sz w:val="32"/>
          <w:szCs w:val="32"/>
        </w:rPr>
        <w:t>《长春市供热</w:t>
      </w:r>
      <w:r>
        <w:rPr>
          <w:rFonts w:hint="eastAsia" w:ascii="仿宋_GB2312" w:hAnsi="仿宋_GB2312" w:eastAsia="仿宋_GB2312" w:cs="仿宋_GB2312"/>
          <w:color w:val="auto"/>
          <w:sz w:val="32"/>
          <w:szCs w:val="32"/>
          <w:lang w:val="en-US" w:eastAsia="zh-CN"/>
        </w:rPr>
        <w:t>突发事件应急预案</w:t>
      </w:r>
      <w:r>
        <w:rPr>
          <w:rFonts w:hint="eastAsia" w:ascii="仿宋_GB2312" w:hAnsi="仿宋_GB2312" w:eastAsia="仿宋_GB2312" w:cs="仿宋_GB2312"/>
          <w:color w:val="auto"/>
          <w:sz w:val="32"/>
          <w:szCs w:val="32"/>
        </w:rPr>
        <w:t>》《吉林省人民政府办公厅关于做好突发事件应急预案管理办法贯彻落实工作的通知》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吉林省城市供热条例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《长春市供热管理</w:t>
      </w:r>
      <w:r>
        <w:rPr>
          <w:rFonts w:hint="eastAsia" w:ascii="仿宋_GB2312" w:hAnsi="仿宋_GB2312" w:eastAsia="仿宋_GB2312" w:cs="仿宋_GB2312"/>
          <w:color w:val="auto"/>
          <w:sz w:val="32"/>
          <w:szCs w:val="32"/>
          <w:lang w:val="en-US" w:eastAsia="zh-CN"/>
        </w:rPr>
        <w:t>条例</w:t>
      </w:r>
      <w:r>
        <w:rPr>
          <w:rFonts w:hint="eastAsia" w:ascii="仿宋_GB2312" w:hAnsi="仿宋_GB2312" w:eastAsia="仿宋_GB2312" w:cs="仿宋_GB2312"/>
          <w:color w:val="auto"/>
          <w:sz w:val="32"/>
          <w:szCs w:val="32"/>
        </w:rPr>
        <w:t>》等法律法规和规范性文件。</w:t>
      </w:r>
    </w:p>
    <w:p>
      <w:pPr>
        <w:pStyle w:val="5"/>
        <w:bidi w:val="0"/>
        <w:rPr>
          <w:rFonts w:hint="eastAsia" w:ascii="仿宋_GB2312" w:hAnsi="仿宋_GB2312" w:eastAsia="仿宋_GB2312" w:cs="仿宋_GB2312"/>
          <w:color w:val="auto"/>
        </w:rPr>
      </w:pPr>
      <w:bookmarkStart w:id="12" w:name="_Toc18338"/>
      <w:r>
        <w:rPr>
          <w:rFonts w:hint="eastAsia" w:ascii="仿宋_GB2312" w:hAnsi="仿宋_GB2312" w:eastAsia="仿宋_GB2312" w:cs="仿宋_GB2312"/>
          <w:color w:val="auto"/>
        </w:rPr>
        <w:t>1.3</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适用范围</w:t>
      </w:r>
      <w:bookmarkEnd w:id="12"/>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本预案适用于发生在净月高新技术产业开发区</w:t>
      </w:r>
      <w:r>
        <w:rPr>
          <w:rFonts w:hint="eastAsia" w:ascii="仿宋_GB2312" w:hAnsi="仿宋_GB2312" w:eastAsia="仿宋_GB2312" w:cs="仿宋_GB2312"/>
          <w:color w:val="auto"/>
          <w:lang w:val="en-US" w:eastAsia="zh-CN"/>
        </w:rPr>
        <w:t>内的</w:t>
      </w:r>
      <w:r>
        <w:rPr>
          <w:rFonts w:hint="eastAsia" w:ascii="仿宋_GB2312" w:hAnsi="仿宋_GB2312" w:eastAsia="仿宋_GB2312" w:cs="仿宋_GB2312"/>
          <w:color w:val="auto"/>
        </w:rPr>
        <w:t>供热突发事件。</w:t>
      </w:r>
    </w:p>
    <w:p>
      <w:pPr>
        <w:pStyle w:val="5"/>
        <w:bidi w:val="0"/>
        <w:rPr>
          <w:rFonts w:hint="eastAsia" w:ascii="仿宋_GB2312" w:hAnsi="仿宋_GB2312" w:eastAsia="仿宋_GB2312" w:cs="仿宋_GB2312"/>
          <w:color w:val="auto"/>
        </w:rPr>
      </w:pPr>
      <w:bookmarkStart w:id="13" w:name="_Toc2926"/>
      <w:r>
        <w:rPr>
          <w:rFonts w:hint="eastAsia" w:ascii="仿宋_GB2312" w:hAnsi="仿宋_GB2312" w:eastAsia="仿宋_GB2312" w:cs="仿宋_GB2312"/>
          <w:color w:val="auto"/>
        </w:rPr>
        <w:t>1.4</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工作原则</w:t>
      </w:r>
      <w:bookmarkEnd w:id="13"/>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以人为本，安全第一。始终把保障人民群众生命安全和身体健康放在首位，切实加强应急救援人员的安全防护，最大限度地减少事故造成的人员伤亡、财产损失及环境危害。</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属地管理，分级负责。由区应急指挥部统一领导辖区内</w:t>
      </w:r>
      <w:r>
        <w:rPr>
          <w:rFonts w:hint="eastAsia" w:ascii="仿宋_GB2312" w:hAnsi="仿宋_GB2312" w:eastAsia="仿宋_GB2312" w:cs="仿宋_GB2312"/>
          <w:color w:val="auto"/>
          <w:lang w:val="en-US" w:eastAsia="zh-CN"/>
        </w:rPr>
        <w:t>供热</w:t>
      </w:r>
      <w:r>
        <w:rPr>
          <w:rFonts w:hint="eastAsia" w:ascii="仿宋_GB2312" w:hAnsi="仿宋_GB2312" w:eastAsia="仿宋_GB2312" w:cs="仿宋_GB2312"/>
          <w:color w:val="auto"/>
        </w:rPr>
        <w:t>事故的应对工作，发生事故的企业是事故应急救援的第一响应者，按照响应的原则，及时启动应急预案。</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依靠科学，依法规范。充分发挥专家作用，实现科学民主决策。依靠科技进步，不断改进和完善应急救援装备、设施。依法管理、规范应急救援工作，严格按照相关法律法规要求，确保预案的科学性、有效性和可操作性。</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预防为主，平战结合。贯彻落实“安全第一，预防为主，综合治理”的方针，坚持事故应急与预防相结合。做好应对各类</w:t>
      </w:r>
      <w:r>
        <w:rPr>
          <w:rFonts w:hint="eastAsia" w:ascii="仿宋_GB2312" w:hAnsi="仿宋_GB2312" w:eastAsia="仿宋_GB2312" w:cs="仿宋_GB2312"/>
          <w:color w:val="auto"/>
          <w:lang w:val="en-US" w:eastAsia="zh-CN"/>
        </w:rPr>
        <w:t>供热突发事件</w:t>
      </w:r>
      <w:r>
        <w:rPr>
          <w:rFonts w:hint="eastAsia" w:ascii="仿宋_GB2312" w:hAnsi="仿宋_GB2312" w:eastAsia="仿宋_GB2312" w:cs="仿宋_GB2312"/>
          <w:color w:val="auto"/>
        </w:rPr>
        <w:t>的准备，加强培训演练，做到常备不懈。</w:t>
      </w:r>
    </w:p>
    <w:p>
      <w:pPr>
        <w:pStyle w:val="5"/>
        <w:bidi w:val="0"/>
        <w:rPr>
          <w:rFonts w:hint="eastAsia" w:ascii="仿宋_GB2312" w:hAnsi="仿宋_GB2312" w:eastAsia="仿宋_GB2312" w:cs="仿宋_GB2312"/>
          <w:color w:val="auto"/>
          <w:lang w:val="en-US" w:eastAsia="zh-CN"/>
        </w:rPr>
      </w:pPr>
      <w:bookmarkStart w:id="14" w:name="_Toc16941"/>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5 事故分级标准</w:t>
      </w:r>
      <w:bookmarkEnd w:id="14"/>
    </w:p>
    <w:p>
      <w:pPr>
        <w:bidi w:val="0"/>
        <w:rPr>
          <w:rFonts w:hint="eastAsia" w:ascii="仿宋_GB2312" w:hAnsi="仿宋_GB2312" w:eastAsia="仿宋_GB2312" w:cs="仿宋_GB2312"/>
          <w:color w:val="auto"/>
        </w:rPr>
      </w:pPr>
      <w:bookmarkStart w:id="15" w:name="_Toc28750"/>
      <w:bookmarkStart w:id="16" w:name="_Toc26385"/>
      <w:bookmarkStart w:id="17" w:name="_Toc28035"/>
      <w:r>
        <w:rPr>
          <w:rFonts w:hint="eastAsia" w:ascii="仿宋_GB2312" w:hAnsi="仿宋_GB2312" w:eastAsia="仿宋_GB2312" w:cs="仿宋_GB2312"/>
          <w:color w:val="auto"/>
        </w:rPr>
        <w:t>按照供热突发事件可能造成的危害程度、影响范围、人员及财产损失等情况，依据净月高新技术产业开发区实际情况，由</w:t>
      </w:r>
      <w:r>
        <w:rPr>
          <w:rFonts w:hint="eastAsia" w:ascii="仿宋_GB2312" w:hAnsi="仿宋_GB2312" w:eastAsia="仿宋_GB2312" w:cs="仿宋_GB2312"/>
          <w:color w:val="auto"/>
          <w:lang w:val="en-US" w:eastAsia="zh-CN"/>
        </w:rPr>
        <w:t>低到高</w:t>
      </w:r>
      <w:r>
        <w:rPr>
          <w:rFonts w:hint="eastAsia" w:ascii="仿宋_GB2312" w:hAnsi="仿宋_GB2312" w:eastAsia="仿宋_GB2312" w:cs="仿宋_GB2312"/>
          <w:color w:val="auto"/>
        </w:rPr>
        <w:t>划分为一般事件</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较大事件和较大以上事件三个级别。</w:t>
      </w:r>
      <w:bookmarkEnd w:id="15"/>
      <w:bookmarkEnd w:id="16"/>
      <w:bookmarkEnd w:id="17"/>
    </w:p>
    <w:p>
      <w:pPr>
        <w:pStyle w:val="6"/>
        <w:bidi w:val="0"/>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 xml:space="preserve">1 </w:t>
      </w:r>
      <w:r>
        <w:rPr>
          <w:rFonts w:hint="eastAsia" w:ascii="仿宋_GB2312" w:hAnsi="仿宋_GB2312" w:eastAsia="仿宋_GB2312" w:cs="仿宋_GB2312"/>
          <w:color w:val="auto"/>
        </w:rPr>
        <w:t>一般事件</w:t>
      </w:r>
    </w:p>
    <w:p>
      <w:pPr>
        <w:bidi w:val="0"/>
        <w:rPr>
          <w:rFonts w:hint="default" w:ascii="仿宋_GB2312" w:hAnsi="仿宋_GB2312" w:eastAsia="仿宋_GB2312" w:cs="仿宋_GB2312"/>
          <w:color w:val="auto"/>
          <w:lang w:val="en-US" w:eastAsia="zh-CN"/>
        </w:rPr>
      </w:pPr>
      <w:bookmarkStart w:id="18" w:name="_Toc23339"/>
      <w:bookmarkStart w:id="19" w:name="_Toc9250"/>
      <w:bookmarkStart w:id="20" w:name="_Toc3866"/>
      <w:r>
        <w:rPr>
          <w:rFonts w:hint="eastAsia" w:ascii="仿宋_GB2312" w:hAnsi="仿宋_GB2312" w:eastAsia="仿宋_GB2312" w:cs="仿宋_GB2312"/>
          <w:color w:val="auto"/>
        </w:rPr>
        <w:t>（1）无人员死亡、无重伤人员</w:t>
      </w:r>
      <w:bookmarkEnd w:id="18"/>
      <w:r>
        <w:rPr>
          <w:rFonts w:hint="eastAsia" w:ascii="仿宋_GB2312" w:hAnsi="仿宋_GB2312" w:eastAsia="仿宋_GB2312" w:cs="仿宋_GB2312"/>
          <w:color w:val="auto"/>
        </w:rPr>
        <w:t>。</w:t>
      </w:r>
      <w:bookmarkEnd w:id="19"/>
      <w:bookmarkEnd w:id="20"/>
    </w:p>
    <w:p>
      <w:pPr>
        <w:bidi w:val="0"/>
        <w:rPr>
          <w:rFonts w:hint="eastAsia" w:ascii="仿宋_GB2312" w:hAnsi="仿宋_GB2312" w:eastAsia="仿宋_GB2312" w:cs="仿宋_GB2312"/>
          <w:color w:val="auto"/>
        </w:rPr>
      </w:pPr>
      <w:bookmarkStart w:id="21" w:name="_Toc15279"/>
      <w:bookmarkStart w:id="22" w:name="_Toc14817"/>
      <w:bookmarkStart w:id="23" w:name="_Toc808"/>
      <w:r>
        <w:rPr>
          <w:rFonts w:hint="eastAsia" w:ascii="仿宋_GB2312" w:hAnsi="仿宋_GB2312" w:eastAsia="仿宋_GB2312" w:cs="仿宋_GB2312"/>
          <w:color w:val="auto"/>
        </w:rPr>
        <w:t>（2）因供热设施出现故障、遭受外力破坏、遇自然灾害侵袭等原因，导致非正常停热。</w:t>
      </w:r>
      <w:r>
        <w:rPr>
          <w:rFonts w:hint="eastAsia" w:ascii="仿宋_GB2312" w:hAnsi="仿宋_GB2312" w:eastAsia="仿宋_GB2312" w:cs="仿宋_GB2312"/>
          <w:color w:val="auto"/>
          <w:lang w:eastAsia="zh-CN"/>
        </w:rPr>
        <w:t>停热面积</w:t>
      </w:r>
      <w:r>
        <w:rPr>
          <w:rFonts w:hint="eastAsia" w:ascii="仿宋_GB2312" w:hAnsi="仿宋_GB2312" w:eastAsia="仿宋_GB2312" w:cs="仿宋_GB2312"/>
          <w:color w:val="auto"/>
        </w:rPr>
        <w:t>40万平方米以下，预计恢复时间8小时以内。</w:t>
      </w:r>
      <w:bookmarkEnd w:id="21"/>
      <w:bookmarkEnd w:id="22"/>
      <w:bookmarkEnd w:id="23"/>
    </w:p>
    <w:p>
      <w:pPr>
        <w:pStyle w:val="6"/>
        <w:bidi w:val="0"/>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较大事件</w:t>
      </w:r>
    </w:p>
    <w:p>
      <w:pPr>
        <w:bidi w:val="0"/>
        <w:rPr>
          <w:rFonts w:hint="eastAsia" w:ascii="仿宋_GB2312" w:hAnsi="仿宋_GB2312" w:eastAsia="仿宋_GB2312" w:cs="仿宋_GB2312"/>
          <w:color w:val="auto"/>
        </w:rPr>
      </w:pPr>
      <w:bookmarkStart w:id="24" w:name="_Toc19842"/>
      <w:bookmarkStart w:id="25" w:name="_Toc13726"/>
      <w:bookmarkStart w:id="26" w:name="_Toc10385"/>
      <w:r>
        <w:rPr>
          <w:rFonts w:hint="eastAsia" w:ascii="仿宋_GB2312" w:hAnsi="仿宋_GB2312" w:eastAsia="仿宋_GB2312" w:cs="仿宋_GB2312"/>
          <w:color w:val="auto"/>
        </w:rPr>
        <w:t>（1）一次死亡</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人以</w:t>
      </w:r>
      <w:r>
        <w:rPr>
          <w:rFonts w:hint="eastAsia" w:ascii="仿宋_GB2312" w:hAnsi="仿宋_GB2312" w:eastAsia="仿宋_GB2312" w:cs="仿宋_GB2312"/>
          <w:color w:val="auto"/>
          <w:lang w:val="en-US" w:eastAsia="zh-CN"/>
        </w:rPr>
        <w:t>上</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人以下</w:t>
      </w:r>
      <w:bookmarkEnd w:id="24"/>
      <w:r>
        <w:rPr>
          <w:rFonts w:hint="eastAsia" w:ascii="仿宋_GB2312" w:hAnsi="仿宋_GB2312" w:eastAsia="仿宋_GB2312" w:cs="仿宋_GB2312"/>
          <w:color w:val="auto"/>
        </w:rPr>
        <w:t>。</w:t>
      </w:r>
      <w:bookmarkEnd w:id="25"/>
      <w:bookmarkEnd w:id="26"/>
    </w:p>
    <w:p>
      <w:pPr>
        <w:bidi w:val="0"/>
        <w:rPr>
          <w:rFonts w:hint="eastAsia" w:ascii="仿宋_GB2312" w:hAnsi="仿宋_GB2312" w:eastAsia="仿宋_GB2312" w:cs="仿宋_GB2312"/>
          <w:color w:val="auto"/>
        </w:rPr>
      </w:pPr>
      <w:bookmarkStart w:id="27" w:name="_Toc22005"/>
      <w:bookmarkStart w:id="28" w:name="_Toc31215"/>
      <w:bookmarkStart w:id="29" w:name="_Toc22886"/>
      <w:r>
        <w:rPr>
          <w:rFonts w:hint="eastAsia" w:ascii="仿宋_GB2312" w:hAnsi="仿宋_GB2312" w:eastAsia="仿宋_GB2312" w:cs="仿宋_GB2312"/>
          <w:color w:val="auto"/>
        </w:rPr>
        <w:t>（2）因供热设施出现故障、遭受外力破坏、遇自然灾害侵袭等原因，导致非正常停热。</w:t>
      </w:r>
      <w:r>
        <w:rPr>
          <w:rFonts w:hint="eastAsia" w:ascii="仿宋_GB2312" w:hAnsi="仿宋_GB2312" w:eastAsia="仿宋_GB2312" w:cs="仿宋_GB2312"/>
          <w:color w:val="auto"/>
          <w:lang w:eastAsia="zh-CN"/>
        </w:rPr>
        <w:t>停热面积</w:t>
      </w:r>
      <w:r>
        <w:rPr>
          <w:rFonts w:hint="eastAsia" w:ascii="仿宋_GB2312" w:hAnsi="仿宋_GB2312" w:eastAsia="仿宋_GB2312" w:cs="仿宋_GB2312"/>
          <w:color w:val="auto"/>
          <w:lang w:val="en-US" w:eastAsia="zh-CN"/>
        </w:rPr>
        <w:t>100</w:t>
      </w:r>
      <w:r>
        <w:rPr>
          <w:rFonts w:hint="eastAsia" w:ascii="仿宋_GB2312" w:hAnsi="仿宋_GB2312" w:eastAsia="仿宋_GB2312" w:cs="仿宋_GB2312"/>
          <w:color w:val="auto"/>
        </w:rPr>
        <w:t>万平方米以下，</w:t>
      </w:r>
      <w:bookmarkEnd w:id="27"/>
      <w:bookmarkEnd w:id="28"/>
      <w:bookmarkEnd w:id="29"/>
      <w:r>
        <w:rPr>
          <w:rFonts w:hint="eastAsia" w:ascii="仿宋_GB2312" w:hAnsi="仿宋_GB2312" w:eastAsia="仿宋_GB2312" w:cs="仿宋_GB2312"/>
          <w:color w:val="auto"/>
        </w:rPr>
        <w:t>预计恢复时间</w:t>
      </w:r>
      <w:r>
        <w:rPr>
          <w:rFonts w:hint="eastAsia" w:ascii="仿宋_GB2312" w:hAnsi="仿宋_GB2312" w:eastAsia="仿宋_GB2312" w:cs="仿宋_GB2312"/>
          <w:color w:val="auto"/>
          <w:lang w:val="en-US" w:eastAsia="zh-CN"/>
        </w:rPr>
        <w:t>24</w:t>
      </w:r>
      <w:r>
        <w:rPr>
          <w:rFonts w:hint="eastAsia" w:ascii="仿宋_GB2312" w:hAnsi="仿宋_GB2312" w:eastAsia="仿宋_GB2312" w:cs="仿宋_GB2312"/>
          <w:color w:val="auto"/>
        </w:rPr>
        <w:t>小时以内。</w:t>
      </w:r>
    </w:p>
    <w:p>
      <w:pPr>
        <w:pStyle w:val="6"/>
        <w:bidi w:val="0"/>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 xml:space="preserve">3 </w:t>
      </w:r>
      <w:r>
        <w:rPr>
          <w:rFonts w:hint="eastAsia" w:ascii="仿宋_GB2312" w:hAnsi="仿宋_GB2312" w:eastAsia="仿宋_GB2312" w:cs="仿宋_GB2312"/>
          <w:color w:val="auto"/>
        </w:rPr>
        <w:t>较大以上事件</w:t>
      </w:r>
    </w:p>
    <w:p>
      <w:pPr>
        <w:bidi w:val="0"/>
        <w:rPr>
          <w:rFonts w:hint="eastAsia" w:ascii="仿宋_GB2312" w:hAnsi="仿宋_GB2312" w:eastAsia="仿宋_GB2312" w:cs="仿宋_GB2312"/>
          <w:color w:val="auto"/>
          <w:lang w:val="en-US" w:eastAsia="zh-CN"/>
        </w:rPr>
      </w:pPr>
      <w:bookmarkStart w:id="30" w:name="_Toc6889"/>
      <w:bookmarkStart w:id="31" w:name="_Toc19935"/>
      <w:bookmarkStart w:id="32" w:name="_Toc32575"/>
      <w:r>
        <w:rPr>
          <w:rFonts w:hint="eastAsia" w:ascii="仿宋_GB2312" w:hAnsi="仿宋_GB2312" w:eastAsia="仿宋_GB2312" w:cs="仿宋_GB2312"/>
          <w:color w:val="auto"/>
        </w:rPr>
        <w:t>超过</w:t>
      </w:r>
      <w:r>
        <w:rPr>
          <w:rFonts w:hint="eastAsia" w:ascii="仿宋_GB2312" w:hAnsi="仿宋_GB2312" w:eastAsia="仿宋_GB2312" w:cs="仿宋_GB2312"/>
          <w:color w:val="auto"/>
          <w:lang w:val="en-US" w:eastAsia="zh-CN"/>
        </w:rPr>
        <w:t>一般、较大</w:t>
      </w:r>
      <w:r>
        <w:rPr>
          <w:rFonts w:hint="eastAsia" w:ascii="仿宋_GB2312" w:hAnsi="仿宋_GB2312" w:eastAsia="仿宋_GB2312" w:cs="仿宋_GB2312"/>
          <w:color w:val="auto"/>
        </w:rPr>
        <w:t>事件的事故。</w:t>
      </w:r>
      <w:bookmarkEnd w:id="30"/>
      <w:bookmarkEnd w:id="31"/>
      <w:bookmarkEnd w:id="32"/>
    </w:p>
    <w:p>
      <w:pPr>
        <w:pStyle w:val="4"/>
        <w:bidi w:val="0"/>
        <w:rPr>
          <w:rFonts w:hint="eastAsia"/>
          <w:color w:val="auto"/>
        </w:rPr>
      </w:pPr>
      <w:bookmarkStart w:id="33" w:name="_Toc4086"/>
      <w:r>
        <w:rPr>
          <w:rFonts w:hint="eastAsia"/>
          <w:color w:val="auto"/>
          <w:lang w:val="en-US" w:eastAsia="zh-CN"/>
        </w:rPr>
        <w:t xml:space="preserve">2.  </w:t>
      </w:r>
      <w:r>
        <w:rPr>
          <w:rFonts w:hint="eastAsia"/>
          <w:color w:val="auto"/>
        </w:rPr>
        <w:t>组织机构及职责</w:t>
      </w:r>
      <w:bookmarkEnd w:id="33"/>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2.1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成立净月高新技术产业开发区供热突发事件应急指挥部（以下简称“区应急指挥部”）</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区应急总指挥：管委会分管副主任。</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区应急副总指挥：</w:t>
      </w:r>
      <w:r>
        <w:rPr>
          <w:rFonts w:hint="eastAsia" w:ascii="仿宋_GB2312" w:hAnsi="仿宋_GB2312" w:eastAsia="仿宋_GB2312" w:cs="仿宋_GB2312"/>
          <w:color w:val="auto"/>
          <w:lang w:eastAsia="zh-CN"/>
        </w:rPr>
        <w:t>建设发展局</w:t>
      </w:r>
      <w:r>
        <w:rPr>
          <w:rFonts w:hint="eastAsia" w:ascii="仿宋_GB2312" w:hAnsi="仿宋_GB2312" w:eastAsia="仿宋_GB2312" w:cs="仿宋_GB2312"/>
          <w:color w:val="auto"/>
          <w:lang w:val="en-US" w:eastAsia="zh-CN"/>
        </w:rPr>
        <w:t>局长</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应急管理局</w:t>
      </w:r>
      <w:r>
        <w:rPr>
          <w:rFonts w:hint="eastAsia" w:ascii="仿宋_GB2312" w:hAnsi="仿宋_GB2312" w:eastAsia="仿宋_GB2312" w:cs="仿宋_GB2312"/>
          <w:color w:val="auto"/>
        </w:rPr>
        <w:t>局长。</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应急指挥部成员：</w:t>
      </w:r>
      <w:r>
        <w:rPr>
          <w:rFonts w:hint="eastAsia" w:ascii="仿宋_GB2312" w:hAnsi="仿宋_GB2312" w:eastAsia="仿宋_GB2312" w:cs="仿宋_GB2312"/>
          <w:color w:val="auto"/>
          <w:lang w:eastAsia="zh-CN"/>
        </w:rPr>
        <w:t>建设发展局</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应急管理局</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卫生健康局</w:t>
      </w:r>
      <w:r>
        <w:rPr>
          <w:rFonts w:hint="eastAsia" w:ascii="仿宋_GB2312" w:hAnsi="仿宋_GB2312" w:eastAsia="仿宋_GB2312" w:cs="仿宋_GB2312"/>
          <w:color w:val="auto"/>
        </w:rPr>
        <w:t>、财政局、</w:t>
      </w:r>
      <w:r>
        <w:rPr>
          <w:rFonts w:hint="eastAsia" w:ascii="仿宋_GB2312" w:hAnsi="仿宋_GB2312" w:eastAsia="仿宋_GB2312" w:cs="仿宋_GB2312"/>
          <w:color w:val="auto"/>
          <w:lang w:eastAsia="zh-CN"/>
        </w:rPr>
        <w:t>宣传部</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净月公安分局</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净月交警大队</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净月消防救援大队</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生态环境分局、</w:t>
      </w:r>
      <w:r>
        <w:rPr>
          <w:rFonts w:hint="eastAsia" w:ascii="仿宋_GB2312" w:hAnsi="仿宋_GB2312" w:eastAsia="仿宋_GB2312" w:cs="仿宋_GB2312"/>
          <w:color w:val="auto"/>
          <w:lang w:eastAsia="zh-CN"/>
        </w:rPr>
        <w:t>市场监督管理局净月分局</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政法与维护稳定办公室、</w:t>
      </w:r>
      <w:r>
        <w:rPr>
          <w:rFonts w:hint="eastAsia" w:ascii="仿宋_GB2312" w:hAnsi="仿宋_GB2312" w:eastAsia="仿宋_GB2312" w:cs="仿宋_GB2312"/>
          <w:color w:val="auto"/>
        </w:rPr>
        <w:t>水务集团净月分公司、</w:t>
      </w:r>
      <w:r>
        <w:rPr>
          <w:rFonts w:hint="eastAsia" w:ascii="仿宋_GB2312" w:hAnsi="仿宋_GB2312" w:eastAsia="仿宋_GB2312" w:cs="仿宋_GB2312"/>
          <w:color w:val="auto"/>
          <w:lang w:val="en-US" w:eastAsia="zh-CN"/>
        </w:rPr>
        <w:t>长春供电公司二道分公司</w:t>
      </w:r>
      <w:r>
        <w:rPr>
          <w:rFonts w:hint="eastAsia" w:ascii="仿宋_GB2312" w:hAnsi="仿宋_GB2312" w:eastAsia="仿宋_GB2312" w:cs="仿宋_GB2312"/>
          <w:color w:val="auto"/>
          <w:lang w:eastAsia="zh-CN"/>
        </w:rPr>
        <w:t>、城郊供电公司、长春燃气公司净月分公司、</w:t>
      </w:r>
      <w:r>
        <w:rPr>
          <w:rFonts w:hint="eastAsia" w:ascii="仿宋_GB2312" w:hAnsi="仿宋_GB2312" w:eastAsia="仿宋_GB2312" w:cs="仿宋_GB2312"/>
          <w:color w:val="auto"/>
        </w:rPr>
        <w:t>各镇</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街道办事处</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各供热企业。</w:t>
      </w:r>
    </w:p>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区应急指挥部职责</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领导本区供热突发事件应急处置工作。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 xml:space="preserve">2 </w:t>
      </w:r>
      <w:r>
        <w:rPr>
          <w:rFonts w:hint="eastAsia" w:ascii="仿宋_GB2312" w:hAnsi="仿宋_GB2312" w:eastAsia="仿宋_GB2312" w:cs="仿宋_GB2312"/>
          <w:color w:val="auto"/>
        </w:rPr>
        <w:t>区应急指挥部办公室及职责</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区应急指挥部下设办公室，办公室设在</w:t>
      </w:r>
      <w:r>
        <w:rPr>
          <w:rFonts w:hint="eastAsia" w:ascii="仿宋_GB2312" w:hAnsi="仿宋_GB2312" w:eastAsia="仿宋_GB2312" w:cs="仿宋_GB2312"/>
          <w:color w:val="auto"/>
          <w:lang w:eastAsia="zh-CN"/>
        </w:rPr>
        <w:t>建设发展局</w:t>
      </w:r>
      <w:r>
        <w:rPr>
          <w:rFonts w:hint="eastAsia" w:ascii="仿宋_GB2312" w:hAnsi="仿宋_GB2312" w:eastAsia="仿宋_GB2312" w:cs="仿宋_GB2312"/>
          <w:color w:val="auto"/>
        </w:rPr>
        <w:t>，办公室主任由</w:t>
      </w:r>
      <w:r>
        <w:rPr>
          <w:rFonts w:hint="eastAsia" w:ascii="仿宋_GB2312" w:hAnsi="仿宋_GB2312" w:eastAsia="仿宋_GB2312" w:cs="仿宋_GB2312"/>
          <w:color w:val="auto"/>
          <w:lang w:eastAsia="zh-CN"/>
        </w:rPr>
        <w:t>建设发展局</w:t>
      </w:r>
      <w:r>
        <w:rPr>
          <w:rFonts w:hint="eastAsia" w:ascii="仿宋_GB2312" w:hAnsi="仿宋_GB2312" w:eastAsia="仿宋_GB2312" w:cs="仿宋_GB2312"/>
          <w:color w:val="auto"/>
          <w:lang w:val="en-US" w:eastAsia="zh-CN"/>
        </w:rPr>
        <w:t>局长</w:t>
      </w:r>
      <w:r>
        <w:rPr>
          <w:rFonts w:hint="eastAsia" w:ascii="仿宋_GB2312" w:hAnsi="仿宋_GB2312" w:eastAsia="仿宋_GB2312" w:cs="仿宋_GB2312"/>
          <w:color w:val="auto"/>
        </w:rPr>
        <w:t>担任。</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区应急指挥部办公室职责：负责区应急指挥部日常工作；负责接收、分析、上报本区域内供热突发事件的预警信息；根据突发事件现场情况，需启动本应急预案的，报请区应急指挥部启动本预案，并根据区应急指挥部指令向相关成员单位、部门下达启动本预案指令。</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 xml:space="preserve">3 </w:t>
      </w:r>
      <w:r>
        <w:rPr>
          <w:rFonts w:hint="eastAsia" w:ascii="仿宋_GB2312" w:hAnsi="仿宋_GB2312" w:eastAsia="仿宋_GB2312" w:cs="仿宋_GB2312"/>
          <w:color w:val="auto"/>
        </w:rPr>
        <w:t>成员单位职责与分工</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建设发展局</w:t>
      </w:r>
      <w:r>
        <w:rPr>
          <w:rFonts w:hint="eastAsia" w:ascii="仿宋_GB2312" w:hAnsi="仿宋_GB2312" w:eastAsia="仿宋_GB2312" w:cs="仿宋_GB2312"/>
          <w:color w:val="auto"/>
        </w:rPr>
        <w:t>：负责督促各供热企业制定供热突发事件应急预案；负责全区供热突发事件信息的接收、核实、处理、传递、报告、通报</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负责</w:t>
      </w:r>
      <w:r>
        <w:rPr>
          <w:rFonts w:hint="eastAsia" w:ascii="仿宋_GB2312" w:hAnsi="仿宋_GB2312" w:eastAsia="仿宋_GB2312" w:cs="仿宋_GB2312"/>
          <w:color w:val="auto"/>
          <w:lang w:val="en-US" w:eastAsia="zh-CN"/>
        </w:rPr>
        <w:t>对涉及城市道路挖掘的突发事件办理挖掘审批；负责协调供热突发事件处置过程中大型机械设备的调用；负责组织事后道路复原及</w:t>
      </w:r>
      <w:r>
        <w:rPr>
          <w:rFonts w:hint="eastAsia" w:ascii="仿宋_GB2312" w:hAnsi="仿宋_GB2312" w:eastAsia="仿宋_GB2312" w:cs="仿宋_GB2312"/>
          <w:color w:val="auto"/>
        </w:rPr>
        <w:t>其他职责范围内的工作。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应急管理局</w:t>
      </w:r>
      <w:r>
        <w:rPr>
          <w:rFonts w:hint="eastAsia" w:ascii="仿宋_GB2312" w:hAnsi="仿宋_GB2312" w:eastAsia="仿宋_GB2312" w:cs="仿宋_GB2312"/>
          <w:color w:val="auto"/>
        </w:rPr>
        <w:t>：负责组织或参与供热突发事件的调查和处理；对突发事件应急抢险处置和抢险救援工作提出建议及其他职责范围内的工作。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卫生健康局</w:t>
      </w:r>
      <w:r>
        <w:rPr>
          <w:rFonts w:hint="eastAsia" w:ascii="仿宋_GB2312" w:hAnsi="仿宋_GB2312" w:eastAsia="仿宋_GB2312" w:cs="仿宋_GB2312"/>
          <w:color w:val="auto"/>
        </w:rPr>
        <w:t>：负责组织医疗卫生救援，迅速展开对受伤人员的现场急救、伤情诊断和治疗工作。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财政局：负责为供热突发事件应急处置工作提供资金保障。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宣传部</w:t>
      </w:r>
      <w:r>
        <w:rPr>
          <w:rFonts w:hint="eastAsia" w:ascii="仿宋_GB2312" w:hAnsi="仿宋_GB2312" w:eastAsia="仿宋_GB2312" w:cs="仿宋_GB2312"/>
          <w:color w:val="auto"/>
        </w:rPr>
        <w:t xml:space="preserve">：负责协助有关单位、部门进行突发事件新闻宣传和信息发布工作，做好媒体和互联网舆论的引导工作。 </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生态环境分局</w:t>
      </w:r>
      <w:r>
        <w:rPr>
          <w:rFonts w:hint="eastAsia" w:ascii="仿宋_GB2312" w:hAnsi="仿宋_GB2312" w:eastAsia="仿宋_GB2312" w:cs="仿宋_GB2312"/>
          <w:color w:val="auto"/>
        </w:rPr>
        <w:t>：参与协调现场处置工作，负责组织实施环境监测，对环境恢复提出建议。</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净月公安分局</w:t>
      </w:r>
      <w:r>
        <w:rPr>
          <w:rFonts w:hint="eastAsia" w:ascii="仿宋_GB2312" w:hAnsi="仿宋_GB2312" w:eastAsia="仿宋_GB2312" w:cs="仿宋_GB2312"/>
          <w:color w:val="auto"/>
        </w:rPr>
        <w:t>：负责维护抢修现场秩序，依法制止影响供热抢修、维修的行为。依法对造成重大供热事件或供热设施严重损毁的责任人进行侦查，追究其法律责任。</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净月交警大队</w:t>
      </w:r>
      <w:r>
        <w:rPr>
          <w:rFonts w:hint="eastAsia" w:ascii="仿宋_GB2312" w:hAnsi="仿宋_GB2312" w:eastAsia="仿宋_GB2312" w:cs="仿宋_GB2312"/>
          <w:color w:val="auto"/>
        </w:rPr>
        <w:t>：负责提供警力对事故现场实行交通管制。</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净月消防救援大队</w:t>
      </w:r>
      <w:r>
        <w:rPr>
          <w:rFonts w:hint="eastAsia" w:ascii="仿宋_GB2312" w:hAnsi="仿宋_GB2312" w:eastAsia="仿宋_GB2312" w:cs="仿宋_GB2312"/>
          <w:color w:val="auto"/>
        </w:rPr>
        <w:t>：负责参与组织供热突发事件现场的火灾扑救和以抢救人员生命为主的应急救援工作。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市场监督管理局净月分局</w:t>
      </w:r>
      <w:r>
        <w:rPr>
          <w:rFonts w:hint="eastAsia" w:ascii="仿宋_GB2312" w:hAnsi="仿宋_GB2312" w:eastAsia="仿宋_GB2312" w:cs="仿宋_GB2312"/>
          <w:color w:val="auto"/>
        </w:rPr>
        <w:t>：组织开展有关特种设备引发</w:t>
      </w:r>
      <w:r>
        <w:rPr>
          <w:rFonts w:hint="eastAsia" w:ascii="仿宋_GB2312" w:hAnsi="仿宋_GB2312" w:eastAsia="仿宋_GB2312" w:cs="仿宋_GB2312"/>
          <w:color w:val="auto"/>
          <w:lang w:val="en-US" w:eastAsia="zh-CN"/>
        </w:rPr>
        <w:t>的</w:t>
      </w:r>
      <w:r>
        <w:rPr>
          <w:rFonts w:hint="eastAsia" w:ascii="仿宋_GB2312" w:hAnsi="仿宋_GB2312" w:eastAsia="仿宋_GB2312" w:cs="仿宋_GB2312"/>
          <w:color w:val="auto"/>
        </w:rPr>
        <w:t>突发事件的事故救援与调查。</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政法与维护稳定办公室：负责协调相关职能部门共同做好上访群众接访工作、相关政策、法规解释和群众教育疏导工作。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水务集团净月分公司：负责处理因停水影响供热运行的供水抢修、恢复工作。</w:t>
      </w:r>
    </w:p>
    <w:p>
      <w:pPr>
        <w:bidi w:val="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长春供电公司二道分公司和</w:t>
      </w:r>
      <w:r>
        <w:rPr>
          <w:rFonts w:hint="eastAsia" w:ascii="仿宋_GB2312" w:hAnsi="仿宋_GB2312" w:eastAsia="仿宋_GB2312" w:cs="仿宋_GB2312"/>
          <w:color w:val="auto"/>
          <w:lang w:eastAsia="zh-CN"/>
        </w:rPr>
        <w:t>城郊供电公司：</w:t>
      </w:r>
      <w:r>
        <w:rPr>
          <w:rFonts w:hint="eastAsia" w:ascii="仿宋_GB2312" w:hAnsi="仿宋_GB2312" w:eastAsia="仿宋_GB2312" w:cs="仿宋_GB2312"/>
          <w:color w:val="auto"/>
          <w:lang w:val="en-US" w:eastAsia="zh-CN"/>
        </w:rPr>
        <w:t>负责做好优先保证供热用电及影响供热的电力故障抢修工作。</w:t>
      </w:r>
    </w:p>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长春燃气公司净月分公司：</w:t>
      </w:r>
      <w:r>
        <w:rPr>
          <w:rFonts w:hint="eastAsia" w:ascii="仿宋_GB2312" w:hAnsi="仿宋_GB2312" w:eastAsia="仿宋_GB2312" w:cs="仿宋_GB2312"/>
          <w:color w:val="auto"/>
          <w:lang w:val="en-US" w:eastAsia="zh-CN"/>
        </w:rPr>
        <w:t>负责处理辖区内燃气供热项目因停气影响供热运行的抢修、恢复工作。</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各镇、街道办事处：负责受灾群众的临时安置和基本生活救助工作；协助做好抢修现场协调、监督工作。</w:t>
      </w:r>
    </w:p>
    <w:p>
      <w:pPr>
        <w:pStyle w:val="8"/>
        <w:rPr>
          <w:rFonts w:hint="eastAsia" w:ascii="仿宋_GB2312" w:hAnsi="仿宋_GB2312" w:eastAsia="仿宋_GB2312" w:cs="仿宋_GB2312"/>
          <w:color w:val="auto"/>
        </w:rPr>
      </w:pPr>
      <w:r>
        <w:rPr>
          <w:rFonts w:hint="eastAsia" w:ascii="仿宋_GB2312" w:hAnsi="仿宋_GB2312" w:eastAsia="仿宋_GB2312" w:cs="仿宋_GB2312"/>
          <w:color w:val="auto"/>
        </w:rPr>
        <w:t>各供热企业</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rPr>
        <w:t>负责制定本企业的供热</w:t>
      </w:r>
      <w:r>
        <w:rPr>
          <w:rFonts w:hint="eastAsia" w:ascii="仿宋_GB2312" w:hAnsi="仿宋_GB2312" w:eastAsia="仿宋_GB2312" w:cs="仿宋_GB2312"/>
          <w:color w:val="auto"/>
          <w:lang w:val="en-US" w:eastAsia="zh-CN"/>
        </w:rPr>
        <w:t>事件</w:t>
      </w:r>
      <w:r>
        <w:rPr>
          <w:rFonts w:hint="eastAsia" w:ascii="仿宋_GB2312" w:hAnsi="仿宋_GB2312" w:eastAsia="仿宋_GB2312" w:cs="仿宋_GB2312"/>
          <w:color w:val="auto"/>
        </w:rPr>
        <w:t>应急预案</w:t>
      </w:r>
      <w:r>
        <w:rPr>
          <w:rFonts w:hint="eastAsia" w:ascii="仿宋_GB2312" w:hAnsi="仿宋_GB2312" w:eastAsia="仿宋_GB2312" w:cs="仿宋_GB2312"/>
          <w:color w:val="auto"/>
          <w:lang w:eastAsia="zh-CN"/>
        </w:rPr>
        <w:t>，并培训演练到</w:t>
      </w:r>
      <w:r>
        <w:rPr>
          <w:rFonts w:hint="eastAsia" w:ascii="仿宋_GB2312" w:hAnsi="仿宋_GB2312" w:eastAsia="仿宋_GB2312" w:cs="仿宋_GB2312"/>
          <w:color w:val="auto"/>
          <w:lang w:val="en-US" w:eastAsia="zh-CN"/>
        </w:rPr>
        <w:t>位，保障应急物资储备供应，做好生产调度、时时监控、抢修作业、安全监护、用户通告等工作；及时组织供热事件抢险，尽快恢复供热；应急突发事故超过企业的可控范围时，应及时</w:t>
      </w:r>
      <w:r>
        <w:rPr>
          <w:rFonts w:hint="eastAsia"/>
          <w:color w:val="auto"/>
          <w:lang w:val="en-US" w:eastAsia="zh-CN"/>
        </w:rPr>
        <w:t>请求上级部门支持</w:t>
      </w:r>
      <w:r>
        <w:rPr>
          <w:rFonts w:hint="eastAsia" w:ascii="仿宋_GB2312" w:hAnsi="仿宋_GB2312" w:eastAsia="仿宋_GB2312" w:cs="仿宋_GB2312"/>
          <w:color w:val="auto"/>
          <w:lang w:val="en-US" w:eastAsia="zh-CN"/>
        </w:rPr>
        <w:t>；配合做好事件调查、取证、分析工作；协调安排应急工作人员食宿，参与伤员救护工作；协调做好伤亡人员家属安抚、慰问工作，妥善处理善后事宜，消除各种不安全、不稳定因素。</w:t>
      </w:r>
      <w:r>
        <w:rPr>
          <w:rFonts w:hint="eastAsia" w:ascii="仿宋_GB2312" w:hAnsi="仿宋_GB2312" w:eastAsia="仿宋_GB2312" w:cs="仿宋_GB2312"/>
          <w:color w:val="auto"/>
        </w:rPr>
        <w:t>按照区应急指挥部办公室的指示，参与其他供热突发事件的应急救援。</w:t>
      </w:r>
    </w:p>
    <w:p>
      <w:pPr>
        <w:pStyle w:val="4"/>
        <w:bidi w:val="0"/>
        <w:rPr>
          <w:rFonts w:hint="eastAsia"/>
          <w:color w:val="auto"/>
        </w:rPr>
      </w:pPr>
      <w:bookmarkStart w:id="34" w:name="_Toc10042"/>
      <w:r>
        <w:rPr>
          <w:rFonts w:hint="eastAsia"/>
          <w:color w:val="auto"/>
          <w:lang w:val="en-US" w:eastAsia="zh-CN"/>
        </w:rPr>
        <w:t xml:space="preserve">3.  </w:t>
      </w:r>
      <w:r>
        <w:rPr>
          <w:rFonts w:hint="eastAsia"/>
          <w:color w:val="auto"/>
        </w:rPr>
        <w:t>信息报告与发布</w:t>
      </w:r>
      <w:bookmarkEnd w:id="34"/>
    </w:p>
    <w:p>
      <w:pPr>
        <w:pStyle w:val="5"/>
        <w:bidi w:val="0"/>
        <w:rPr>
          <w:rFonts w:hint="eastAsia" w:ascii="仿宋_GB2312" w:hAnsi="仿宋_GB2312" w:eastAsia="仿宋_GB2312" w:cs="仿宋_GB2312"/>
          <w:color w:val="auto"/>
        </w:rPr>
      </w:pPr>
      <w:bookmarkStart w:id="35" w:name="_Toc7043"/>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信息报告</w:t>
      </w:r>
      <w:bookmarkEnd w:id="35"/>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发生供热突发事件后，</w:t>
      </w:r>
      <w:r>
        <w:rPr>
          <w:rFonts w:hint="eastAsia" w:ascii="仿宋_GB2312" w:hAnsi="仿宋_GB2312" w:eastAsia="仿宋_GB2312" w:cs="仿宋_GB2312"/>
          <w:color w:val="auto"/>
          <w:lang w:val="en-US" w:eastAsia="zh-CN"/>
        </w:rPr>
        <w:t>涉事单位</w:t>
      </w:r>
      <w:r>
        <w:rPr>
          <w:rFonts w:hint="eastAsia" w:ascii="仿宋_GB2312" w:hAnsi="仿宋_GB2312" w:eastAsia="仿宋_GB2312" w:cs="仿宋_GB2312"/>
          <w:color w:val="auto"/>
        </w:rPr>
        <w:t>应</w:t>
      </w:r>
      <w:r>
        <w:rPr>
          <w:rFonts w:hint="eastAsia" w:ascii="仿宋_GB2312" w:hAnsi="仿宋_GB2312" w:eastAsia="仿宋_GB2312" w:cs="仿宋_GB2312"/>
          <w:color w:val="auto"/>
          <w:lang w:val="en-US" w:eastAsia="zh-CN"/>
        </w:rPr>
        <w:t>及时</w:t>
      </w:r>
      <w:r>
        <w:rPr>
          <w:rFonts w:hint="eastAsia" w:ascii="仿宋_GB2312" w:hAnsi="仿宋_GB2312" w:eastAsia="仿宋_GB2312" w:cs="仿宋_GB2312"/>
          <w:color w:val="auto"/>
        </w:rPr>
        <w:t>向区应急指挥部办公室报告。报告内容主要有：事件发生的时间、地点、原因和影响范围等信息。</w:t>
      </w:r>
    </w:p>
    <w:p>
      <w:pPr>
        <w:pStyle w:val="8"/>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区应急指挥部办公室根据事态情况分析研判：属一般事件的</w:t>
      </w:r>
      <w:r>
        <w:rPr>
          <w:rFonts w:hint="eastAsia" w:ascii="仿宋_GB2312" w:hAnsi="仿宋_GB2312" w:eastAsia="仿宋_GB2312" w:cs="仿宋_GB2312"/>
          <w:color w:val="auto"/>
          <w:lang w:val="en-US" w:eastAsia="zh-CN"/>
        </w:rPr>
        <w:t>启动企业应急预案，同时区应急指挥部办公室跟踪事件的发展</w:t>
      </w:r>
      <w:r>
        <w:rPr>
          <w:rFonts w:hint="eastAsia" w:ascii="仿宋_GB2312" w:hAnsi="仿宋_GB2312" w:eastAsia="仿宋_GB2312" w:cs="仿宋_GB2312"/>
          <w:color w:val="auto"/>
        </w:rPr>
        <w:t>；属于较大事件的</w:t>
      </w:r>
      <w:r>
        <w:rPr>
          <w:rFonts w:hint="eastAsia"/>
          <w:color w:val="auto"/>
          <w:lang w:val="en-US" w:eastAsia="zh-CN"/>
        </w:rPr>
        <w:t>企业</w:t>
      </w:r>
      <w:r>
        <w:rPr>
          <w:rFonts w:hint="eastAsia" w:ascii="仿宋_GB2312" w:hAnsi="仿宋_GB2312" w:eastAsia="仿宋_GB2312" w:cs="仿宋_GB2312"/>
          <w:color w:val="auto"/>
        </w:rPr>
        <w:t>应</w:t>
      </w:r>
      <w:r>
        <w:rPr>
          <w:rFonts w:hint="eastAsia"/>
          <w:color w:val="auto"/>
          <w:lang w:val="en-US" w:eastAsia="zh-CN"/>
        </w:rPr>
        <w:t>启动应急预案进行前期处置，并立即上报区应急指挥部总指挥</w:t>
      </w:r>
      <w:r>
        <w:rPr>
          <w:rFonts w:hint="eastAsia" w:ascii="仿宋_GB2312" w:hAnsi="仿宋_GB2312" w:eastAsia="仿宋_GB2312" w:cs="仿宋_GB2312"/>
          <w:color w:val="auto"/>
        </w:rPr>
        <w:t>；属较大以上事件的</w:t>
      </w:r>
      <w:r>
        <w:rPr>
          <w:rFonts w:hint="eastAsia" w:ascii="仿宋_GB2312" w:hAnsi="仿宋_GB2312" w:eastAsia="仿宋_GB2312" w:cs="仿宋_GB2312"/>
          <w:color w:val="auto"/>
          <w:lang w:eastAsia="zh-CN"/>
        </w:rPr>
        <w:t>，</w:t>
      </w:r>
      <w:r>
        <w:rPr>
          <w:rFonts w:hint="eastAsia"/>
          <w:color w:val="auto"/>
          <w:lang w:val="en-US" w:eastAsia="zh-CN"/>
        </w:rPr>
        <w:t>企业</w:t>
      </w:r>
      <w:r>
        <w:rPr>
          <w:rFonts w:hint="eastAsia" w:ascii="仿宋_GB2312" w:hAnsi="仿宋_GB2312" w:eastAsia="仿宋_GB2312" w:cs="仿宋_GB2312"/>
          <w:color w:val="auto"/>
        </w:rPr>
        <w:t>应</w:t>
      </w:r>
      <w:r>
        <w:rPr>
          <w:rFonts w:hint="eastAsia"/>
          <w:color w:val="auto"/>
          <w:lang w:val="en-US" w:eastAsia="zh-CN"/>
        </w:rPr>
        <w:t>启动应急预案进行前期处置，并立即上报区应急指挥部总指挥</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同时向</w:t>
      </w:r>
      <w:r>
        <w:rPr>
          <w:rFonts w:hint="eastAsia"/>
          <w:color w:val="auto"/>
          <w:lang w:val="en-US" w:eastAsia="zh-CN"/>
        </w:rPr>
        <w:t>市应急指挥部办公室</w:t>
      </w:r>
      <w:r>
        <w:rPr>
          <w:rFonts w:hint="eastAsia" w:ascii="仿宋_GB2312" w:hAnsi="仿宋_GB2312" w:eastAsia="仿宋_GB2312" w:cs="仿宋_GB2312"/>
          <w:color w:val="auto"/>
        </w:rPr>
        <w:t>报告。</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区应急指挥部办公室24小时应急电话：</w:t>
      </w:r>
    </w:p>
    <w:p>
      <w:pPr>
        <w:bidi w:val="0"/>
        <w:rPr>
          <w:rFonts w:hint="eastAsia" w:ascii="仿宋_GB2312" w:hAnsi="仿宋_GB2312" w:eastAsia="仿宋_GB2312" w:cs="仿宋_GB2312"/>
          <w:color w:val="auto"/>
        </w:rPr>
      </w:pPr>
      <w:bookmarkStart w:id="36" w:name="_Toc7320"/>
      <w:r>
        <w:rPr>
          <w:rFonts w:hint="eastAsia" w:ascii="仿宋_GB2312" w:hAnsi="仿宋_GB2312" w:eastAsia="仿宋_GB2312" w:cs="仿宋_GB2312"/>
          <w:color w:val="auto"/>
        </w:rPr>
        <w:t>白天：0431-84532433</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夜晚：0431-84512345</w:t>
      </w:r>
    </w:p>
    <w:p>
      <w:pPr>
        <w:pStyle w:val="5"/>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信息发布</w:t>
      </w:r>
      <w:bookmarkEnd w:id="36"/>
    </w:p>
    <w:p>
      <w:pPr>
        <w:bidi w:val="0"/>
        <w:rPr>
          <w:rFonts w:hint="eastAsia" w:ascii="仿宋_GB2312" w:hAnsi="仿宋_GB2312" w:eastAsia="仿宋_GB2312" w:cs="仿宋_GB2312"/>
          <w:color w:val="auto"/>
          <w:lang w:val="en-US" w:eastAsia="zh-CN"/>
        </w:rPr>
      </w:pPr>
      <w:bookmarkStart w:id="37" w:name="_Toc6906"/>
      <w:r>
        <w:rPr>
          <w:rFonts w:hint="eastAsia" w:ascii="仿宋_GB2312" w:hAnsi="仿宋_GB2312" w:eastAsia="仿宋_GB2312" w:cs="仿宋_GB2312"/>
          <w:color w:val="auto"/>
          <w:lang w:eastAsia="zh-CN"/>
        </w:rPr>
        <w:t>发布供热事件</w:t>
      </w:r>
      <w:r>
        <w:rPr>
          <w:rFonts w:hint="eastAsia" w:ascii="仿宋_GB2312" w:hAnsi="仿宋_GB2312" w:eastAsia="仿宋_GB2312" w:cs="仿宋_GB2312"/>
          <w:color w:val="auto"/>
        </w:rPr>
        <w:t>的有关信息，须经区应急指挥部批准</w:t>
      </w:r>
      <w:r>
        <w:rPr>
          <w:rFonts w:hint="eastAsia" w:ascii="仿宋_GB2312" w:hAnsi="仿宋_GB2312" w:eastAsia="仿宋_GB2312" w:cs="仿宋_GB2312"/>
          <w:color w:val="auto"/>
          <w:lang w:eastAsia="zh-CN"/>
        </w:rPr>
        <w:t>后</w:t>
      </w:r>
      <w:r>
        <w:rPr>
          <w:rFonts w:hint="eastAsia" w:ascii="仿宋_GB2312" w:hAnsi="仿宋_GB2312" w:eastAsia="仿宋_GB2312" w:cs="仿宋_GB2312"/>
          <w:color w:val="auto"/>
        </w:rPr>
        <w:t>方可对外发布</w:t>
      </w:r>
      <w:r>
        <w:rPr>
          <w:rFonts w:hint="eastAsia" w:ascii="仿宋_GB2312" w:hAnsi="仿宋_GB2312" w:eastAsia="仿宋_GB2312" w:cs="仿宋_GB2312"/>
          <w:color w:val="auto"/>
          <w:lang w:eastAsia="zh-CN"/>
        </w:rPr>
        <w:t>。</w:t>
      </w:r>
    </w:p>
    <w:p>
      <w:pPr>
        <w:pStyle w:val="5"/>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3.3 实行供热应急信息快速反应机制</w:t>
      </w:r>
      <w:bookmarkEnd w:id="37"/>
    </w:p>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供热突发事件发生后，区应急指挥部办公室第一时间完成各成员单位的信息传递，各成员单位必须做到快速反应。</w:t>
      </w:r>
    </w:p>
    <w:p>
      <w:pPr>
        <w:pStyle w:val="4"/>
        <w:numPr>
          <w:ilvl w:val="0"/>
          <w:numId w:val="2"/>
        </w:numPr>
        <w:bidi w:val="0"/>
        <w:rPr>
          <w:rFonts w:hint="eastAsia"/>
          <w:color w:val="auto"/>
        </w:rPr>
      </w:pPr>
      <w:r>
        <w:rPr>
          <w:rFonts w:hint="eastAsia"/>
          <w:color w:val="auto"/>
          <w:lang w:val="en-US" w:eastAsia="zh-CN"/>
        </w:rPr>
        <w:t xml:space="preserve"> </w:t>
      </w:r>
      <w:bookmarkStart w:id="38" w:name="_Toc2214"/>
      <w:r>
        <w:rPr>
          <w:rFonts w:hint="eastAsia"/>
          <w:color w:val="auto"/>
        </w:rPr>
        <w:t>预防预警机制</w:t>
      </w:r>
      <w:bookmarkEnd w:id="38"/>
    </w:p>
    <w:p>
      <w:pPr>
        <w:pStyle w:val="5"/>
        <w:bidi w:val="0"/>
        <w:rPr>
          <w:rFonts w:hint="eastAsia"/>
          <w:color w:val="auto"/>
          <w:lang w:val="en-US" w:eastAsia="zh-CN"/>
        </w:rPr>
      </w:pPr>
      <w:bookmarkStart w:id="39" w:name="_Toc31775"/>
      <w:r>
        <w:rPr>
          <w:rFonts w:hint="eastAsia"/>
          <w:color w:val="auto"/>
          <w:lang w:val="en-US" w:eastAsia="zh-CN"/>
        </w:rPr>
        <w:t>4.1 信息监测和预警</w:t>
      </w:r>
      <w:bookmarkEnd w:id="39"/>
    </w:p>
    <w:p>
      <w:pPr>
        <w:rPr>
          <w:rFonts w:hint="default"/>
          <w:color w:val="auto"/>
          <w:lang w:val="en-US" w:eastAsia="zh-CN"/>
        </w:rPr>
      </w:pPr>
      <w:bookmarkStart w:id="40" w:name="_Toc18285"/>
      <w:r>
        <w:rPr>
          <w:rFonts w:hint="default"/>
          <w:color w:val="auto"/>
          <w:lang w:val="en-US" w:eastAsia="zh-CN"/>
        </w:rPr>
        <w:t>各供热企业，负责城市供热系统运行监测、预警工作。</w:t>
      </w:r>
      <w:r>
        <w:rPr>
          <w:rFonts w:hint="eastAsia"/>
          <w:color w:val="auto"/>
          <w:lang w:val="en-US" w:eastAsia="zh-CN"/>
        </w:rPr>
        <w:t>依据现有的</w:t>
      </w:r>
      <w:r>
        <w:rPr>
          <w:rFonts w:hint="default"/>
          <w:color w:val="auto"/>
          <w:lang w:val="en-US" w:eastAsia="zh-CN"/>
        </w:rPr>
        <w:t>信息监测方法与程序，建立信息来源与分析、常规数据监测，风险分析与分级等制度。按照早发现、早报告、早</w:t>
      </w:r>
      <w:r>
        <w:rPr>
          <w:rFonts w:hint="eastAsia"/>
          <w:color w:val="auto"/>
          <w:lang w:val="en-US" w:eastAsia="zh-CN"/>
        </w:rPr>
        <w:t>预警原则</w:t>
      </w:r>
      <w:r>
        <w:rPr>
          <w:rFonts w:hint="default"/>
          <w:color w:val="auto"/>
          <w:lang w:val="en-US" w:eastAsia="zh-CN"/>
        </w:rPr>
        <w:t>，明确影响范围、信息渠道、时限要求、审批程序、监督管理、责任制等。</w:t>
      </w:r>
    </w:p>
    <w:p>
      <w:pPr>
        <w:pStyle w:val="5"/>
        <w:bidi w:val="0"/>
        <w:rPr>
          <w:rFonts w:hint="default"/>
          <w:color w:val="auto"/>
          <w:lang w:val="en-US" w:eastAsia="zh-CN"/>
        </w:rPr>
      </w:pPr>
      <w:r>
        <w:rPr>
          <w:rFonts w:hint="default"/>
          <w:color w:val="auto"/>
          <w:lang w:val="en-US" w:eastAsia="zh-CN"/>
        </w:rPr>
        <w:t>4.2 预警预防行动</w:t>
      </w:r>
      <w:bookmarkEnd w:id="40"/>
    </w:p>
    <w:p>
      <w:pPr>
        <w:rPr>
          <w:rFonts w:hint="default"/>
          <w:color w:val="auto"/>
          <w:lang w:val="en-US" w:eastAsia="zh-CN"/>
        </w:rPr>
      </w:pPr>
      <w:r>
        <w:rPr>
          <w:rFonts w:hint="default"/>
          <w:color w:val="auto"/>
          <w:lang w:val="en-US" w:eastAsia="zh-CN"/>
        </w:rPr>
        <w:t>4.2.1</w:t>
      </w:r>
      <w:r>
        <w:rPr>
          <w:rFonts w:hint="eastAsia"/>
          <w:color w:val="auto"/>
          <w:lang w:val="en-US" w:eastAsia="zh-CN"/>
        </w:rPr>
        <w:t xml:space="preserve"> 区应急</w:t>
      </w:r>
      <w:r>
        <w:rPr>
          <w:rFonts w:hint="default"/>
          <w:color w:val="auto"/>
          <w:lang w:val="en-US" w:eastAsia="zh-CN"/>
        </w:rPr>
        <w:t>指挥部办公室应定期研究城市供热安全抢险应急工作，明确预警预防方式、方法、渠道及供热设施日常监测维护、安全检查等制度监督检查措施，信息交流与通报、新闻和公众信息发布程序;提高供热抢修抢险快速反应能力和专业水平。</w:t>
      </w:r>
    </w:p>
    <w:p>
      <w:pPr>
        <w:rPr>
          <w:rFonts w:hint="default"/>
          <w:color w:val="auto"/>
          <w:lang w:val="en-US" w:eastAsia="zh-CN"/>
        </w:rPr>
      </w:pPr>
      <w:r>
        <w:rPr>
          <w:rFonts w:hint="default"/>
          <w:color w:val="auto"/>
          <w:lang w:val="en-US" w:eastAsia="zh-CN"/>
        </w:rPr>
        <w:t>4.2.2 各供热企业应定期检查本单位</w:t>
      </w:r>
      <w:r>
        <w:rPr>
          <w:rFonts w:hint="eastAsia"/>
          <w:color w:val="auto"/>
          <w:lang w:val="en-US" w:eastAsia="zh-CN"/>
        </w:rPr>
        <w:t>应急</w:t>
      </w:r>
      <w:r>
        <w:rPr>
          <w:rFonts w:hint="default"/>
          <w:color w:val="auto"/>
          <w:lang w:val="en-US" w:eastAsia="zh-CN"/>
        </w:rPr>
        <w:t>预案、交通</w:t>
      </w:r>
      <w:r>
        <w:rPr>
          <w:rFonts w:hint="eastAsia"/>
          <w:color w:val="auto"/>
          <w:lang w:val="en-US" w:eastAsia="zh-CN"/>
        </w:rPr>
        <w:t>设备</w:t>
      </w:r>
      <w:r>
        <w:rPr>
          <w:rFonts w:hint="default"/>
          <w:color w:val="auto"/>
          <w:lang w:val="en-US" w:eastAsia="zh-CN"/>
        </w:rPr>
        <w:t>、通讯</w:t>
      </w:r>
      <w:r>
        <w:rPr>
          <w:rFonts w:hint="eastAsia"/>
          <w:color w:val="auto"/>
          <w:lang w:val="en-US" w:eastAsia="zh-CN"/>
        </w:rPr>
        <w:t>设备</w:t>
      </w:r>
      <w:r>
        <w:rPr>
          <w:rFonts w:hint="default"/>
          <w:color w:val="auto"/>
          <w:lang w:val="en-US" w:eastAsia="zh-CN"/>
        </w:rPr>
        <w:t>、</w:t>
      </w:r>
      <w:r>
        <w:rPr>
          <w:rFonts w:hint="eastAsia"/>
          <w:color w:val="auto"/>
          <w:lang w:val="en-US" w:eastAsia="zh-CN"/>
        </w:rPr>
        <w:t>检测设备</w:t>
      </w:r>
      <w:r>
        <w:rPr>
          <w:rFonts w:hint="default"/>
          <w:color w:val="auto"/>
          <w:lang w:val="en-US" w:eastAsia="zh-CN"/>
        </w:rPr>
        <w:t>仪器、</w:t>
      </w:r>
      <w:r>
        <w:rPr>
          <w:rFonts w:hint="default"/>
          <w:strike w:val="0"/>
          <w:dstrike w:val="0"/>
          <w:color w:val="auto"/>
          <w:lang w:val="en-US" w:eastAsia="zh-CN"/>
        </w:rPr>
        <w:t>抢险</w:t>
      </w:r>
      <w:r>
        <w:rPr>
          <w:rFonts w:hint="default"/>
          <w:color w:val="auto"/>
          <w:lang w:val="en-US" w:eastAsia="zh-CN"/>
        </w:rPr>
        <w:t>工具，专业人员落实情况，组织应急演练;落实巡查、巡线制度，设专人对抢险器材、设备等定期进行维护保养，确保能随时处于待命状态。</w:t>
      </w:r>
    </w:p>
    <w:p>
      <w:pPr>
        <w:pStyle w:val="5"/>
        <w:bidi w:val="0"/>
        <w:rPr>
          <w:rFonts w:hint="default"/>
          <w:color w:val="auto"/>
          <w:lang w:val="en-US" w:eastAsia="zh-CN"/>
        </w:rPr>
      </w:pPr>
      <w:bookmarkStart w:id="41" w:name="_Toc8904"/>
      <w:r>
        <w:rPr>
          <w:rFonts w:hint="default"/>
          <w:color w:val="auto"/>
          <w:lang w:val="en-US" w:eastAsia="zh-CN"/>
        </w:rPr>
        <w:t>4.3</w:t>
      </w:r>
      <w:r>
        <w:rPr>
          <w:rFonts w:hint="eastAsia"/>
          <w:color w:val="auto"/>
          <w:lang w:val="en-US" w:eastAsia="zh-CN"/>
        </w:rPr>
        <w:t xml:space="preserve"> </w:t>
      </w:r>
      <w:r>
        <w:rPr>
          <w:rFonts w:hint="default"/>
          <w:color w:val="auto"/>
          <w:lang w:val="en-US" w:eastAsia="zh-CN"/>
        </w:rPr>
        <w:t>预警级别发布</w:t>
      </w:r>
      <w:bookmarkEnd w:id="41"/>
    </w:p>
    <w:p>
      <w:pPr>
        <w:rPr>
          <w:rFonts w:hint="default"/>
          <w:color w:val="auto"/>
          <w:lang w:val="en-US" w:eastAsia="zh-CN"/>
        </w:rPr>
      </w:pPr>
      <w:r>
        <w:rPr>
          <w:rFonts w:hint="default"/>
          <w:color w:val="auto"/>
          <w:lang w:val="en-US" w:eastAsia="zh-CN"/>
        </w:rPr>
        <w:t>采暖期前15天,供热企业即开始进入供热突发事件预警状态，并于采暖期结束后10天，预警自动解除。不再另行发布和解除预警。根据供热突发事件可能造成的危害程度、紧急程度及发展趋势,及时向</w:t>
      </w:r>
      <w:r>
        <w:rPr>
          <w:rFonts w:hint="eastAsia"/>
          <w:color w:val="auto"/>
          <w:lang w:val="en-US" w:eastAsia="zh-CN"/>
        </w:rPr>
        <w:t>区</w:t>
      </w:r>
      <w:r>
        <w:rPr>
          <w:rFonts w:hint="default"/>
          <w:color w:val="auto"/>
          <w:lang w:val="en-US" w:eastAsia="zh-CN"/>
        </w:rPr>
        <w:t>指挥部汇报并发布预警。</w:t>
      </w:r>
    </w:p>
    <w:p>
      <w:pPr>
        <w:pStyle w:val="4"/>
        <w:numPr>
          <w:ilvl w:val="0"/>
          <w:numId w:val="2"/>
        </w:numPr>
        <w:bidi w:val="0"/>
        <w:rPr>
          <w:rFonts w:hint="eastAsia"/>
          <w:color w:val="auto"/>
        </w:rPr>
      </w:pPr>
      <w:r>
        <w:rPr>
          <w:rFonts w:hint="eastAsia"/>
          <w:color w:val="auto"/>
          <w:lang w:val="en-US" w:eastAsia="zh-CN"/>
        </w:rPr>
        <w:t xml:space="preserve"> </w:t>
      </w:r>
      <w:bookmarkStart w:id="42" w:name="_Toc3477"/>
      <w:r>
        <w:rPr>
          <w:rFonts w:hint="eastAsia"/>
          <w:color w:val="auto"/>
        </w:rPr>
        <w:t>应急响应</w:t>
      </w:r>
      <w:bookmarkEnd w:id="42"/>
    </w:p>
    <w:p>
      <w:pPr>
        <w:pStyle w:val="5"/>
        <w:bidi w:val="0"/>
        <w:rPr>
          <w:rFonts w:hint="eastAsia" w:ascii="仿宋_GB2312" w:hAnsi="仿宋_GB2312" w:eastAsia="仿宋_GB2312" w:cs="仿宋_GB2312"/>
          <w:color w:val="auto"/>
        </w:rPr>
      </w:pPr>
      <w:bookmarkStart w:id="43" w:name="_Toc30849"/>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 xml:space="preserve">1 </w:t>
      </w:r>
      <w:r>
        <w:rPr>
          <w:rFonts w:hint="eastAsia" w:ascii="仿宋_GB2312" w:hAnsi="仿宋_GB2312" w:eastAsia="仿宋_GB2312" w:cs="仿宋_GB2312"/>
          <w:color w:val="auto"/>
        </w:rPr>
        <w:t>事件报告</w:t>
      </w:r>
      <w:bookmarkEnd w:id="43"/>
    </w:p>
    <w:p>
      <w:pPr>
        <w:bidi w:val="0"/>
        <w:rPr>
          <w:rFonts w:hint="eastAsia" w:ascii="仿宋_GB2312" w:hAnsi="仿宋_GB2312" w:eastAsia="仿宋_GB2312" w:cs="仿宋_GB2312"/>
          <w:color w:val="auto"/>
        </w:rPr>
      </w:pPr>
      <w:bookmarkStart w:id="44" w:name="_Toc4089"/>
      <w:r>
        <w:rPr>
          <w:rFonts w:hint="eastAsia" w:ascii="仿宋_GB2312" w:hAnsi="仿宋_GB2312" w:eastAsia="仿宋_GB2312" w:cs="仿宋_GB2312"/>
          <w:color w:val="auto"/>
        </w:rPr>
        <w:t>供热突发事件发生后，企业负责人为应急救援第一责任人，应立即启动本企业应急预案，组织有关人员开展救援工作，控制事态进一步恶化。同时应立刻核实事件准确信息并向区应急指挥部办公室报告。区应急指挥部办公室在接到事故报告后，应立刻向区应急指挥部</w:t>
      </w:r>
      <w:r>
        <w:rPr>
          <w:rFonts w:hint="eastAsia" w:ascii="仿宋_GB2312" w:hAnsi="仿宋_GB2312" w:eastAsia="仿宋_GB2312" w:cs="仿宋_GB2312"/>
          <w:color w:val="auto"/>
          <w:lang w:eastAsia="zh-CN"/>
        </w:rPr>
        <w:t>总指挥</w:t>
      </w:r>
      <w:r>
        <w:rPr>
          <w:rFonts w:hint="eastAsia" w:ascii="仿宋_GB2312" w:hAnsi="仿宋_GB2312" w:eastAsia="仿宋_GB2312" w:cs="仿宋_GB2312"/>
          <w:color w:val="auto"/>
        </w:rPr>
        <w:t>报告。</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报告内容包括:事件发生时间、地点、人员</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包括姓名、年龄、性别、身份</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伤亡情况、停热面积、经济损失、事件简要经过、发生原因初步研判、事件发生后采取的措施和现场控制情况及报告人。由于现场情况变化导致伤亡人员数量变化时，应及时补报。</w:t>
      </w:r>
    </w:p>
    <w:p>
      <w:pPr>
        <w:pStyle w:val="5"/>
        <w:bidi w:val="0"/>
        <w:rPr>
          <w:rFonts w:hint="eastAsia" w:ascii="仿宋_GB2312" w:hAnsi="仿宋_GB2312" w:eastAsia="仿宋_GB2312" w:cs="仿宋_GB2312"/>
          <w:color w:val="auto"/>
        </w:rPr>
      </w:pPr>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 xml:space="preserve">2 </w:t>
      </w:r>
      <w:r>
        <w:rPr>
          <w:rFonts w:hint="eastAsia" w:ascii="仿宋_GB2312" w:hAnsi="仿宋_GB2312" w:eastAsia="仿宋_GB2312" w:cs="仿宋_GB2312"/>
          <w:color w:val="auto"/>
        </w:rPr>
        <w:t>分级响应</w:t>
      </w:r>
      <w:bookmarkEnd w:id="44"/>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一般供热突发事件：由事发单位启动应急预案，</w:t>
      </w:r>
      <w:r>
        <w:rPr>
          <w:rFonts w:hint="eastAsia" w:ascii="仿宋_GB2312" w:hAnsi="仿宋_GB2312" w:eastAsia="仿宋_GB2312" w:cs="仿宋_GB2312"/>
          <w:color w:val="auto"/>
          <w:lang w:val="en-US" w:eastAsia="zh-CN"/>
        </w:rPr>
        <w:t>紧急情况下报请区应急指挥部办公室，配合</w:t>
      </w:r>
      <w:r>
        <w:rPr>
          <w:rFonts w:hint="eastAsia" w:ascii="仿宋_GB2312" w:hAnsi="仿宋_GB2312" w:eastAsia="仿宋_GB2312" w:cs="仿宋_GB2312"/>
          <w:color w:val="auto"/>
        </w:rPr>
        <w:t>相关应急救援队伍、应急资源进行协同处置。</w:t>
      </w:r>
    </w:p>
    <w:p>
      <w:pPr>
        <w:bidi w:val="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.2</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较大供热突发事件：由区应急指挥部</w:t>
      </w:r>
      <w:r>
        <w:rPr>
          <w:rFonts w:hint="eastAsia" w:ascii="仿宋_GB2312" w:hAnsi="仿宋_GB2312" w:eastAsia="仿宋_GB2312" w:cs="仿宋_GB2312"/>
          <w:color w:val="auto"/>
          <w:lang w:eastAsia="zh-CN"/>
        </w:rPr>
        <w:t>总指挥</w:t>
      </w:r>
      <w:r>
        <w:rPr>
          <w:rFonts w:hint="eastAsia" w:ascii="仿宋_GB2312" w:hAnsi="仿宋_GB2312" w:eastAsia="仿宋_GB2312" w:cs="仿宋_GB2312"/>
          <w:color w:val="auto"/>
        </w:rPr>
        <w:t>启动</w:t>
      </w:r>
      <w:r>
        <w:rPr>
          <w:rFonts w:hint="eastAsia" w:ascii="仿宋_GB2312" w:hAnsi="仿宋_GB2312" w:eastAsia="仿宋_GB2312" w:cs="仿宋_GB2312"/>
          <w:color w:val="auto"/>
          <w:lang w:eastAsia="zh-CN"/>
        </w:rPr>
        <w:t>本</w:t>
      </w:r>
      <w:r>
        <w:rPr>
          <w:rFonts w:hint="eastAsia" w:ascii="仿宋_GB2312" w:hAnsi="仿宋_GB2312" w:eastAsia="仿宋_GB2312" w:cs="仿宋_GB2312"/>
          <w:color w:val="auto"/>
        </w:rPr>
        <w:t>应急预案</w:t>
      </w:r>
      <w:r>
        <w:rPr>
          <w:rFonts w:hint="eastAsia" w:ascii="仿宋_GB2312" w:hAnsi="仿宋_GB2312" w:eastAsia="仿宋_GB2312" w:cs="仿宋_GB2312"/>
          <w:color w:val="auto"/>
          <w:lang w:eastAsia="zh-CN"/>
        </w:rPr>
        <w:t>。</w:t>
      </w:r>
    </w:p>
    <w:p>
      <w:pPr>
        <w:bidi w:val="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rPr>
        <w:t>5.2.3</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较大以上供热突发事件：</w:t>
      </w:r>
      <w:r>
        <w:rPr>
          <w:rFonts w:hint="eastAsia" w:ascii="仿宋_GB2312" w:hAnsi="仿宋_GB2312" w:eastAsia="仿宋_GB2312" w:cs="仿宋_GB2312"/>
          <w:color w:val="auto"/>
          <w:highlight w:val="none"/>
        </w:rPr>
        <w:t>区应急指挥部启动应急预案</w:t>
      </w:r>
      <w:r>
        <w:rPr>
          <w:rFonts w:hint="eastAsia" w:ascii="仿宋_GB2312" w:hAnsi="仿宋_GB2312" w:eastAsia="仿宋_GB2312" w:cs="仿宋_GB2312"/>
          <w:color w:val="auto"/>
          <w:highlight w:val="none"/>
          <w:lang w:val="en-US" w:eastAsia="zh-CN"/>
        </w:rPr>
        <w:t>并</w:t>
      </w:r>
      <w:r>
        <w:rPr>
          <w:rFonts w:hint="eastAsia" w:ascii="仿宋_GB2312" w:hAnsi="仿宋_GB2312" w:eastAsia="仿宋_GB2312" w:cs="仿宋_GB2312"/>
          <w:color w:val="auto"/>
          <w:highlight w:val="none"/>
        </w:rPr>
        <w:t>报告</w:t>
      </w:r>
      <w:r>
        <w:rPr>
          <w:rFonts w:hint="eastAsia"/>
          <w:color w:val="auto"/>
          <w:highlight w:val="none"/>
          <w:lang w:val="en-US" w:eastAsia="zh-CN"/>
        </w:rPr>
        <w:t>市应急指挥部办公室</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配合</w:t>
      </w:r>
      <w:r>
        <w:rPr>
          <w:rFonts w:hint="eastAsia" w:ascii="仿宋_GB2312" w:hAnsi="仿宋_GB2312" w:eastAsia="仿宋_GB2312" w:cs="仿宋_GB2312"/>
          <w:color w:val="auto"/>
          <w:highlight w:val="none"/>
        </w:rPr>
        <w:t>指挥、协调应急处置工作。</w:t>
      </w:r>
    </w:p>
    <w:p>
      <w:pPr>
        <w:pStyle w:val="5"/>
        <w:bidi w:val="0"/>
        <w:rPr>
          <w:rFonts w:hint="eastAsia" w:ascii="仿宋_GB2312" w:hAnsi="仿宋_GB2312" w:eastAsia="仿宋_GB2312" w:cs="仿宋_GB2312"/>
          <w:color w:val="auto"/>
          <w:lang w:val="en-US" w:eastAsia="zh-CN"/>
        </w:rPr>
      </w:pPr>
      <w:bookmarkStart w:id="45" w:name="_Toc29255"/>
      <w:r>
        <w:rPr>
          <w:rFonts w:hint="eastAsia" w:ascii="仿宋_GB2312" w:hAnsi="仿宋_GB2312" w:eastAsia="仿宋_GB2312" w:cs="仿宋_GB2312"/>
          <w:color w:val="auto"/>
          <w:lang w:val="en-US" w:eastAsia="zh-CN"/>
        </w:rPr>
        <w:t>5.3 响应程序</w:t>
      </w:r>
      <w:bookmarkEnd w:id="45"/>
    </w:p>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供热单位发生突发事件，区应急指挥部立即前往现场了解情况，组织企业开展自救，控制局面。供热单位抢修设备、抢修队伍技术和人员力量不足时，区指挥部应充分调动区内应急资源用于抢险救援，区指挥部应急资源不足时，可向市指挥部申请调用其他供热企业的供热抢修设备、队伍协助抢修，力争尽快恢复供热。</w:t>
      </w:r>
    </w:p>
    <w:p>
      <w:pPr>
        <w:pStyle w:val="5"/>
        <w:bidi w:val="0"/>
        <w:rPr>
          <w:rFonts w:hint="eastAsia" w:ascii="仿宋_GB2312" w:hAnsi="仿宋_GB2312" w:eastAsia="仿宋_GB2312" w:cs="仿宋_GB2312"/>
          <w:color w:val="auto"/>
        </w:rPr>
      </w:pPr>
      <w:bookmarkStart w:id="46" w:name="_Toc31977"/>
      <w:r>
        <w:rPr>
          <w:rFonts w:hint="eastAsia" w:ascii="仿宋_GB2312" w:hAnsi="仿宋_GB2312" w:eastAsia="仿宋_GB2312" w:cs="仿宋_GB2312"/>
          <w:color w:val="auto"/>
        </w:rPr>
        <w:t>5.</w:t>
      </w:r>
      <w:r>
        <w:rPr>
          <w:rFonts w:hint="eastAsia" w:ascii="仿宋_GB2312" w:hAnsi="仿宋_GB2312" w:eastAsia="仿宋_GB2312" w:cs="仿宋_GB2312"/>
          <w:color w:val="auto"/>
          <w:lang w:val="en-US" w:eastAsia="zh-CN"/>
        </w:rPr>
        <w:t xml:space="preserve">4 </w:t>
      </w:r>
      <w:r>
        <w:rPr>
          <w:rFonts w:hint="eastAsia" w:ascii="仿宋_GB2312" w:hAnsi="仿宋_GB2312" w:eastAsia="仿宋_GB2312" w:cs="仿宋_GB2312"/>
          <w:color w:val="auto"/>
        </w:rPr>
        <w:t>应急结束</w:t>
      </w:r>
      <w:bookmarkEnd w:id="46"/>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应急处置结束并确认危害因素消除后，由区应急指挥部作出终止响应决定，宣布应急状态解除。</w:t>
      </w:r>
    </w:p>
    <w:p>
      <w:pPr>
        <w:pStyle w:val="4"/>
        <w:numPr>
          <w:ilvl w:val="0"/>
          <w:numId w:val="2"/>
        </w:numPr>
        <w:bidi w:val="0"/>
        <w:rPr>
          <w:rFonts w:hint="eastAsia"/>
          <w:color w:val="auto"/>
        </w:rPr>
      </w:pPr>
      <w:r>
        <w:rPr>
          <w:rFonts w:hint="eastAsia"/>
          <w:color w:val="auto"/>
          <w:lang w:val="en-US" w:eastAsia="zh-CN"/>
        </w:rPr>
        <w:t xml:space="preserve"> </w:t>
      </w:r>
      <w:bookmarkStart w:id="47" w:name="_Toc1364"/>
      <w:r>
        <w:rPr>
          <w:rFonts w:hint="eastAsia"/>
          <w:color w:val="auto"/>
        </w:rPr>
        <w:t>后期处置</w:t>
      </w:r>
      <w:bookmarkEnd w:id="47"/>
    </w:p>
    <w:p>
      <w:pPr>
        <w:pStyle w:val="5"/>
        <w:bidi w:val="0"/>
        <w:rPr>
          <w:rFonts w:hint="eastAsia" w:ascii="仿宋_GB2312" w:hAnsi="仿宋_GB2312" w:eastAsia="仿宋_GB2312" w:cs="仿宋_GB2312"/>
          <w:color w:val="auto"/>
        </w:rPr>
      </w:pPr>
      <w:bookmarkStart w:id="48" w:name="_Toc31825"/>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事件调查</w:t>
      </w:r>
      <w:bookmarkEnd w:id="48"/>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相关单位、部门及时组织开展</w:t>
      </w:r>
      <w:r>
        <w:rPr>
          <w:rFonts w:hint="eastAsia"/>
          <w:color w:val="auto"/>
          <w:lang w:val="en-US" w:eastAsia="zh-CN"/>
        </w:rPr>
        <w:t>事件</w:t>
      </w:r>
      <w:r>
        <w:rPr>
          <w:rFonts w:hint="eastAsia" w:ascii="仿宋_GB2312" w:hAnsi="仿宋_GB2312" w:eastAsia="仿宋_GB2312" w:cs="仿宋_GB2312"/>
          <w:color w:val="auto"/>
        </w:rPr>
        <w:t>调查工作，查明事件原因、人员伤亡及财产损失情况、事件性质，分清责任，提出事件处理意见及防止类似事件再次发生的措施建议，形成事件调查报告报送区应急指挥部办公室。区指挥部及时组织开展调查工作，查明事件原因、人员伤亡及财产损失情况、事件性质，分清责任，提出事件处理意见及防止类似事件再次发生的措施建议，写出事件调查报告报市指挥部办公室。</w:t>
      </w:r>
    </w:p>
    <w:p>
      <w:pPr>
        <w:pStyle w:val="5"/>
        <w:bidi w:val="0"/>
        <w:rPr>
          <w:rFonts w:hint="eastAsia" w:ascii="仿宋_GB2312" w:hAnsi="仿宋_GB2312" w:eastAsia="仿宋_GB2312" w:cs="仿宋_GB2312"/>
          <w:color w:val="auto"/>
        </w:rPr>
      </w:pPr>
      <w:bookmarkStart w:id="49" w:name="_Toc2829"/>
      <w:r>
        <w:rPr>
          <w:rFonts w:hint="eastAsia" w:ascii="仿宋_GB2312" w:hAnsi="仿宋_GB2312" w:eastAsia="仿宋_GB2312" w:cs="仿宋_GB2312"/>
          <w:color w:val="auto"/>
          <w:lang w:val="en-US" w:eastAsia="zh-CN"/>
        </w:rPr>
        <w:t xml:space="preserve">6.2 </w:t>
      </w:r>
      <w:r>
        <w:rPr>
          <w:rFonts w:hint="eastAsia" w:ascii="仿宋_GB2312" w:hAnsi="仿宋_GB2312" w:eastAsia="仿宋_GB2312" w:cs="仿宋_GB2312"/>
          <w:color w:val="auto"/>
        </w:rPr>
        <w:t>善后处理</w:t>
      </w:r>
      <w:bookmarkEnd w:id="49"/>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根据事件调查情况，有关部门按照职责分工做好事件善后处理工作。</w:t>
      </w:r>
    </w:p>
    <w:p>
      <w:pPr>
        <w:pStyle w:val="5"/>
        <w:bidi w:val="0"/>
        <w:rPr>
          <w:rFonts w:hint="eastAsia" w:ascii="仿宋_GB2312" w:hAnsi="仿宋_GB2312" w:eastAsia="仿宋_GB2312" w:cs="仿宋_GB2312"/>
          <w:color w:val="auto"/>
        </w:rPr>
      </w:pPr>
      <w:bookmarkStart w:id="50" w:name="_Toc22123"/>
      <w:r>
        <w:rPr>
          <w:rFonts w:hint="eastAsia" w:ascii="仿宋_GB2312" w:hAnsi="仿宋_GB2312" w:eastAsia="仿宋_GB2312" w:cs="仿宋_GB2312"/>
          <w:color w:val="auto"/>
          <w:lang w:val="en-US" w:eastAsia="zh-CN"/>
        </w:rPr>
        <w:t xml:space="preserve">6.3 </w:t>
      </w:r>
      <w:r>
        <w:rPr>
          <w:rFonts w:hint="eastAsia" w:ascii="仿宋_GB2312" w:hAnsi="仿宋_GB2312" w:eastAsia="仿宋_GB2312" w:cs="仿宋_GB2312"/>
          <w:color w:val="auto"/>
        </w:rPr>
        <w:t>事件评估与总结</w:t>
      </w:r>
      <w:bookmarkEnd w:id="50"/>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参与事件应急处理的各有关单位、部门及时向区应急指挥部作出书面报告。</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区应急指挥部办公室负责整理审查所有书面报告、应急记录等资料</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总结事故原因，</w:t>
      </w:r>
      <w:r>
        <w:rPr>
          <w:rFonts w:hint="eastAsia" w:ascii="仿宋_GB2312" w:hAnsi="仿宋_GB2312" w:eastAsia="仿宋_GB2312" w:cs="仿宋_GB2312"/>
          <w:color w:val="auto"/>
          <w:lang w:val="en-US" w:eastAsia="zh-CN"/>
        </w:rPr>
        <w:t>评估</w:t>
      </w:r>
      <w:r>
        <w:rPr>
          <w:rFonts w:hint="eastAsia" w:ascii="仿宋_GB2312" w:hAnsi="仿宋_GB2312" w:eastAsia="仿宋_GB2312" w:cs="仿宋_GB2312"/>
          <w:color w:val="auto"/>
        </w:rPr>
        <w:t>应急期间采取的主要行动。</w:t>
      </w:r>
    </w:p>
    <w:p>
      <w:pPr>
        <w:pStyle w:val="4"/>
        <w:numPr>
          <w:ilvl w:val="0"/>
          <w:numId w:val="2"/>
        </w:numPr>
        <w:bidi w:val="0"/>
        <w:rPr>
          <w:rFonts w:hint="eastAsia"/>
          <w:color w:val="auto"/>
          <w:lang w:val="en-US" w:eastAsia="zh-CN"/>
        </w:rPr>
      </w:pPr>
      <w:r>
        <w:rPr>
          <w:rFonts w:hint="eastAsia"/>
          <w:color w:val="auto"/>
          <w:lang w:val="en-US" w:eastAsia="zh-CN"/>
        </w:rPr>
        <w:t xml:space="preserve"> </w:t>
      </w:r>
      <w:bookmarkStart w:id="51" w:name="_Toc21902"/>
      <w:r>
        <w:rPr>
          <w:rFonts w:hint="eastAsia"/>
          <w:color w:val="auto"/>
        </w:rPr>
        <w:t>保障</w:t>
      </w:r>
      <w:r>
        <w:rPr>
          <w:rFonts w:hint="eastAsia"/>
          <w:color w:val="auto"/>
          <w:lang w:val="en-US" w:eastAsia="zh-CN"/>
        </w:rPr>
        <w:t>措施</w:t>
      </w:r>
      <w:bookmarkEnd w:id="51"/>
    </w:p>
    <w:p>
      <w:pPr>
        <w:pStyle w:val="5"/>
        <w:bidi w:val="0"/>
        <w:rPr>
          <w:rFonts w:hint="eastAsia" w:ascii="仿宋_GB2312" w:hAnsi="仿宋_GB2312" w:eastAsia="仿宋_GB2312" w:cs="仿宋_GB2312"/>
          <w:color w:val="auto"/>
        </w:rPr>
      </w:pPr>
      <w:bookmarkStart w:id="52" w:name="_Toc7327"/>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通讯</w:t>
      </w:r>
      <w:r>
        <w:rPr>
          <w:rFonts w:hint="eastAsia" w:ascii="仿宋_GB2312" w:hAnsi="仿宋_GB2312" w:eastAsia="仿宋_GB2312" w:cs="仿宋_GB2312"/>
          <w:color w:val="auto"/>
          <w:lang w:val="en-US" w:eastAsia="zh-CN"/>
        </w:rPr>
        <w:t>与信息</w:t>
      </w:r>
      <w:r>
        <w:rPr>
          <w:rFonts w:hint="eastAsia" w:ascii="仿宋_GB2312" w:hAnsi="仿宋_GB2312" w:eastAsia="仿宋_GB2312" w:cs="仿宋_GB2312"/>
          <w:color w:val="auto"/>
        </w:rPr>
        <w:t>保障</w:t>
      </w:r>
      <w:bookmarkEnd w:id="52"/>
    </w:p>
    <w:p>
      <w:pPr>
        <w:bidi w:val="0"/>
        <w:rPr>
          <w:rFonts w:hint="eastAsia" w:ascii="仿宋_GB2312" w:hAnsi="仿宋_GB2312" w:eastAsia="仿宋_GB2312" w:cs="仿宋_GB2312"/>
          <w:color w:val="auto"/>
        </w:rPr>
      </w:pPr>
      <w:bookmarkStart w:id="53" w:name="_Toc3129"/>
      <w:bookmarkStart w:id="54" w:name="_Toc30878"/>
      <w:bookmarkStart w:id="55" w:name="_Toc1907"/>
      <w:r>
        <w:rPr>
          <w:rFonts w:hint="eastAsia" w:ascii="仿宋_GB2312" w:hAnsi="仿宋_GB2312" w:eastAsia="仿宋_GB2312" w:cs="仿宋_GB2312"/>
          <w:color w:val="auto"/>
        </w:rPr>
        <w:t>区应急指挥部办公室与各应急成员单位，以及相关政府部门之间，建立健全各种应急通</w:t>
      </w:r>
      <w:r>
        <w:rPr>
          <w:rFonts w:hint="eastAsia" w:ascii="仿宋_GB2312" w:hAnsi="仿宋_GB2312" w:eastAsia="仿宋_GB2312" w:cs="仿宋_GB2312"/>
          <w:color w:val="auto"/>
          <w:lang w:val="en-US" w:eastAsia="zh-CN"/>
        </w:rPr>
        <w:t>讯</w:t>
      </w:r>
      <w:r>
        <w:rPr>
          <w:rFonts w:hint="eastAsia" w:ascii="仿宋_GB2312" w:hAnsi="仿宋_GB2312" w:eastAsia="仿宋_GB2312" w:cs="仿宋_GB2312"/>
          <w:color w:val="auto"/>
        </w:rPr>
        <w:t>方式。</w:t>
      </w:r>
      <w:bookmarkEnd w:id="53"/>
      <w:bookmarkEnd w:id="54"/>
      <w:bookmarkEnd w:id="55"/>
    </w:p>
    <w:p>
      <w:pPr>
        <w:bidi w:val="0"/>
        <w:rPr>
          <w:rFonts w:hint="eastAsia" w:ascii="仿宋_GB2312" w:hAnsi="仿宋_GB2312" w:eastAsia="仿宋_GB2312" w:cs="仿宋_GB2312"/>
          <w:color w:val="auto"/>
        </w:rPr>
      </w:pPr>
      <w:bookmarkStart w:id="56" w:name="_Toc4943"/>
      <w:bookmarkStart w:id="57" w:name="_Toc10662"/>
      <w:bookmarkStart w:id="58" w:name="_Toc23638"/>
      <w:r>
        <w:rPr>
          <w:rFonts w:hint="eastAsia" w:ascii="仿宋_GB2312" w:hAnsi="仿宋_GB2312" w:eastAsia="仿宋_GB2312" w:cs="仿宋_GB2312"/>
          <w:color w:val="auto"/>
        </w:rPr>
        <w:t>区应急指挥部办公室组织协调有关成员单位、部门</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建立完善处置突发事件通讯网络和信息发布渠道,加强日常畅通调度，确保应急工作联络畅通。区应急指挥部办公室与各应急成员单位人员应24小时保持通讯畅通，保证随时接收上级的指示和事故发生地的事故信息</w:t>
      </w:r>
      <w:bookmarkEnd w:id="56"/>
      <w:bookmarkEnd w:id="57"/>
      <w:r>
        <w:rPr>
          <w:rFonts w:hint="eastAsia" w:ascii="仿宋_GB2312" w:hAnsi="仿宋_GB2312" w:eastAsia="仿宋_GB2312" w:cs="仿宋_GB2312"/>
          <w:color w:val="auto"/>
        </w:rPr>
        <w:t>。</w:t>
      </w:r>
      <w:bookmarkEnd w:id="58"/>
    </w:p>
    <w:p>
      <w:pPr>
        <w:pStyle w:val="5"/>
        <w:bidi w:val="0"/>
        <w:rPr>
          <w:rFonts w:hint="default"/>
          <w:color w:val="auto"/>
          <w:lang w:val="en-US" w:eastAsia="zh-CN"/>
        </w:rPr>
      </w:pPr>
      <w:bookmarkStart w:id="59" w:name="_Toc362"/>
      <w:r>
        <w:rPr>
          <w:rFonts w:hint="eastAsia"/>
          <w:color w:val="auto"/>
          <w:lang w:val="en-US" w:eastAsia="zh-CN"/>
        </w:rPr>
        <w:t>7</w:t>
      </w:r>
      <w:r>
        <w:rPr>
          <w:rFonts w:hint="eastAsia"/>
          <w:color w:val="auto"/>
        </w:rPr>
        <w:t>.2</w:t>
      </w:r>
      <w:r>
        <w:rPr>
          <w:rFonts w:hint="eastAsia"/>
          <w:color w:val="auto"/>
          <w:lang w:val="en-US" w:eastAsia="zh-CN"/>
        </w:rPr>
        <w:t xml:space="preserve"> </w:t>
      </w:r>
      <w:r>
        <w:rPr>
          <w:rFonts w:hint="eastAsia"/>
          <w:color w:val="auto"/>
        </w:rPr>
        <w:t>队伍</w:t>
      </w:r>
      <w:r>
        <w:rPr>
          <w:rFonts w:hint="eastAsia"/>
          <w:color w:val="auto"/>
          <w:lang w:val="en-US" w:eastAsia="zh-CN"/>
        </w:rPr>
        <w:t>和物资</w:t>
      </w:r>
      <w:r>
        <w:rPr>
          <w:rFonts w:hint="eastAsia"/>
          <w:color w:val="auto"/>
        </w:rPr>
        <w:t>保障</w:t>
      </w:r>
      <w:bookmarkEnd w:id="59"/>
    </w:p>
    <w:p>
      <w:pPr>
        <w:spacing w:line="600" w:lineRule="exac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各供热企业应当建立满足处置一般突发事件需要的专、兼职抢险救援队伍。供热企业应根据本企业供热设施设备情况，储备常用备件，配备应急物资。区应急指挥部成员依据各自职责储备相应的应急物资。区应急指挥部办公室在紧急情况下有权征调、征用有关单位的抢险设施、设备和物资，各单位应予以全力配合</w:t>
      </w:r>
      <w:r>
        <w:rPr>
          <w:rFonts w:hint="eastAsia" w:cs="仿宋"/>
          <w:color w:val="auto"/>
          <w:sz w:val="32"/>
          <w:szCs w:val="32"/>
          <w:lang w:eastAsia="zh-CN"/>
        </w:rPr>
        <w:t>，</w:t>
      </w:r>
      <w:r>
        <w:rPr>
          <w:rFonts w:hint="eastAsia" w:cs="仿宋"/>
          <w:color w:val="auto"/>
          <w:sz w:val="32"/>
          <w:szCs w:val="32"/>
          <w:lang w:val="en-US" w:eastAsia="zh-CN"/>
        </w:rPr>
        <w:t>确保突发供热应急事件的及时、快速处置。</w:t>
      </w:r>
    </w:p>
    <w:p>
      <w:pPr>
        <w:pStyle w:val="5"/>
        <w:bidi w:val="0"/>
        <w:rPr>
          <w:rFonts w:hint="eastAsia" w:ascii="仿宋_GB2312" w:hAnsi="仿宋_GB2312" w:eastAsia="仿宋_GB2312" w:cs="仿宋_GB2312"/>
          <w:color w:val="auto"/>
        </w:rPr>
      </w:pPr>
      <w:bookmarkStart w:id="60" w:name="_Toc20157"/>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 xml:space="preserve">3 </w:t>
      </w:r>
      <w:r>
        <w:rPr>
          <w:rFonts w:hint="eastAsia" w:ascii="仿宋_GB2312" w:hAnsi="仿宋_GB2312" w:eastAsia="仿宋_GB2312" w:cs="仿宋_GB2312"/>
          <w:color w:val="auto"/>
        </w:rPr>
        <w:t>资金保障</w:t>
      </w:r>
      <w:bookmarkEnd w:id="60"/>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区管委会</w:t>
      </w:r>
      <w:r>
        <w:rPr>
          <w:rFonts w:hint="eastAsia" w:ascii="仿宋_GB2312" w:hAnsi="仿宋_GB2312" w:eastAsia="仿宋_GB2312" w:cs="仿宋_GB2312"/>
          <w:color w:val="auto"/>
          <w:lang w:val="en-US" w:eastAsia="zh-CN"/>
        </w:rPr>
        <w:t>从公共财政中安排一部分供热应急资金，保障供热事件应急处置</w:t>
      </w:r>
      <w:r>
        <w:rPr>
          <w:rFonts w:hint="eastAsia" w:ascii="仿宋_GB2312" w:hAnsi="仿宋_GB2312" w:eastAsia="仿宋_GB2312" w:cs="仿宋_GB2312"/>
          <w:color w:val="auto"/>
        </w:rPr>
        <w:t>。</w:t>
      </w:r>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各供热企业应设置应急专项资金，主要用于供热突发事件防控准备。</w:t>
      </w:r>
    </w:p>
    <w:p>
      <w:pPr>
        <w:pStyle w:val="4"/>
        <w:numPr>
          <w:ilvl w:val="0"/>
          <w:numId w:val="2"/>
        </w:numPr>
        <w:bidi w:val="0"/>
        <w:rPr>
          <w:rFonts w:hint="default"/>
          <w:color w:val="auto"/>
          <w:lang w:val="en-US"/>
        </w:rPr>
      </w:pPr>
      <w:r>
        <w:rPr>
          <w:rFonts w:hint="eastAsia"/>
          <w:color w:val="auto"/>
          <w:lang w:val="en-US" w:eastAsia="zh-CN"/>
        </w:rPr>
        <w:t xml:space="preserve"> </w:t>
      </w:r>
      <w:bookmarkStart w:id="61" w:name="_Toc13977"/>
      <w:r>
        <w:rPr>
          <w:rFonts w:hint="eastAsia"/>
          <w:color w:val="auto"/>
          <w:lang w:val="en-US" w:eastAsia="zh-CN"/>
        </w:rPr>
        <w:t>责任与奖惩</w:t>
      </w:r>
      <w:bookmarkEnd w:id="61"/>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rPr>
        <w:t>对事件应急处置中作出突出贡献的先进集体和个人给予表彰和奖励。供热突发事件应急处置工作实行责任追究制。对迟报、谎报、瞒报和漏报事故重要情况或者应急处置中有其他失职、渎职行为的</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依法对有关责任人给予行政处分</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构成犯罪的</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依法追究刑事责任。</w:t>
      </w:r>
    </w:p>
    <w:p>
      <w:pPr>
        <w:pStyle w:val="4"/>
        <w:numPr>
          <w:ilvl w:val="0"/>
          <w:numId w:val="2"/>
        </w:numPr>
        <w:bidi w:val="0"/>
        <w:rPr>
          <w:rFonts w:hint="eastAsia"/>
          <w:color w:val="auto"/>
        </w:rPr>
      </w:pPr>
      <w:r>
        <w:rPr>
          <w:rFonts w:hint="eastAsia"/>
          <w:color w:val="auto"/>
          <w:lang w:val="en-US" w:eastAsia="zh-CN"/>
        </w:rPr>
        <w:t xml:space="preserve"> </w:t>
      </w:r>
      <w:bookmarkStart w:id="62" w:name="_Toc1723"/>
      <w:r>
        <w:rPr>
          <w:rFonts w:hint="eastAsia"/>
          <w:color w:val="auto"/>
          <w:lang w:val="en-US" w:eastAsia="zh-CN"/>
        </w:rPr>
        <w:t>附则</w:t>
      </w:r>
      <w:bookmarkEnd w:id="62"/>
    </w:p>
    <w:p>
      <w:pPr>
        <w:bidi w:val="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 xml:space="preserve">9.1 </w:t>
      </w:r>
      <w:r>
        <w:rPr>
          <w:rFonts w:hint="eastAsia" w:ascii="仿宋_GB2312" w:hAnsi="仿宋_GB2312" w:eastAsia="仿宋_GB2312" w:cs="仿宋_GB2312"/>
          <w:color w:val="auto"/>
        </w:rPr>
        <w:t>应急预案编制单位应当建立定期评估制度，分析评价预案内容的针对性、实用性和可操作性，实现应急预案的动态优化和科学规范管理。</w:t>
      </w:r>
    </w:p>
    <w:p>
      <w:pPr>
        <w:bidi w:val="0"/>
        <w:rPr>
          <w:rFonts w:hint="eastAsia" w:ascii="仿宋_GB2312" w:hAnsi="仿宋_GB2312" w:eastAsia="仿宋_GB2312" w:cs="仿宋_GB2312"/>
          <w:color w:val="auto"/>
        </w:rPr>
      </w:pPr>
      <w:bookmarkStart w:id="63" w:name="_Toc15473"/>
      <w:bookmarkStart w:id="64" w:name="_Toc24358"/>
      <w:bookmarkStart w:id="65" w:name="_Toc17294"/>
      <w:bookmarkStart w:id="66" w:name="_Toc8256"/>
      <w:bookmarkStart w:id="67" w:name="_Toc2853"/>
      <w:r>
        <w:rPr>
          <w:rFonts w:hint="eastAsia" w:ascii="仿宋_GB2312" w:hAnsi="仿宋_GB2312" w:eastAsia="仿宋_GB2312" w:cs="仿宋_GB2312"/>
          <w:color w:val="auto"/>
          <w:lang w:val="en-US" w:eastAsia="zh-CN"/>
        </w:rPr>
        <w:t xml:space="preserve">9.2 </w:t>
      </w:r>
      <w:r>
        <w:rPr>
          <w:rFonts w:hint="eastAsia" w:ascii="仿宋_GB2312" w:hAnsi="仿宋_GB2312" w:eastAsia="仿宋_GB2312" w:cs="仿宋_GB2312"/>
          <w:color w:val="auto"/>
        </w:rPr>
        <w:t>本预案由净月高新技术产业开发区供热突发事件应急指挥部办公室负责解释。</w:t>
      </w:r>
      <w:bookmarkEnd w:id="63"/>
      <w:bookmarkEnd w:id="64"/>
      <w:bookmarkEnd w:id="65"/>
      <w:bookmarkEnd w:id="66"/>
      <w:bookmarkEnd w:id="67"/>
    </w:p>
    <w:p>
      <w:pPr>
        <w:bidi w:val="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 xml:space="preserve">9.3 </w:t>
      </w:r>
      <w:r>
        <w:rPr>
          <w:rFonts w:hint="eastAsia" w:ascii="仿宋_GB2312" w:hAnsi="仿宋_GB2312" w:eastAsia="仿宋_GB2312" w:cs="仿宋_GB2312"/>
          <w:color w:val="auto"/>
        </w:rPr>
        <w:t>本预案自发布之日起施行。</w:t>
      </w:r>
    </w:p>
    <w:p>
      <w:pPr>
        <w:pStyle w:val="4"/>
        <w:bidi w:val="0"/>
        <w:rPr>
          <w:rFonts w:hint="eastAsia"/>
          <w:color w:val="auto"/>
        </w:rPr>
      </w:pPr>
      <w:bookmarkStart w:id="68" w:name="_Toc22953"/>
      <w:r>
        <w:rPr>
          <w:rFonts w:hint="eastAsia"/>
          <w:color w:val="auto"/>
        </w:rPr>
        <w:br w:type="column"/>
      </w:r>
      <w:r>
        <w:rPr>
          <w:rFonts w:hint="eastAsia"/>
          <w:color w:val="auto"/>
          <w:lang w:val="en-US" w:eastAsia="zh-CN"/>
        </w:rPr>
        <w:t xml:space="preserve">10. </w:t>
      </w:r>
      <w:r>
        <w:rPr>
          <w:rFonts w:hint="eastAsia"/>
          <w:color w:val="auto"/>
        </w:rPr>
        <w:t>附件</w:t>
      </w:r>
      <w:bookmarkEnd w:id="68"/>
    </w:p>
    <w:p>
      <w:pPr>
        <w:pStyle w:val="5"/>
        <w:bidi w:val="0"/>
        <w:jc w:val="left"/>
        <w:rPr>
          <w:rFonts w:hint="eastAsia" w:ascii="仿宋_GB2312" w:hAnsi="仿宋_GB2312" w:eastAsia="仿宋_GB2312" w:cs="仿宋_GB2312"/>
          <w:color w:val="auto"/>
        </w:rPr>
      </w:pPr>
      <w:bookmarkStart w:id="69" w:name="_Toc18321"/>
      <w:r>
        <w:rPr>
          <w:rFonts w:hint="eastAsia" w:ascii="仿宋_GB2312" w:hAnsi="仿宋_GB2312" w:eastAsia="仿宋_GB2312" w:cs="仿宋_GB2312"/>
          <w:color w:val="auto"/>
        </w:rPr>
        <w:t>附件1</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应急指挥成员及外部机构联系方式</w:t>
      </w:r>
      <w:bookmarkEnd w:id="69"/>
    </w:p>
    <w:tbl>
      <w:tblPr>
        <w:tblStyle w:val="17"/>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2517"/>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b w:val="0"/>
                <w:bCs w:val="0"/>
                <w:color w:val="auto"/>
                <w:kern w:val="0"/>
                <w:sz w:val="32"/>
                <w:szCs w:val="32"/>
              </w:rPr>
              <w:t>名称</w:t>
            </w:r>
          </w:p>
        </w:tc>
        <w:tc>
          <w:tcPr>
            <w:tcW w:w="251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b w:val="0"/>
                <w:bCs w:val="0"/>
                <w:color w:val="auto"/>
                <w:kern w:val="0"/>
                <w:sz w:val="32"/>
                <w:szCs w:val="32"/>
              </w:rPr>
              <w:t>电话</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b w:val="0"/>
                <w:bCs w:val="0"/>
                <w:color w:val="auto"/>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区应急指挥部办公室</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84532433</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eastAsia="zh-CN"/>
              </w:rPr>
            </w:pPr>
            <w:r>
              <w:rPr>
                <w:rFonts w:hint="default" w:ascii="Times New Roman" w:hAnsi="Times New Roman" w:cs="Times New Roman"/>
                <w:color w:val="auto"/>
                <w:kern w:val="0"/>
                <w:sz w:val="32"/>
                <w:szCs w:val="32"/>
                <w:lang w:eastAsia="zh-CN"/>
              </w:rPr>
              <w:t>建设发展局</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84532433</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eastAsia="zh-CN"/>
              </w:rPr>
            </w:pPr>
            <w:r>
              <w:rPr>
                <w:rFonts w:hint="default" w:ascii="Times New Roman" w:hAnsi="Times New Roman" w:cs="Times New Roman"/>
                <w:color w:val="auto"/>
                <w:kern w:val="0"/>
                <w:sz w:val="32"/>
                <w:szCs w:val="32"/>
                <w:lang w:eastAsia="zh-CN"/>
              </w:rPr>
              <w:t>应急管理局</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80767909</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eastAsia" w:ascii="Times New Roman" w:hAnsi="Times New Roman" w:eastAsia="仿宋" w:cs="Times New Roman"/>
                <w:b w:val="0"/>
                <w:bCs w:val="0"/>
                <w:color w:val="auto"/>
                <w:kern w:val="0"/>
                <w:sz w:val="32"/>
                <w:szCs w:val="32"/>
                <w:lang w:eastAsia="zh-CN"/>
              </w:rPr>
            </w:pPr>
            <w:r>
              <w:rPr>
                <w:rFonts w:hint="eastAsia" w:cs="Times New Roman"/>
                <w:color w:val="auto"/>
                <w:kern w:val="0"/>
                <w:sz w:val="32"/>
                <w:szCs w:val="32"/>
                <w:lang w:eastAsia="zh-CN"/>
              </w:rPr>
              <w:t>卫生健康局</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b w:val="0"/>
                <w:bCs w:val="0"/>
                <w:color w:val="auto"/>
                <w:kern w:val="0"/>
                <w:sz w:val="32"/>
                <w:szCs w:val="32"/>
              </w:rPr>
              <w:t>84530338</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财政局</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84532377</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eastAsia="zh-CN"/>
              </w:rPr>
            </w:pPr>
            <w:r>
              <w:rPr>
                <w:rFonts w:hint="default" w:ascii="Times New Roman" w:hAnsi="Times New Roman" w:cs="Times New Roman"/>
                <w:color w:val="auto"/>
                <w:kern w:val="0"/>
                <w:sz w:val="32"/>
                <w:szCs w:val="32"/>
                <w:lang w:eastAsia="zh-CN"/>
              </w:rPr>
              <w:t>宣传部</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84532480</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eastAsia" w:ascii="Times New Roman" w:hAnsi="Times New Roman" w:eastAsia="仿宋" w:cs="Times New Roman"/>
                <w:b w:val="0"/>
                <w:bCs w:val="0"/>
                <w:color w:val="auto"/>
                <w:kern w:val="0"/>
                <w:sz w:val="32"/>
                <w:szCs w:val="32"/>
                <w:lang w:val="en-US" w:eastAsia="zh-CN" w:bidi="ar-SA"/>
              </w:rPr>
            </w:pPr>
            <w:r>
              <w:rPr>
                <w:rFonts w:hint="eastAsia" w:ascii="Times New Roman" w:hAnsi="Times New Roman" w:cs="Times New Roman"/>
                <w:color w:val="auto"/>
                <w:kern w:val="0"/>
                <w:sz w:val="32"/>
                <w:szCs w:val="32"/>
                <w:lang w:eastAsia="zh-CN"/>
              </w:rPr>
              <w:t>净月公安分局</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eastAsia="仿宋" w:cs="Times New Roman"/>
                <w:color w:val="auto"/>
                <w:kern w:val="0"/>
                <w:sz w:val="32"/>
                <w:szCs w:val="32"/>
              </w:rPr>
              <w:t>81710216</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widowControl/>
              <w:spacing w:line="600" w:lineRule="exact"/>
              <w:ind w:firstLine="640" w:firstLineChars="200"/>
              <w:jc w:val="both"/>
              <w:rPr>
                <w:rFonts w:hint="eastAsia" w:ascii="Times New Roman" w:hAnsi="Times New Roman" w:eastAsia="仿宋" w:cs="Times New Roman"/>
                <w:b w:val="0"/>
                <w:bCs w:val="0"/>
                <w:color w:val="auto"/>
                <w:kern w:val="0"/>
                <w:sz w:val="32"/>
                <w:szCs w:val="32"/>
                <w:lang w:val="en-US" w:eastAsia="zh-CN" w:bidi="ar-SA"/>
              </w:rPr>
            </w:pPr>
            <w:r>
              <w:rPr>
                <w:rFonts w:hint="eastAsia" w:ascii="Times New Roman" w:hAnsi="Times New Roman" w:cs="Times New Roman"/>
                <w:color w:val="auto"/>
                <w:kern w:val="0"/>
                <w:sz w:val="32"/>
                <w:szCs w:val="32"/>
                <w:lang w:eastAsia="zh-CN"/>
              </w:rPr>
              <w:t>净月交警大队</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eastAsia="仿宋" w:cs="Times New Roman"/>
                <w:color w:val="auto"/>
                <w:kern w:val="0"/>
                <w:sz w:val="32"/>
                <w:szCs w:val="32"/>
              </w:rPr>
              <w:t>84517992</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eastAsia" w:ascii="Times New Roman" w:hAnsi="Times New Roman" w:cs="Times New Roman"/>
                <w:color w:val="auto"/>
                <w:kern w:val="0"/>
                <w:sz w:val="32"/>
                <w:szCs w:val="32"/>
                <w:lang w:eastAsia="zh-CN"/>
              </w:rPr>
              <w:t>净月消防救援大队</w:t>
            </w:r>
          </w:p>
        </w:tc>
        <w:tc>
          <w:tcPr>
            <w:tcW w:w="2517" w:type="dxa"/>
            <w:noWrap w:val="0"/>
            <w:vAlign w:val="center"/>
          </w:tcPr>
          <w:p>
            <w:pPr>
              <w:widowControl/>
              <w:spacing w:line="600" w:lineRule="exact"/>
              <w:ind w:left="0" w:leftChars="0" w:firstLine="0" w:firstLineChars="0"/>
              <w:jc w:val="center"/>
              <w:rPr>
                <w:rFonts w:hint="default" w:ascii="Times New Roman" w:hAnsi="Times New Roman" w:eastAsia="仿宋" w:cs="Times New Roman"/>
                <w:b w:val="0"/>
                <w:bCs w:val="0"/>
                <w:color w:val="auto"/>
                <w:kern w:val="0"/>
                <w:sz w:val="32"/>
                <w:szCs w:val="32"/>
                <w:lang w:val="en-US" w:eastAsia="zh-CN" w:bidi="ar-SA"/>
              </w:rPr>
            </w:pPr>
            <w:r>
              <w:rPr>
                <w:rFonts w:hint="eastAsia" w:ascii="Times New Roman" w:hAnsi="Times New Roman" w:cs="Times New Roman"/>
                <w:color w:val="auto"/>
                <w:kern w:val="0"/>
                <w:sz w:val="32"/>
                <w:szCs w:val="32"/>
                <w:lang w:val="en-US" w:eastAsia="zh-CN"/>
              </w:rPr>
              <w:t xml:space="preserve">  </w:t>
            </w:r>
            <w:r>
              <w:rPr>
                <w:rFonts w:hint="default" w:ascii="Times New Roman" w:hAnsi="Times New Roman" w:eastAsia="仿宋" w:cs="Times New Roman"/>
                <w:color w:val="auto"/>
                <w:kern w:val="0"/>
                <w:sz w:val="32"/>
                <w:szCs w:val="32"/>
              </w:rPr>
              <w:t>81885290</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eastAsia" w:ascii="Times New Roman" w:hAnsi="Times New Roman" w:cs="Times New Roman"/>
                <w:color w:val="auto"/>
                <w:kern w:val="0"/>
                <w:sz w:val="32"/>
                <w:szCs w:val="32"/>
                <w:lang w:eastAsia="zh-CN"/>
              </w:rPr>
              <w:t>市场监督管理局净月分局</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eastAsia="仿宋" w:cs="Times New Roman"/>
                <w:color w:val="auto"/>
                <w:kern w:val="0"/>
                <w:sz w:val="32"/>
                <w:szCs w:val="32"/>
              </w:rPr>
              <w:t>85207139</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cs="Times New Roman"/>
                <w:color w:val="auto"/>
                <w:kern w:val="0"/>
                <w:sz w:val="32"/>
                <w:szCs w:val="32"/>
                <w:lang w:val="en-US" w:eastAsia="zh-CN"/>
              </w:rPr>
              <w:t>生态环境分局</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cs="Times New Roman"/>
                <w:color w:val="auto"/>
                <w:kern w:val="0"/>
                <w:sz w:val="32"/>
                <w:szCs w:val="32"/>
                <w:lang w:val="en-US" w:eastAsia="zh-CN"/>
              </w:rPr>
              <w:t>84532432</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cs="Times New Roman"/>
                <w:color w:val="auto"/>
                <w:kern w:val="0"/>
                <w:sz w:val="32"/>
                <w:szCs w:val="32"/>
                <w:lang w:val="en-US" w:eastAsia="zh-CN"/>
              </w:rPr>
            </w:pPr>
            <w:r>
              <w:rPr>
                <w:rFonts w:hint="default" w:ascii="Times New Roman" w:hAnsi="Times New Roman" w:cs="Times New Roman"/>
                <w:color w:val="auto"/>
                <w:kern w:val="0"/>
                <w:sz w:val="32"/>
                <w:szCs w:val="32"/>
                <w:lang w:val="en-US" w:eastAsia="zh-CN"/>
              </w:rPr>
              <w:t>政法与维护稳定办公室</w:t>
            </w:r>
          </w:p>
        </w:tc>
        <w:tc>
          <w:tcPr>
            <w:tcW w:w="2517" w:type="dxa"/>
            <w:noWrap w:val="0"/>
            <w:vAlign w:val="center"/>
          </w:tcPr>
          <w:p>
            <w:pPr>
              <w:widowControl/>
              <w:spacing w:line="600" w:lineRule="exact"/>
              <w:ind w:firstLine="640" w:firstLineChars="200"/>
              <w:jc w:val="both"/>
              <w:rPr>
                <w:rFonts w:hint="default" w:ascii="Times New Roman" w:hAnsi="Times New Roman" w:cs="Times New Roman"/>
                <w:color w:val="auto"/>
                <w:kern w:val="0"/>
                <w:sz w:val="32"/>
                <w:szCs w:val="32"/>
                <w:lang w:val="en-US" w:eastAsia="zh-CN"/>
              </w:rPr>
            </w:pPr>
            <w:r>
              <w:rPr>
                <w:rFonts w:hint="default" w:ascii="Times New Roman" w:hAnsi="Times New Roman" w:cs="Times New Roman"/>
                <w:color w:val="auto"/>
                <w:kern w:val="0"/>
                <w:sz w:val="32"/>
                <w:szCs w:val="32"/>
                <w:lang w:val="en-US" w:eastAsia="zh-CN"/>
              </w:rPr>
              <w:t>84526022</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40" w:firstLineChars="200"/>
              <w:jc w:val="both"/>
              <w:textAlignment w:val="auto"/>
              <w:rPr>
                <w:rFonts w:hint="default" w:ascii="Times New Roman" w:hAnsi="Times New Roman" w:eastAsia="仿宋" w:cs="Times New Roman"/>
                <w:b w:val="0"/>
                <w:bCs w:val="0"/>
                <w:color w:val="auto"/>
                <w:kern w:val="0"/>
                <w:sz w:val="32"/>
                <w:szCs w:val="32"/>
                <w:lang w:val="en-US" w:eastAsia="zh-CN" w:bidi="ar-SA"/>
              </w:rPr>
            </w:pPr>
            <w:r>
              <w:rPr>
                <w:rFonts w:hint="eastAsia" w:ascii="仿宋_GB2312" w:hAnsi="仿宋_GB2312" w:eastAsia="仿宋_GB2312" w:cs="仿宋_GB2312"/>
                <w:color w:val="auto"/>
              </w:rPr>
              <w:t>水务集团净月分公司</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eastAsia="仿宋" w:cs="Times New Roman"/>
                <w:b w:val="0"/>
                <w:bCs w:val="0"/>
                <w:color w:val="auto"/>
                <w:kern w:val="0"/>
                <w:sz w:val="32"/>
                <w:szCs w:val="32"/>
              </w:rPr>
              <w:t>89358799</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b w:val="0"/>
                <w:bCs w:val="0"/>
                <w:color w:val="auto"/>
                <w:kern w:val="0"/>
                <w:sz w:val="32"/>
                <w:szCs w:val="32"/>
                <w:lang w:val="en-US" w:eastAsia="zh-CN" w:bidi="ar-SA"/>
              </w:rPr>
            </w:pPr>
            <w:r>
              <w:rPr>
                <w:rFonts w:hint="eastAsia" w:ascii="仿宋_GB2312" w:hAnsi="仿宋_GB2312" w:eastAsia="仿宋_GB2312" w:cs="仿宋_GB2312"/>
                <w:color w:val="auto"/>
                <w:lang w:val="en-US" w:eastAsia="zh-CN"/>
              </w:rPr>
              <w:t>长春供电公司二道分公司</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eastAsia="仿宋" w:cs="Times New Roman"/>
                <w:b w:val="0"/>
                <w:bCs w:val="0"/>
                <w:color w:val="auto"/>
                <w:kern w:val="0"/>
                <w:sz w:val="32"/>
                <w:szCs w:val="32"/>
              </w:rPr>
              <w:t>84630666</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b w:val="0"/>
                <w:bCs w:val="0"/>
                <w:color w:val="auto"/>
                <w:kern w:val="0"/>
                <w:sz w:val="32"/>
                <w:szCs w:val="32"/>
                <w:lang w:val="en-US" w:eastAsia="zh-CN" w:bidi="ar-SA"/>
              </w:rPr>
            </w:pPr>
            <w:r>
              <w:rPr>
                <w:rFonts w:hint="eastAsia" w:ascii="仿宋_GB2312" w:hAnsi="仿宋_GB2312" w:eastAsia="仿宋_GB2312" w:cs="仿宋_GB2312"/>
                <w:color w:val="auto"/>
                <w:lang w:eastAsia="zh-CN"/>
              </w:rPr>
              <w:t>城郊供电公司</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val="en-US" w:eastAsia="zh-CN" w:bidi="ar-SA"/>
              </w:rPr>
            </w:pPr>
            <w:r>
              <w:rPr>
                <w:rFonts w:hint="default" w:ascii="Times New Roman" w:hAnsi="Times New Roman" w:eastAsia="仿宋" w:cs="Times New Roman"/>
                <w:b w:val="0"/>
                <w:bCs w:val="0"/>
                <w:color w:val="auto"/>
                <w:kern w:val="0"/>
                <w:sz w:val="32"/>
                <w:szCs w:val="32"/>
              </w:rPr>
              <w:t>89956010</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4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b w:val="0"/>
                <w:bCs w:val="0"/>
                <w:color w:val="auto"/>
                <w:kern w:val="0"/>
                <w:sz w:val="32"/>
                <w:szCs w:val="32"/>
                <w:lang w:val="en-US" w:eastAsia="zh-CN" w:bidi="ar-SA"/>
              </w:rPr>
            </w:pPr>
            <w:r>
              <w:rPr>
                <w:rFonts w:hint="eastAsia" w:ascii="仿宋_GB2312" w:hAnsi="仿宋_GB2312" w:eastAsia="仿宋_GB2312" w:cs="仿宋_GB2312"/>
                <w:color w:val="auto"/>
                <w:lang w:eastAsia="zh-CN"/>
              </w:rPr>
              <w:t>长春燃气公司净月分公司</w:t>
            </w:r>
          </w:p>
        </w:tc>
        <w:tc>
          <w:tcPr>
            <w:tcW w:w="2517" w:type="dxa"/>
            <w:noWrap w:val="0"/>
            <w:vAlign w:val="center"/>
          </w:tcPr>
          <w:p>
            <w:pPr>
              <w:widowControl/>
              <w:spacing w:line="600" w:lineRule="exact"/>
              <w:ind w:left="0" w:leftChars="0" w:firstLine="0" w:firstLineChars="0"/>
              <w:jc w:val="both"/>
              <w:rPr>
                <w:rFonts w:hint="default" w:ascii="Times New Roman" w:hAnsi="Times New Roman" w:eastAsia="仿宋" w:cs="Times New Roman"/>
                <w:b w:val="0"/>
                <w:bCs w:val="0"/>
                <w:color w:val="auto"/>
                <w:kern w:val="0"/>
                <w:sz w:val="32"/>
                <w:szCs w:val="32"/>
                <w:lang w:val="en-US" w:eastAsia="zh-CN" w:bidi="ar-SA"/>
              </w:rPr>
            </w:pPr>
            <w:r>
              <w:rPr>
                <w:rFonts w:hint="eastAsia" w:cs="Times New Roman"/>
                <w:b w:val="0"/>
                <w:bCs w:val="0"/>
                <w:color w:val="auto"/>
                <w:kern w:val="0"/>
                <w:sz w:val="32"/>
                <w:szCs w:val="32"/>
                <w:lang w:val="en-US" w:eastAsia="zh-CN"/>
              </w:rPr>
              <w:t xml:space="preserve">    </w:t>
            </w:r>
            <w:r>
              <w:rPr>
                <w:rFonts w:hint="default" w:ascii="Times New Roman" w:hAnsi="Times New Roman" w:eastAsia="仿宋" w:cs="Times New Roman"/>
                <w:b w:val="0"/>
                <w:bCs w:val="0"/>
                <w:color w:val="auto"/>
                <w:kern w:val="0"/>
                <w:sz w:val="32"/>
                <w:szCs w:val="32"/>
              </w:rPr>
              <w:t>85858002</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lang w:eastAsia="zh-CN"/>
              </w:rPr>
            </w:pPr>
            <w:r>
              <w:rPr>
                <w:rFonts w:hint="default" w:ascii="Times New Roman" w:hAnsi="Times New Roman" w:eastAsia="仿宋" w:cs="Times New Roman"/>
                <w:color w:val="auto"/>
                <w:kern w:val="0"/>
                <w:sz w:val="32"/>
                <w:szCs w:val="32"/>
              </w:rPr>
              <w:t>永兴街道办事处</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80600787</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净月街道办事处</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84333506</w:t>
            </w:r>
          </w:p>
        </w:tc>
        <w:tc>
          <w:tcPr>
            <w:tcW w:w="1113" w:type="dxa"/>
            <w:noWrap w:val="0"/>
            <w:vAlign w:val="center"/>
          </w:tcPr>
          <w:p>
            <w:pPr>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博硕街道办事处</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84513568</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彩织街道办事处</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85233565</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德正街道办事处</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80522219</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德容街道办事处</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84737229</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福祉街道办事处</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cs="Times New Roman"/>
                <w:color w:val="auto"/>
                <w:kern w:val="0"/>
                <w:sz w:val="32"/>
                <w:szCs w:val="32"/>
                <w:lang w:val="en-US" w:eastAsia="zh-CN"/>
              </w:rPr>
              <w:t>81132766</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玉潭镇</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84520744</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新立城镇</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84549065</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470"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新湖镇</w:t>
            </w:r>
          </w:p>
        </w:tc>
        <w:tc>
          <w:tcPr>
            <w:tcW w:w="2517" w:type="dxa"/>
            <w:noWrap w:val="0"/>
            <w:vAlign w:val="center"/>
          </w:tcPr>
          <w:p>
            <w:pPr>
              <w:widowControl/>
              <w:spacing w:line="600" w:lineRule="exact"/>
              <w:ind w:firstLine="640" w:firstLineChars="200"/>
              <w:jc w:val="both"/>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84512099</w:t>
            </w:r>
          </w:p>
        </w:tc>
        <w:tc>
          <w:tcPr>
            <w:tcW w:w="111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仿宋" w:cs="Times New Roman"/>
                <w:b w:val="0"/>
                <w:bCs w:val="0"/>
                <w:color w:val="auto"/>
                <w:kern w:val="0"/>
                <w:sz w:val="32"/>
                <w:szCs w:val="32"/>
              </w:rPr>
            </w:pPr>
          </w:p>
        </w:tc>
      </w:tr>
    </w:tbl>
    <w:p>
      <w:pPr>
        <w:spacing w:line="600" w:lineRule="exact"/>
        <w:jc w:val="left"/>
        <w:rPr>
          <w:rFonts w:hint="eastAsia" w:ascii="仿宋" w:hAnsi="仿宋" w:eastAsia="仿宋" w:cs="仿宋"/>
          <w:color w:val="auto"/>
          <w:sz w:val="32"/>
          <w:szCs w:val="32"/>
        </w:rPr>
      </w:pPr>
    </w:p>
    <w:p>
      <w:pPr>
        <w:spacing w:line="600" w:lineRule="exact"/>
        <w:jc w:val="left"/>
        <w:rPr>
          <w:rFonts w:hint="eastAsia" w:ascii="仿宋" w:hAnsi="仿宋" w:eastAsia="仿宋" w:cs="仿宋"/>
          <w:color w:val="auto"/>
          <w:sz w:val="32"/>
          <w:szCs w:val="32"/>
        </w:rPr>
        <w:sectPr>
          <w:footerReference r:id="rId8" w:type="default"/>
          <w:pgSz w:w="11906" w:h="16838"/>
          <w:pgMar w:top="1440" w:right="1800" w:bottom="1440" w:left="1800" w:header="851" w:footer="992" w:gutter="0"/>
          <w:pgNumType w:fmt="decimal" w:start="1"/>
          <w:cols w:space="720" w:num="1"/>
          <w:docGrid w:type="lines" w:linePitch="312" w:charSpace="0"/>
        </w:sectPr>
      </w:pPr>
    </w:p>
    <w:p>
      <w:pPr>
        <w:pStyle w:val="5"/>
        <w:bidi w:val="0"/>
        <w:rPr>
          <w:rFonts w:hint="eastAsia" w:ascii="仿宋_GB2312" w:hAnsi="仿宋_GB2312" w:eastAsia="仿宋_GB2312" w:cs="仿宋_GB2312"/>
          <w:color w:val="auto"/>
        </w:rPr>
      </w:pPr>
      <w:bookmarkStart w:id="70" w:name="_Toc30641"/>
      <w:r>
        <w:rPr>
          <w:rFonts w:hint="eastAsia" w:ascii="仿宋_GB2312" w:hAnsi="仿宋_GB2312" w:eastAsia="仿宋_GB2312" w:cs="仿宋_GB2312"/>
          <w:color w:val="auto"/>
        </w:rPr>
        <w:t>附件</w:t>
      </w:r>
      <w:r>
        <w:rPr>
          <w:rFonts w:hint="eastAsia" w:ascii="仿宋_GB2312" w:hAnsi="仿宋_GB2312" w:eastAsia="仿宋_GB2312" w:cs="仿宋_GB2312"/>
          <w:color w:val="auto"/>
          <w:lang w:val="en-US" w:eastAsia="zh-CN"/>
        </w:rPr>
        <w:t xml:space="preserve">2 </w:t>
      </w:r>
      <w:r>
        <w:rPr>
          <w:rFonts w:hint="eastAsia" w:ascii="仿宋_GB2312" w:hAnsi="仿宋_GB2312" w:eastAsia="仿宋_GB2312" w:cs="仿宋_GB2312"/>
          <w:color w:val="auto"/>
        </w:rPr>
        <w:t>事故信息规范上报格式化文本（事故调查报告）</w:t>
      </w:r>
      <w:bookmarkEnd w:id="70"/>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2"/>
        <w:gridCol w:w="1541"/>
        <w:gridCol w:w="1452"/>
        <w:gridCol w:w="97"/>
        <w:gridCol w:w="1096"/>
        <w:gridCol w:w="1146"/>
        <w:gridCol w:w="2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r>
              <w:rPr>
                <w:rFonts w:hint="eastAsia"/>
                <w:color w:val="auto"/>
              </w:rPr>
              <w:t>填报单位</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r>
              <w:rPr>
                <w:rFonts w:hint="eastAsia"/>
                <w:color w:val="auto"/>
              </w:rPr>
              <w:t>联系人</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r>
              <w:rPr>
                <w:rFonts w:hint="eastAsia"/>
                <w:color w:val="auto"/>
              </w:rPr>
              <w:t>电话</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r>
              <w:rPr>
                <w:rFonts w:hint="eastAsia"/>
                <w:color w:val="auto"/>
              </w:rPr>
              <w:t>事故类别</w:t>
            </w:r>
          </w:p>
        </w:tc>
        <w:tc>
          <w:tcPr>
            <w:tcW w:w="7351" w:type="dxa"/>
            <w:gridSpan w:val="6"/>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1372" w:type="dxa"/>
            <w:tcBorders>
              <w:top w:val="single" w:color="auto" w:sz="4" w:space="0"/>
              <w:left w:val="single" w:color="auto" w:sz="4" w:space="0"/>
              <w:bottom w:val="single" w:color="auto" w:sz="4" w:space="0"/>
              <w:right w:val="single" w:color="auto" w:sz="4" w:space="0"/>
            </w:tcBorders>
            <w:noWrap w:val="0"/>
            <w:vAlign w:val="top"/>
          </w:tcPr>
          <w:p>
            <w:pPr>
              <w:pStyle w:val="3"/>
              <w:bidi w:val="0"/>
              <w:rPr>
                <w:rFonts w:hint="eastAsia"/>
                <w:color w:val="auto"/>
              </w:rPr>
            </w:pPr>
            <w:r>
              <w:rPr>
                <w:rFonts w:hint="eastAsia"/>
                <w:color w:val="auto"/>
              </w:rPr>
              <w:t>事故发生</w:t>
            </w:r>
          </w:p>
          <w:p>
            <w:pPr>
              <w:pStyle w:val="3"/>
              <w:bidi w:val="0"/>
              <w:rPr>
                <w:rFonts w:hint="eastAsia"/>
                <w:color w:val="auto"/>
              </w:rPr>
            </w:pPr>
            <w:r>
              <w:rPr>
                <w:rFonts w:hint="eastAsia"/>
                <w:color w:val="auto"/>
              </w:rPr>
              <w:t>时间、地点</w:t>
            </w:r>
          </w:p>
        </w:tc>
        <w:tc>
          <w:tcPr>
            <w:tcW w:w="7351" w:type="dxa"/>
            <w:gridSpan w:val="6"/>
            <w:tcBorders>
              <w:top w:val="single" w:color="auto" w:sz="4" w:space="0"/>
              <w:left w:val="single" w:color="auto" w:sz="4" w:space="0"/>
              <w:bottom w:val="single" w:color="auto" w:sz="4" w:space="0"/>
              <w:right w:val="single" w:color="auto" w:sz="4" w:space="0"/>
            </w:tcBorders>
            <w:noWrap w:val="0"/>
            <w:vAlign w:val="top"/>
          </w:tcPr>
          <w:p>
            <w:pPr>
              <w:pStyle w:val="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0" w:hRule="atLeast"/>
          <w:jc w:val="center"/>
        </w:trPr>
        <w:tc>
          <w:tcPr>
            <w:tcW w:w="8723" w:type="dxa"/>
            <w:gridSpan w:val="7"/>
            <w:tcBorders>
              <w:top w:val="single" w:color="auto" w:sz="4" w:space="0"/>
              <w:left w:val="single" w:color="auto" w:sz="4" w:space="0"/>
              <w:bottom w:val="single" w:color="auto" w:sz="4" w:space="0"/>
              <w:right w:val="single" w:color="auto" w:sz="4" w:space="0"/>
            </w:tcBorders>
            <w:noWrap w:val="0"/>
            <w:vAlign w:val="top"/>
          </w:tcPr>
          <w:p>
            <w:pPr>
              <w:pStyle w:val="3"/>
              <w:bidi w:val="0"/>
              <w:rPr>
                <w:rFonts w:hint="eastAsia"/>
                <w:color w:val="auto"/>
              </w:rPr>
            </w:pPr>
            <w:r>
              <w:rPr>
                <w:rFonts w:hint="eastAsia"/>
                <w:color w:val="auto"/>
              </w:rPr>
              <w:t>事故简况（事故简单经过、伤亡及损失情况、采取的措施及救援情况、初步分析的事故原因等）：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4" w:hRule="atLeast"/>
          <w:jc w:val="center"/>
        </w:trPr>
        <w:tc>
          <w:tcPr>
            <w:tcW w:w="4365" w:type="dxa"/>
            <w:gridSpan w:val="3"/>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r>
              <w:rPr>
                <w:rFonts w:hint="eastAsia"/>
                <w:color w:val="auto"/>
              </w:rPr>
              <w:t xml:space="preserve">填报人：      </w:t>
            </w:r>
          </w:p>
          <w:p>
            <w:pPr>
              <w:pStyle w:val="3"/>
              <w:bidi w:val="0"/>
              <w:rPr>
                <w:rFonts w:hint="eastAsia"/>
                <w:color w:val="auto"/>
              </w:rPr>
            </w:pPr>
          </w:p>
          <w:p>
            <w:pPr>
              <w:pStyle w:val="3"/>
              <w:bidi w:val="0"/>
              <w:rPr>
                <w:rFonts w:hint="eastAsia"/>
                <w:color w:val="auto"/>
              </w:rPr>
            </w:pPr>
            <w:r>
              <w:rPr>
                <w:rFonts w:hint="eastAsia"/>
                <w:color w:val="auto"/>
              </w:rPr>
              <w:t xml:space="preserve">                 年   月   日</w:t>
            </w:r>
          </w:p>
        </w:tc>
        <w:tc>
          <w:tcPr>
            <w:tcW w:w="4358" w:type="dxa"/>
            <w:gridSpan w:val="4"/>
            <w:tcBorders>
              <w:top w:val="single" w:color="auto" w:sz="4" w:space="0"/>
              <w:left w:val="single" w:color="auto" w:sz="4" w:space="0"/>
              <w:bottom w:val="single" w:color="auto" w:sz="4" w:space="0"/>
              <w:right w:val="single" w:color="auto" w:sz="4" w:space="0"/>
            </w:tcBorders>
            <w:noWrap w:val="0"/>
            <w:vAlign w:val="center"/>
          </w:tcPr>
          <w:p>
            <w:pPr>
              <w:pStyle w:val="3"/>
              <w:bidi w:val="0"/>
              <w:rPr>
                <w:rFonts w:hint="eastAsia"/>
                <w:color w:val="auto"/>
              </w:rPr>
            </w:pPr>
            <w:r>
              <w:rPr>
                <w:rFonts w:hint="eastAsia"/>
                <w:color w:val="auto"/>
              </w:rPr>
              <w:t xml:space="preserve">部门负责人： </w:t>
            </w:r>
          </w:p>
          <w:p>
            <w:pPr>
              <w:pStyle w:val="3"/>
              <w:bidi w:val="0"/>
              <w:rPr>
                <w:rFonts w:hint="eastAsia"/>
                <w:color w:val="auto"/>
              </w:rPr>
            </w:pPr>
          </w:p>
          <w:p>
            <w:pPr>
              <w:pStyle w:val="3"/>
              <w:bidi w:val="0"/>
              <w:rPr>
                <w:rFonts w:hint="eastAsia"/>
                <w:color w:val="auto"/>
              </w:rPr>
            </w:pPr>
            <w:r>
              <w:rPr>
                <w:rFonts w:hint="eastAsia"/>
                <w:color w:val="auto"/>
              </w:rPr>
              <w:t xml:space="preserve">               年  月  日</w:t>
            </w:r>
          </w:p>
        </w:tc>
      </w:tr>
    </w:tbl>
    <w:p>
      <w:pPr>
        <w:pStyle w:val="5"/>
        <w:bidi w:val="0"/>
        <w:rPr>
          <w:rFonts w:hint="eastAsia" w:ascii="仿宋_GB2312" w:hAnsi="仿宋_GB2312" w:eastAsia="仿宋_GB2312" w:cs="仿宋_GB2312"/>
          <w:color w:val="auto"/>
        </w:rPr>
      </w:pPr>
      <w:bookmarkStart w:id="71" w:name="_Toc12283"/>
      <w:r>
        <w:rPr>
          <w:rFonts w:hint="eastAsia" w:ascii="仿宋_GB2312" w:hAnsi="仿宋_GB2312" w:eastAsia="仿宋_GB2312" w:cs="仿宋_GB2312"/>
          <w:color w:val="auto"/>
        </w:rPr>
        <w:t>附件</w:t>
      </w:r>
      <w:r>
        <w:rPr>
          <w:rFonts w:hint="eastAsia" w:ascii="仿宋_GB2312" w:hAnsi="仿宋_GB2312" w:eastAsia="仿宋_GB2312" w:cs="仿宋_GB2312"/>
          <w:color w:val="auto"/>
          <w:lang w:val="en-US" w:eastAsia="zh-CN"/>
        </w:rPr>
        <w:t xml:space="preserve">3 </w:t>
      </w:r>
      <w:r>
        <w:rPr>
          <w:rFonts w:hint="eastAsia" w:ascii="仿宋_GB2312" w:hAnsi="仿宋_GB2312" w:eastAsia="仿宋_GB2312" w:cs="仿宋_GB2312"/>
          <w:color w:val="auto"/>
        </w:rPr>
        <w:t>应急演练记录</w:t>
      </w:r>
      <w:bookmarkEnd w:id="71"/>
      <w:r>
        <w:rPr>
          <w:rFonts w:hint="eastAsia" w:ascii="仿宋_GB2312" w:hAnsi="仿宋_GB2312" w:eastAsia="仿宋_GB2312" w:cs="仿宋_GB2312"/>
          <w:color w:val="auto"/>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2017"/>
        <w:gridCol w:w="2145"/>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679" w:type="dxa"/>
            <w:noWrap w:val="0"/>
            <w:vAlign w:val="top"/>
          </w:tcPr>
          <w:p>
            <w:pPr>
              <w:pStyle w:val="3"/>
              <w:bidi w:val="0"/>
              <w:rPr>
                <w:rFonts w:hint="eastAsia"/>
                <w:color w:val="auto"/>
              </w:rPr>
            </w:pPr>
            <w:r>
              <w:rPr>
                <w:rFonts w:hint="eastAsia"/>
                <w:color w:val="auto"/>
              </w:rPr>
              <w:t>时  间</w:t>
            </w:r>
          </w:p>
        </w:tc>
        <w:tc>
          <w:tcPr>
            <w:tcW w:w="2017" w:type="dxa"/>
            <w:noWrap w:val="0"/>
            <w:vAlign w:val="top"/>
          </w:tcPr>
          <w:p>
            <w:pPr>
              <w:pStyle w:val="3"/>
              <w:bidi w:val="0"/>
              <w:rPr>
                <w:rFonts w:hint="eastAsia"/>
                <w:color w:val="auto"/>
              </w:rPr>
            </w:pPr>
          </w:p>
        </w:tc>
        <w:tc>
          <w:tcPr>
            <w:tcW w:w="2145" w:type="dxa"/>
            <w:noWrap w:val="0"/>
            <w:vAlign w:val="top"/>
          </w:tcPr>
          <w:p>
            <w:pPr>
              <w:pStyle w:val="3"/>
              <w:bidi w:val="0"/>
              <w:rPr>
                <w:rFonts w:hint="eastAsia"/>
                <w:color w:val="auto"/>
              </w:rPr>
            </w:pPr>
            <w:r>
              <w:rPr>
                <w:rFonts w:hint="eastAsia"/>
                <w:color w:val="auto"/>
              </w:rPr>
              <w:t>地  点</w:t>
            </w:r>
          </w:p>
        </w:tc>
        <w:tc>
          <w:tcPr>
            <w:tcW w:w="3077" w:type="dxa"/>
            <w:noWrap w:val="0"/>
            <w:vAlign w:val="top"/>
          </w:tcPr>
          <w:p>
            <w:pPr>
              <w:pStyle w:val="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79" w:type="dxa"/>
            <w:noWrap w:val="0"/>
            <w:vAlign w:val="top"/>
          </w:tcPr>
          <w:p>
            <w:pPr>
              <w:pStyle w:val="3"/>
              <w:bidi w:val="0"/>
              <w:rPr>
                <w:rFonts w:hint="eastAsia"/>
                <w:color w:val="auto"/>
              </w:rPr>
            </w:pPr>
            <w:r>
              <w:rPr>
                <w:rFonts w:hint="eastAsia"/>
                <w:color w:val="auto"/>
              </w:rPr>
              <w:t>主持人</w:t>
            </w:r>
          </w:p>
        </w:tc>
        <w:tc>
          <w:tcPr>
            <w:tcW w:w="2017" w:type="dxa"/>
            <w:noWrap w:val="0"/>
            <w:vAlign w:val="top"/>
          </w:tcPr>
          <w:p>
            <w:pPr>
              <w:pStyle w:val="3"/>
              <w:bidi w:val="0"/>
              <w:rPr>
                <w:rFonts w:hint="eastAsia"/>
                <w:color w:val="auto"/>
              </w:rPr>
            </w:pPr>
          </w:p>
        </w:tc>
        <w:tc>
          <w:tcPr>
            <w:tcW w:w="2145" w:type="dxa"/>
            <w:noWrap w:val="0"/>
            <w:vAlign w:val="center"/>
          </w:tcPr>
          <w:p>
            <w:pPr>
              <w:pStyle w:val="3"/>
              <w:bidi w:val="0"/>
              <w:rPr>
                <w:rFonts w:hint="eastAsia"/>
                <w:color w:val="auto"/>
              </w:rPr>
            </w:pPr>
            <w:r>
              <w:rPr>
                <w:rFonts w:hint="eastAsia"/>
                <w:color w:val="auto"/>
              </w:rPr>
              <w:t>演练名称</w:t>
            </w:r>
          </w:p>
        </w:tc>
        <w:tc>
          <w:tcPr>
            <w:tcW w:w="3077" w:type="dxa"/>
            <w:noWrap w:val="0"/>
            <w:vAlign w:val="center"/>
          </w:tcPr>
          <w:p>
            <w:pPr>
              <w:pStyle w:val="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679" w:type="dxa"/>
            <w:noWrap w:val="0"/>
            <w:vAlign w:val="center"/>
          </w:tcPr>
          <w:p>
            <w:pPr>
              <w:pStyle w:val="3"/>
              <w:bidi w:val="0"/>
              <w:rPr>
                <w:rFonts w:hint="eastAsia"/>
                <w:color w:val="auto"/>
              </w:rPr>
            </w:pPr>
            <w:r>
              <w:rPr>
                <w:rFonts w:hint="eastAsia"/>
                <w:color w:val="auto"/>
              </w:rPr>
              <w:t>参加人员</w:t>
            </w:r>
          </w:p>
        </w:tc>
        <w:tc>
          <w:tcPr>
            <w:tcW w:w="7239" w:type="dxa"/>
            <w:gridSpan w:val="3"/>
            <w:noWrap w:val="0"/>
            <w:vAlign w:val="center"/>
          </w:tcPr>
          <w:p>
            <w:pPr>
              <w:pStyle w:val="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jc w:val="center"/>
        </w:trPr>
        <w:tc>
          <w:tcPr>
            <w:tcW w:w="8918" w:type="dxa"/>
            <w:gridSpan w:val="4"/>
            <w:noWrap w:val="0"/>
            <w:vAlign w:val="top"/>
          </w:tcPr>
          <w:p>
            <w:pPr>
              <w:pStyle w:val="3"/>
              <w:bidi w:val="0"/>
              <w:rPr>
                <w:rFonts w:hint="eastAsia"/>
                <w:color w:val="auto"/>
              </w:rPr>
            </w:pPr>
            <w:r>
              <w:rPr>
                <w:rFonts w:hint="eastAsia"/>
                <w:color w:val="auto"/>
              </w:rPr>
              <w:t xml:space="preserve">演练记录： </w:t>
            </w:r>
          </w:p>
          <w:p>
            <w:pPr>
              <w:pStyle w:val="3"/>
              <w:bidi w:val="0"/>
              <w:rPr>
                <w:rFonts w:hint="eastAsia"/>
                <w:color w:val="auto"/>
              </w:rPr>
            </w:pPr>
          </w:p>
          <w:p>
            <w:pPr>
              <w:pStyle w:val="3"/>
              <w:bidi w:val="0"/>
              <w:rPr>
                <w:rFonts w:hint="eastAsia"/>
                <w:color w:val="auto"/>
              </w:rPr>
            </w:pPr>
          </w:p>
          <w:p>
            <w:pPr>
              <w:pStyle w:val="3"/>
              <w:bidi w:val="0"/>
              <w:rPr>
                <w:rFonts w:hint="eastAsia"/>
                <w:color w:val="auto"/>
              </w:rPr>
            </w:pPr>
          </w:p>
          <w:p>
            <w:pPr>
              <w:pStyle w:val="3"/>
              <w:bidi w:val="0"/>
              <w:rPr>
                <w:rFonts w:hint="eastAsia"/>
                <w:color w:val="auto"/>
              </w:rPr>
            </w:pPr>
          </w:p>
          <w:p>
            <w:pPr>
              <w:pStyle w:val="3"/>
              <w:bidi w:val="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8918" w:type="dxa"/>
            <w:gridSpan w:val="4"/>
            <w:tcBorders>
              <w:bottom w:val="single" w:color="auto" w:sz="4" w:space="0"/>
            </w:tcBorders>
            <w:noWrap w:val="0"/>
            <w:vAlign w:val="top"/>
          </w:tcPr>
          <w:p>
            <w:pPr>
              <w:pStyle w:val="3"/>
              <w:bidi w:val="0"/>
              <w:rPr>
                <w:rFonts w:hint="eastAsia"/>
                <w:color w:val="auto"/>
              </w:rPr>
            </w:pPr>
            <w:r>
              <w:rPr>
                <w:rFonts w:hint="eastAsia"/>
                <w:color w:val="auto"/>
              </w:rPr>
              <w:t xml:space="preserve">总结： </w:t>
            </w:r>
          </w:p>
          <w:p>
            <w:pPr>
              <w:pStyle w:val="3"/>
              <w:bidi w:val="0"/>
              <w:rPr>
                <w:rFonts w:hint="eastAsia"/>
                <w:color w:val="auto"/>
              </w:rPr>
            </w:pPr>
          </w:p>
          <w:p>
            <w:pPr>
              <w:pStyle w:val="3"/>
              <w:bidi w:val="0"/>
              <w:rPr>
                <w:rFonts w:hint="eastAsia"/>
                <w:color w:val="auto"/>
              </w:rPr>
            </w:pPr>
            <w:r>
              <w:rPr>
                <w:rFonts w:hint="eastAsia"/>
                <w:color w:val="auto"/>
              </w:rPr>
              <w:t xml:space="preserve">记录人： </w:t>
            </w:r>
          </w:p>
        </w:tc>
      </w:tr>
    </w:tbl>
    <w:p>
      <w:pPr>
        <w:spacing w:line="600" w:lineRule="exact"/>
        <w:rPr>
          <w:rFonts w:hint="eastAsia" w:ascii="仿宋" w:hAnsi="仿宋" w:eastAsia="仿宋" w:cs="仿宋"/>
          <w:color w:val="auto"/>
          <w:sz w:val="32"/>
          <w:szCs w:val="32"/>
        </w:rPr>
      </w:pPr>
    </w:p>
    <w:p>
      <w:pPr>
        <w:spacing w:line="600" w:lineRule="exact"/>
        <w:rPr>
          <w:rFonts w:hint="eastAsia" w:ascii="仿宋" w:hAnsi="仿宋" w:eastAsia="仿宋" w:cs="仿宋"/>
          <w:color w:val="auto"/>
          <w:sz w:val="32"/>
          <w:szCs w:val="32"/>
        </w:rPr>
      </w:pPr>
    </w:p>
    <w:sectPr>
      <w:headerReference r:id="rId9" w:type="default"/>
      <w:footerReference r:id="rId10" w:type="default"/>
      <w:footerReference r:id="rId11" w:type="even"/>
      <w:pgSz w:w="11906" w:h="16838"/>
      <w:pgMar w:top="1418" w:right="1418" w:bottom="1418" w:left="1418" w:header="851" w:footer="1021"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mq7YR5wEAAMcD&#10;AAAOAAAAAAAAAAEAIAAAAB4BAABkcnMvZTJvRG9jLnhtbFBLBQYAAAAABgAGAFkBAAB3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- 4 -</w:t>
                          </w:r>
                          <w:r>
                            <w:fldChar w:fldCharType="end"/>
                          </w:r>
                          <w: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OFJ8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s4Un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- 4 -</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Pr>
                          <w:r>
                            <w:t xml:space="preserve">— </w:t>
                          </w:r>
                          <w:r>
                            <w:fldChar w:fldCharType="begin"/>
                          </w:r>
                          <w:r>
                            <w:instrText xml:space="preserve"> PAGE  \* MERGEFORMAT </w:instrText>
                          </w:r>
                          <w:r>
                            <w:fldChar w:fldCharType="separate"/>
                          </w:r>
                          <w:r>
                            <w:t>- 17 -</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Zp4ecBAADHAwAADgAAAGRycy9lMm9Eb2MueG1srVNLbtswEN0XyB0I&#10;7mMpR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mJ5QYHfvz18/j77/HP&#10;D3Kd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vpmnh5wEAAMcD&#10;AAAOAAAAAAAAAAEAIAAAAB4BAABkcnMvZTJvRG9jLnhtbFBLBQYAAAAABgAGAFkBAAB3BQ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- 17 -</w:t>
                    </w:r>
                    <w:r>
                      <w:fldChar w:fldCharType="end"/>
                    </w:r>
                    <w:r>
                      <w:t xml:space="preserve"> —</w:t>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ascii="宋体" w:hAnsi="宋体"/>
                              <w:sz w:val="28"/>
                              <w:szCs w:val="28"/>
                            </w:rPr>
                            <w:fldChar w:fldCharType="begin"/>
                          </w:r>
                          <w:r>
                            <w:rPr>
                              <w:rStyle w:val="20"/>
                              <w:rFonts w:ascii="宋体" w:hAnsi="宋体"/>
                              <w:sz w:val="28"/>
                              <w:szCs w:val="28"/>
                            </w:rPr>
                            <w:instrText xml:space="preserve"> PAGE </w:instrText>
                          </w:r>
                          <w:r>
                            <w:rPr>
                              <w:rFonts w:ascii="宋体" w:hAnsi="宋体"/>
                              <w:sz w:val="28"/>
                              <w:szCs w:val="28"/>
                            </w:rPr>
                            <w:fldChar w:fldCharType="separate"/>
                          </w:r>
                          <w:r>
                            <w:rPr>
                              <w:rStyle w:val="20"/>
                              <w:rFonts w:ascii="宋体" w:hAnsi="宋体"/>
                              <w:sz w:val="28"/>
                              <w:szCs w:val="28"/>
                            </w:rPr>
                            <w:t>2</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pStyle w:val="12"/>
                    </w:pPr>
                    <w:r>
                      <w:rPr>
                        <w:rFonts w:ascii="宋体" w:hAnsi="宋体"/>
                        <w:sz w:val="28"/>
                        <w:szCs w:val="28"/>
                      </w:rPr>
                      <w:fldChar w:fldCharType="begin"/>
                    </w:r>
                    <w:r>
                      <w:rPr>
                        <w:rStyle w:val="20"/>
                        <w:rFonts w:ascii="宋体" w:hAnsi="宋体"/>
                        <w:sz w:val="28"/>
                        <w:szCs w:val="28"/>
                      </w:rPr>
                      <w:instrText xml:space="preserve"> PAGE </w:instrText>
                    </w:r>
                    <w:r>
                      <w:rPr>
                        <w:rFonts w:ascii="宋体" w:hAnsi="宋体"/>
                        <w:sz w:val="28"/>
                        <w:szCs w:val="28"/>
                      </w:rPr>
                      <w:fldChar w:fldCharType="separate"/>
                    </w:r>
                    <w:r>
                      <w:rPr>
                        <w:rStyle w:val="20"/>
                        <w:rFonts w:ascii="宋体" w:hAnsi="宋体"/>
                        <w:sz w:val="28"/>
                        <w:szCs w:val="28"/>
                      </w:rPr>
                      <w:t>2</w:t>
                    </w:r>
                    <w:r>
                      <w:rPr>
                        <w:rFonts w:ascii="宋体" w:hAnsi="宋体"/>
                        <w:sz w:val="28"/>
                        <w:szCs w:val="28"/>
                      </w:rPr>
                      <w:fldChar w:fldCharType="end"/>
                    </w:r>
                  </w:p>
                </w:txbxContent>
              </v:textbox>
            </v:shape>
          </w:pict>
        </mc:Fallback>
      </mc:AlternateConten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D5A37"/>
    <w:multiLevelType w:val="singleLevel"/>
    <w:tmpl w:val="892D5A37"/>
    <w:lvl w:ilvl="0" w:tentative="0">
      <w:start w:val="4"/>
      <w:numFmt w:val="decimal"/>
      <w:suff w:val="space"/>
      <w:lvlText w:val="%1."/>
      <w:lvlJc w:val="left"/>
      <w:rPr>
        <w:rFonts w:hint="default" w:ascii="仿宋" w:hAnsi="仿宋" w:eastAsia="仿宋" w:cs="仿宋"/>
      </w:rPr>
    </w:lvl>
  </w:abstractNum>
  <w:abstractNum w:abstractNumId="1">
    <w:nsid w:val="44C50F90"/>
    <w:multiLevelType w:val="multilevel"/>
    <w:tmpl w:val="44C50F90"/>
    <w:lvl w:ilvl="0" w:tentative="0">
      <w:start w:val="1"/>
      <w:numFmt w:val="lowerLetter"/>
      <w:pStyle w:val="3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0"/>
      <w:lvlText w:val="%2)"/>
      <w:lvlJc w:val="left"/>
      <w:pPr>
        <w:tabs>
          <w:tab w:val="left" w:pos="1260"/>
        </w:tabs>
        <w:ind w:left="1259" w:hanging="419"/>
      </w:pPr>
      <w:rPr>
        <w:rFonts w:hint="eastAsia"/>
      </w:rPr>
    </w:lvl>
    <w:lvl w:ilvl="2" w:tentative="0">
      <w:start w:val="1"/>
      <w:numFmt w:val="decimal"/>
      <w:pStyle w:val="3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mFiN2JlZDkwMTZlODk2YWEwYTBjZTExZWVlYzgifQ=="/>
  </w:docVars>
  <w:rsids>
    <w:rsidRoot w:val="00531C0C"/>
    <w:rsid w:val="0000588F"/>
    <w:rsid w:val="000058B0"/>
    <w:rsid w:val="000144FD"/>
    <w:rsid w:val="00023E6B"/>
    <w:rsid w:val="000242D0"/>
    <w:rsid w:val="00025B2C"/>
    <w:rsid w:val="00030164"/>
    <w:rsid w:val="000331E3"/>
    <w:rsid w:val="000433C8"/>
    <w:rsid w:val="00044E5B"/>
    <w:rsid w:val="00050618"/>
    <w:rsid w:val="00054A29"/>
    <w:rsid w:val="0008656B"/>
    <w:rsid w:val="000967C6"/>
    <w:rsid w:val="000A0815"/>
    <w:rsid w:val="000C170F"/>
    <w:rsid w:val="000C715E"/>
    <w:rsid w:val="000D4E2F"/>
    <w:rsid w:val="000E5B87"/>
    <w:rsid w:val="000F1362"/>
    <w:rsid w:val="000F1DC7"/>
    <w:rsid w:val="001109FC"/>
    <w:rsid w:val="00115061"/>
    <w:rsid w:val="00121E68"/>
    <w:rsid w:val="00125592"/>
    <w:rsid w:val="00125FA5"/>
    <w:rsid w:val="00132880"/>
    <w:rsid w:val="00136D5C"/>
    <w:rsid w:val="00137F48"/>
    <w:rsid w:val="00144643"/>
    <w:rsid w:val="00144D4F"/>
    <w:rsid w:val="001553E5"/>
    <w:rsid w:val="00166AC1"/>
    <w:rsid w:val="00167374"/>
    <w:rsid w:val="00174712"/>
    <w:rsid w:val="00180E25"/>
    <w:rsid w:val="00186F0B"/>
    <w:rsid w:val="00196AEE"/>
    <w:rsid w:val="001A00D4"/>
    <w:rsid w:val="001A4A47"/>
    <w:rsid w:val="001B015F"/>
    <w:rsid w:val="001B29C0"/>
    <w:rsid w:val="001B621D"/>
    <w:rsid w:val="001B6C6F"/>
    <w:rsid w:val="001D1BB3"/>
    <w:rsid w:val="001F4B84"/>
    <w:rsid w:val="0020612D"/>
    <w:rsid w:val="00206B57"/>
    <w:rsid w:val="002128CA"/>
    <w:rsid w:val="002132B2"/>
    <w:rsid w:val="002177C9"/>
    <w:rsid w:val="002273AF"/>
    <w:rsid w:val="002274C2"/>
    <w:rsid w:val="0022796E"/>
    <w:rsid w:val="0023371F"/>
    <w:rsid w:val="002427D8"/>
    <w:rsid w:val="00256A2D"/>
    <w:rsid w:val="00262DD4"/>
    <w:rsid w:val="00263EB8"/>
    <w:rsid w:val="0026601C"/>
    <w:rsid w:val="00266543"/>
    <w:rsid w:val="00270C8B"/>
    <w:rsid w:val="002713D0"/>
    <w:rsid w:val="00280AAB"/>
    <w:rsid w:val="002816B9"/>
    <w:rsid w:val="0029573C"/>
    <w:rsid w:val="002A3324"/>
    <w:rsid w:val="002B1803"/>
    <w:rsid w:val="002C190A"/>
    <w:rsid w:val="002C339C"/>
    <w:rsid w:val="002C5C9E"/>
    <w:rsid w:val="002C5CA3"/>
    <w:rsid w:val="002D33D5"/>
    <w:rsid w:val="002F229E"/>
    <w:rsid w:val="003019A2"/>
    <w:rsid w:val="0030775D"/>
    <w:rsid w:val="003137AD"/>
    <w:rsid w:val="003157F6"/>
    <w:rsid w:val="00325652"/>
    <w:rsid w:val="0032655C"/>
    <w:rsid w:val="00344336"/>
    <w:rsid w:val="0034473D"/>
    <w:rsid w:val="00353B8F"/>
    <w:rsid w:val="003605E2"/>
    <w:rsid w:val="00362A7B"/>
    <w:rsid w:val="003643B1"/>
    <w:rsid w:val="00367558"/>
    <w:rsid w:val="00370CD2"/>
    <w:rsid w:val="003849D6"/>
    <w:rsid w:val="00391665"/>
    <w:rsid w:val="00395A49"/>
    <w:rsid w:val="00396626"/>
    <w:rsid w:val="003B1418"/>
    <w:rsid w:val="003B3365"/>
    <w:rsid w:val="003B3E9C"/>
    <w:rsid w:val="003D1B77"/>
    <w:rsid w:val="003E11BD"/>
    <w:rsid w:val="003E11D8"/>
    <w:rsid w:val="003E1C7D"/>
    <w:rsid w:val="003E4DF5"/>
    <w:rsid w:val="003F1FD0"/>
    <w:rsid w:val="003F4289"/>
    <w:rsid w:val="0040442F"/>
    <w:rsid w:val="00414A02"/>
    <w:rsid w:val="00421843"/>
    <w:rsid w:val="00424408"/>
    <w:rsid w:val="004259BC"/>
    <w:rsid w:val="00425EA4"/>
    <w:rsid w:val="00431BCB"/>
    <w:rsid w:val="00432431"/>
    <w:rsid w:val="0044373C"/>
    <w:rsid w:val="00445C7F"/>
    <w:rsid w:val="00453B79"/>
    <w:rsid w:val="00455762"/>
    <w:rsid w:val="004573B7"/>
    <w:rsid w:val="0046506D"/>
    <w:rsid w:val="00477C0A"/>
    <w:rsid w:val="0048665A"/>
    <w:rsid w:val="00495103"/>
    <w:rsid w:val="004A3D1C"/>
    <w:rsid w:val="004A4624"/>
    <w:rsid w:val="004B5A63"/>
    <w:rsid w:val="004C09C5"/>
    <w:rsid w:val="004C2668"/>
    <w:rsid w:val="004C35FE"/>
    <w:rsid w:val="004D4536"/>
    <w:rsid w:val="004E00D9"/>
    <w:rsid w:val="004E0B9D"/>
    <w:rsid w:val="004E7782"/>
    <w:rsid w:val="004F77F3"/>
    <w:rsid w:val="004F78F8"/>
    <w:rsid w:val="00502A2A"/>
    <w:rsid w:val="005037F4"/>
    <w:rsid w:val="00520C88"/>
    <w:rsid w:val="005227AB"/>
    <w:rsid w:val="005228CE"/>
    <w:rsid w:val="0053184D"/>
    <w:rsid w:val="00531C0C"/>
    <w:rsid w:val="00536B90"/>
    <w:rsid w:val="005438D8"/>
    <w:rsid w:val="00552320"/>
    <w:rsid w:val="0055348F"/>
    <w:rsid w:val="00563644"/>
    <w:rsid w:val="00563CDE"/>
    <w:rsid w:val="00576349"/>
    <w:rsid w:val="0059572A"/>
    <w:rsid w:val="005A4F31"/>
    <w:rsid w:val="005A6C37"/>
    <w:rsid w:val="005A7B12"/>
    <w:rsid w:val="005C3E15"/>
    <w:rsid w:val="005D00F5"/>
    <w:rsid w:val="005E17FE"/>
    <w:rsid w:val="005E26CC"/>
    <w:rsid w:val="005E2921"/>
    <w:rsid w:val="005E6F54"/>
    <w:rsid w:val="005F4A32"/>
    <w:rsid w:val="006014FA"/>
    <w:rsid w:val="0060410A"/>
    <w:rsid w:val="00604C7C"/>
    <w:rsid w:val="00606551"/>
    <w:rsid w:val="0061281A"/>
    <w:rsid w:val="00614868"/>
    <w:rsid w:val="00637259"/>
    <w:rsid w:val="00646298"/>
    <w:rsid w:val="006505E4"/>
    <w:rsid w:val="0065484F"/>
    <w:rsid w:val="0068425B"/>
    <w:rsid w:val="0068772A"/>
    <w:rsid w:val="00691C7F"/>
    <w:rsid w:val="00695789"/>
    <w:rsid w:val="006A49A9"/>
    <w:rsid w:val="006B0940"/>
    <w:rsid w:val="006B3720"/>
    <w:rsid w:val="006C1C0D"/>
    <w:rsid w:val="006C2377"/>
    <w:rsid w:val="006C5EFA"/>
    <w:rsid w:val="006C665D"/>
    <w:rsid w:val="006C718C"/>
    <w:rsid w:val="006D2A42"/>
    <w:rsid w:val="006E444F"/>
    <w:rsid w:val="006F4E25"/>
    <w:rsid w:val="006F5F35"/>
    <w:rsid w:val="00700DD7"/>
    <w:rsid w:val="00706850"/>
    <w:rsid w:val="00707D72"/>
    <w:rsid w:val="00710080"/>
    <w:rsid w:val="00713F90"/>
    <w:rsid w:val="00721E52"/>
    <w:rsid w:val="00724734"/>
    <w:rsid w:val="007301DC"/>
    <w:rsid w:val="00731473"/>
    <w:rsid w:val="007334E3"/>
    <w:rsid w:val="00735381"/>
    <w:rsid w:val="00737C8A"/>
    <w:rsid w:val="007405DF"/>
    <w:rsid w:val="0074077E"/>
    <w:rsid w:val="00741474"/>
    <w:rsid w:val="00753B41"/>
    <w:rsid w:val="00757009"/>
    <w:rsid w:val="00770A9F"/>
    <w:rsid w:val="00771579"/>
    <w:rsid w:val="00784F8B"/>
    <w:rsid w:val="00787F1F"/>
    <w:rsid w:val="00790A09"/>
    <w:rsid w:val="00793AAA"/>
    <w:rsid w:val="0079691B"/>
    <w:rsid w:val="007A1705"/>
    <w:rsid w:val="007A482F"/>
    <w:rsid w:val="007A65B8"/>
    <w:rsid w:val="007B373B"/>
    <w:rsid w:val="007D54B3"/>
    <w:rsid w:val="007D637E"/>
    <w:rsid w:val="007E7DAE"/>
    <w:rsid w:val="008008C2"/>
    <w:rsid w:val="0080446C"/>
    <w:rsid w:val="00814D8D"/>
    <w:rsid w:val="00817F52"/>
    <w:rsid w:val="0082078A"/>
    <w:rsid w:val="00820A2F"/>
    <w:rsid w:val="00822C4D"/>
    <w:rsid w:val="008407D2"/>
    <w:rsid w:val="00846CA8"/>
    <w:rsid w:val="008533D9"/>
    <w:rsid w:val="00870E08"/>
    <w:rsid w:val="0087115E"/>
    <w:rsid w:val="00874798"/>
    <w:rsid w:val="00886BC6"/>
    <w:rsid w:val="00886D78"/>
    <w:rsid w:val="0089237E"/>
    <w:rsid w:val="00894637"/>
    <w:rsid w:val="0089681D"/>
    <w:rsid w:val="008A3B2E"/>
    <w:rsid w:val="008A522C"/>
    <w:rsid w:val="008A61C9"/>
    <w:rsid w:val="008A6706"/>
    <w:rsid w:val="008B43AB"/>
    <w:rsid w:val="008B5832"/>
    <w:rsid w:val="008C523B"/>
    <w:rsid w:val="008C52B4"/>
    <w:rsid w:val="008C79C6"/>
    <w:rsid w:val="008E2555"/>
    <w:rsid w:val="008F0A8F"/>
    <w:rsid w:val="0090007B"/>
    <w:rsid w:val="009011BA"/>
    <w:rsid w:val="00901894"/>
    <w:rsid w:val="00904ED0"/>
    <w:rsid w:val="009103F5"/>
    <w:rsid w:val="00911F76"/>
    <w:rsid w:val="0092433D"/>
    <w:rsid w:val="009323BF"/>
    <w:rsid w:val="009371D0"/>
    <w:rsid w:val="009456AE"/>
    <w:rsid w:val="009460D9"/>
    <w:rsid w:val="00947EF5"/>
    <w:rsid w:val="00962E02"/>
    <w:rsid w:val="0096350C"/>
    <w:rsid w:val="009718BE"/>
    <w:rsid w:val="00971F5D"/>
    <w:rsid w:val="0097679C"/>
    <w:rsid w:val="0098647F"/>
    <w:rsid w:val="009868A0"/>
    <w:rsid w:val="00986AA8"/>
    <w:rsid w:val="009917C0"/>
    <w:rsid w:val="00995E5B"/>
    <w:rsid w:val="009A0619"/>
    <w:rsid w:val="009A1F71"/>
    <w:rsid w:val="009A295B"/>
    <w:rsid w:val="009B38B8"/>
    <w:rsid w:val="009B6BC2"/>
    <w:rsid w:val="009C4E9B"/>
    <w:rsid w:val="009D3A56"/>
    <w:rsid w:val="009D5415"/>
    <w:rsid w:val="009E0785"/>
    <w:rsid w:val="009E50B4"/>
    <w:rsid w:val="009E6E93"/>
    <w:rsid w:val="00A00D9A"/>
    <w:rsid w:val="00A03CBB"/>
    <w:rsid w:val="00A05EE5"/>
    <w:rsid w:val="00A20C4D"/>
    <w:rsid w:val="00A25EF8"/>
    <w:rsid w:val="00A3191A"/>
    <w:rsid w:val="00A32F1A"/>
    <w:rsid w:val="00A41946"/>
    <w:rsid w:val="00A507E2"/>
    <w:rsid w:val="00A614DF"/>
    <w:rsid w:val="00A73F37"/>
    <w:rsid w:val="00A775B6"/>
    <w:rsid w:val="00A84AAC"/>
    <w:rsid w:val="00A8695A"/>
    <w:rsid w:val="00A94F9B"/>
    <w:rsid w:val="00AA4291"/>
    <w:rsid w:val="00AA68DC"/>
    <w:rsid w:val="00AA6EA6"/>
    <w:rsid w:val="00AB0FEE"/>
    <w:rsid w:val="00AB13C9"/>
    <w:rsid w:val="00AB3600"/>
    <w:rsid w:val="00AC3BE9"/>
    <w:rsid w:val="00AD067B"/>
    <w:rsid w:val="00AD4D89"/>
    <w:rsid w:val="00AE01B8"/>
    <w:rsid w:val="00AE21E7"/>
    <w:rsid w:val="00AE7020"/>
    <w:rsid w:val="00AF5F17"/>
    <w:rsid w:val="00AF738C"/>
    <w:rsid w:val="00B0353C"/>
    <w:rsid w:val="00B064A3"/>
    <w:rsid w:val="00B1083C"/>
    <w:rsid w:val="00B10D00"/>
    <w:rsid w:val="00B23168"/>
    <w:rsid w:val="00B2799C"/>
    <w:rsid w:val="00B27FE8"/>
    <w:rsid w:val="00B32FD6"/>
    <w:rsid w:val="00B33281"/>
    <w:rsid w:val="00B55D7C"/>
    <w:rsid w:val="00B60925"/>
    <w:rsid w:val="00B60D37"/>
    <w:rsid w:val="00B61D56"/>
    <w:rsid w:val="00B95688"/>
    <w:rsid w:val="00BA2C3F"/>
    <w:rsid w:val="00BA4D49"/>
    <w:rsid w:val="00BB0D87"/>
    <w:rsid w:val="00BC0617"/>
    <w:rsid w:val="00BC0BDC"/>
    <w:rsid w:val="00BC4A27"/>
    <w:rsid w:val="00BC77F1"/>
    <w:rsid w:val="00BD4D1A"/>
    <w:rsid w:val="00BD620A"/>
    <w:rsid w:val="00BF44CD"/>
    <w:rsid w:val="00C0248A"/>
    <w:rsid w:val="00C03375"/>
    <w:rsid w:val="00C23B75"/>
    <w:rsid w:val="00C44BE3"/>
    <w:rsid w:val="00C45E8B"/>
    <w:rsid w:val="00C47565"/>
    <w:rsid w:val="00C55A1E"/>
    <w:rsid w:val="00C67F8D"/>
    <w:rsid w:val="00C740CD"/>
    <w:rsid w:val="00C80C77"/>
    <w:rsid w:val="00C86C8A"/>
    <w:rsid w:val="00C92862"/>
    <w:rsid w:val="00C97C0F"/>
    <w:rsid w:val="00CA03C0"/>
    <w:rsid w:val="00CA25AC"/>
    <w:rsid w:val="00CA427E"/>
    <w:rsid w:val="00CA46A7"/>
    <w:rsid w:val="00CB0B01"/>
    <w:rsid w:val="00CD49F4"/>
    <w:rsid w:val="00CD5349"/>
    <w:rsid w:val="00CF2682"/>
    <w:rsid w:val="00D07D2D"/>
    <w:rsid w:val="00D11D65"/>
    <w:rsid w:val="00D200F9"/>
    <w:rsid w:val="00D23242"/>
    <w:rsid w:val="00D23926"/>
    <w:rsid w:val="00D2719F"/>
    <w:rsid w:val="00D2732A"/>
    <w:rsid w:val="00D273ED"/>
    <w:rsid w:val="00D37CE7"/>
    <w:rsid w:val="00D42AD3"/>
    <w:rsid w:val="00D4492B"/>
    <w:rsid w:val="00D55487"/>
    <w:rsid w:val="00D57C32"/>
    <w:rsid w:val="00D602D5"/>
    <w:rsid w:val="00D67D32"/>
    <w:rsid w:val="00D836E9"/>
    <w:rsid w:val="00DA12C0"/>
    <w:rsid w:val="00DA7B95"/>
    <w:rsid w:val="00DB3EA2"/>
    <w:rsid w:val="00DB67D1"/>
    <w:rsid w:val="00DB7D2A"/>
    <w:rsid w:val="00DC2A8F"/>
    <w:rsid w:val="00DD4D45"/>
    <w:rsid w:val="00DD502E"/>
    <w:rsid w:val="00DD7793"/>
    <w:rsid w:val="00DE1015"/>
    <w:rsid w:val="00DE5A9A"/>
    <w:rsid w:val="00DF0477"/>
    <w:rsid w:val="00DF1F73"/>
    <w:rsid w:val="00E00F55"/>
    <w:rsid w:val="00E01293"/>
    <w:rsid w:val="00E03591"/>
    <w:rsid w:val="00E06DDB"/>
    <w:rsid w:val="00E073BB"/>
    <w:rsid w:val="00E108A5"/>
    <w:rsid w:val="00E1382C"/>
    <w:rsid w:val="00E33BE9"/>
    <w:rsid w:val="00E47334"/>
    <w:rsid w:val="00E52670"/>
    <w:rsid w:val="00E76E38"/>
    <w:rsid w:val="00E77472"/>
    <w:rsid w:val="00E851E8"/>
    <w:rsid w:val="00E9695C"/>
    <w:rsid w:val="00EA1CBA"/>
    <w:rsid w:val="00EA7B03"/>
    <w:rsid w:val="00EB3E2C"/>
    <w:rsid w:val="00EB6444"/>
    <w:rsid w:val="00EC2305"/>
    <w:rsid w:val="00EC7304"/>
    <w:rsid w:val="00ED003B"/>
    <w:rsid w:val="00ED0444"/>
    <w:rsid w:val="00EE1998"/>
    <w:rsid w:val="00EE3013"/>
    <w:rsid w:val="00EF0CFB"/>
    <w:rsid w:val="00EF0D9E"/>
    <w:rsid w:val="00EF56CD"/>
    <w:rsid w:val="00EF68AF"/>
    <w:rsid w:val="00F03AA1"/>
    <w:rsid w:val="00F040E7"/>
    <w:rsid w:val="00F153ED"/>
    <w:rsid w:val="00F1643A"/>
    <w:rsid w:val="00F164A5"/>
    <w:rsid w:val="00F22C3E"/>
    <w:rsid w:val="00F2348E"/>
    <w:rsid w:val="00F3303A"/>
    <w:rsid w:val="00F3358A"/>
    <w:rsid w:val="00F52ACC"/>
    <w:rsid w:val="00F613F2"/>
    <w:rsid w:val="00F6140B"/>
    <w:rsid w:val="00F623BA"/>
    <w:rsid w:val="00F636DE"/>
    <w:rsid w:val="00F650F3"/>
    <w:rsid w:val="00F67A07"/>
    <w:rsid w:val="00F7756F"/>
    <w:rsid w:val="00F877E4"/>
    <w:rsid w:val="00F92DD5"/>
    <w:rsid w:val="00F94760"/>
    <w:rsid w:val="00FA7B6D"/>
    <w:rsid w:val="00FB5E2A"/>
    <w:rsid w:val="00FB7427"/>
    <w:rsid w:val="00FC46C1"/>
    <w:rsid w:val="00FD052F"/>
    <w:rsid w:val="00FD0772"/>
    <w:rsid w:val="00FE2812"/>
    <w:rsid w:val="00FE434E"/>
    <w:rsid w:val="00FE5587"/>
    <w:rsid w:val="00FF35F4"/>
    <w:rsid w:val="00FF3FE8"/>
    <w:rsid w:val="01BF5575"/>
    <w:rsid w:val="023D413A"/>
    <w:rsid w:val="025F3622"/>
    <w:rsid w:val="029403CC"/>
    <w:rsid w:val="04587CAC"/>
    <w:rsid w:val="052D6418"/>
    <w:rsid w:val="064F5BE9"/>
    <w:rsid w:val="06A44D39"/>
    <w:rsid w:val="06C00421"/>
    <w:rsid w:val="07372051"/>
    <w:rsid w:val="07C615F4"/>
    <w:rsid w:val="084E23FB"/>
    <w:rsid w:val="08AB6116"/>
    <w:rsid w:val="08E43623"/>
    <w:rsid w:val="08EA2FAE"/>
    <w:rsid w:val="090B10A0"/>
    <w:rsid w:val="0983332C"/>
    <w:rsid w:val="0A590C06"/>
    <w:rsid w:val="0A6B6475"/>
    <w:rsid w:val="0A964630"/>
    <w:rsid w:val="0B7A44F0"/>
    <w:rsid w:val="0B8D3582"/>
    <w:rsid w:val="0C726F82"/>
    <w:rsid w:val="0E317172"/>
    <w:rsid w:val="0EE5457E"/>
    <w:rsid w:val="0F0F53C2"/>
    <w:rsid w:val="0F657DB6"/>
    <w:rsid w:val="0FE8213B"/>
    <w:rsid w:val="118C2F9A"/>
    <w:rsid w:val="11EE7D79"/>
    <w:rsid w:val="12A35638"/>
    <w:rsid w:val="131F396E"/>
    <w:rsid w:val="13813074"/>
    <w:rsid w:val="13BA15EE"/>
    <w:rsid w:val="143D67CD"/>
    <w:rsid w:val="14C10B1B"/>
    <w:rsid w:val="15596AE8"/>
    <w:rsid w:val="159643E7"/>
    <w:rsid w:val="16184950"/>
    <w:rsid w:val="1623517C"/>
    <w:rsid w:val="162B22EC"/>
    <w:rsid w:val="16976668"/>
    <w:rsid w:val="16A3780E"/>
    <w:rsid w:val="16B1384A"/>
    <w:rsid w:val="16B72867"/>
    <w:rsid w:val="173F6931"/>
    <w:rsid w:val="17567A30"/>
    <w:rsid w:val="17906E7A"/>
    <w:rsid w:val="184F676E"/>
    <w:rsid w:val="18C565F4"/>
    <w:rsid w:val="1A824F3A"/>
    <w:rsid w:val="1AE37DAC"/>
    <w:rsid w:val="1B175DA5"/>
    <w:rsid w:val="1B307056"/>
    <w:rsid w:val="1B5C096F"/>
    <w:rsid w:val="1B651365"/>
    <w:rsid w:val="1C461BF2"/>
    <w:rsid w:val="1C7162B9"/>
    <w:rsid w:val="1C8042B1"/>
    <w:rsid w:val="1C91006E"/>
    <w:rsid w:val="1C985225"/>
    <w:rsid w:val="1D423EA6"/>
    <w:rsid w:val="1ED43525"/>
    <w:rsid w:val="1FC04427"/>
    <w:rsid w:val="203565E4"/>
    <w:rsid w:val="20364066"/>
    <w:rsid w:val="21756F70"/>
    <w:rsid w:val="2251345B"/>
    <w:rsid w:val="22A763E9"/>
    <w:rsid w:val="22E52EF1"/>
    <w:rsid w:val="23693F28"/>
    <w:rsid w:val="23A21B04"/>
    <w:rsid w:val="23CB04AC"/>
    <w:rsid w:val="241317D3"/>
    <w:rsid w:val="245060A9"/>
    <w:rsid w:val="25BC7AF0"/>
    <w:rsid w:val="25CC3712"/>
    <w:rsid w:val="26210C1E"/>
    <w:rsid w:val="26763002"/>
    <w:rsid w:val="270218DC"/>
    <w:rsid w:val="27D74B93"/>
    <w:rsid w:val="28701767"/>
    <w:rsid w:val="28C4604D"/>
    <w:rsid w:val="2A571F3F"/>
    <w:rsid w:val="2A9F19FC"/>
    <w:rsid w:val="2AC718BC"/>
    <w:rsid w:val="2ACE6CC8"/>
    <w:rsid w:val="2AFC4314"/>
    <w:rsid w:val="2B7803BF"/>
    <w:rsid w:val="2C045F2B"/>
    <w:rsid w:val="2CBE62A5"/>
    <w:rsid w:val="2D69660C"/>
    <w:rsid w:val="2DE822C7"/>
    <w:rsid w:val="2DF14458"/>
    <w:rsid w:val="2E7035CF"/>
    <w:rsid w:val="2EC90B52"/>
    <w:rsid w:val="2F177EEF"/>
    <w:rsid w:val="2FB957AC"/>
    <w:rsid w:val="2FF94070"/>
    <w:rsid w:val="3021556D"/>
    <w:rsid w:val="303F10BB"/>
    <w:rsid w:val="303F4335"/>
    <w:rsid w:val="307D563F"/>
    <w:rsid w:val="30DB0517"/>
    <w:rsid w:val="311A3CC6"/>
    <w:rsid w:val="314C0871"/>
    <w:rsid w:val="315B7806"/>
    <w:rsid w:val="31BD65A6"/>
    <w:rsid w:val="31EC5663"/>
    <w:rsid w:val="3284402B"/>
    <w:rsid w:val="32D1066D"/>
    <w:rsid w:val="33026C3D"/>
    <w:rsid w:val="344D3E46"/>
    <w:rsid w:val="34D523DE"/>
    <w:rsid w:val="359600FD"/>
    <w:rsid w:val="359D7886"/>
    <w:rsid w:val="35C10D3F"/>
    <w:rsid w:val="361E4451"/>
    <w:rsid w:val="36845ED7"/>
    <w:rsid w:val="37ED62E4"/>
    <w:rsid w:val="38037FF5"/>
    <w:rsid w:val="384F7094"/>
    <w:rsid w:val="397818BF"/>
    <w:rsid w:val="39A502CF"/>
    <w:rsid w:val="3AC7657F"/>
    <w:rsid w:val="3B70292B"/>
    <w:rsid w:val="3B9115E0"/>
    <w:rsid w:val="3B957E4D"/>
    <w:rsid w:val="3CED2681"/>
    <w:rsid w:val="3D6B2BB0"/>
    <w:rsid w:val="3DBB49AB"/>
    <w:rsid w:val="3E1768EB"/>
    <w:rsid w:val="3EA00DCD"/>
    <w:rsid w:val="3F161450"/>
    <w:rsid w:val="3F280C65"/>
    <w:rsid w:val="40491ED2"/>
    <w:rsid w:val="4086576B"/>
    <w:rsid w:val="41C21F3C"/>
    <w:rsid w:val="42E1096F"/>
    <w:rsid w:val="42E377C8"/>
    <w:rsid w:val="438E0F66"/>
    <w:rsid w:val="43AE0196"/>
    <w:rsid w:val="44E65F41"/>
    <w:rsid w:val="45A4720A"/>
    <w:rsid w:val="45F83F3A"/>
    <w:rsid w:val="46B53D11"/>
    <w:rsid w:val="478D5837"/>
    <w:rsid w:val="48185B57"/>
    <w:rsid w:val="48361D7D"/>
    <w:rsid w:val="49190F7D"/>
    <w:rsid w:val="49EF575D"/>
    <w:rsid w:val="4AC5484B"/>
    <w:rsid w:val="4B364058"/>
    <w:rsid w:val="4B647C0A"/>
    <w:rsid w:val="4C8F75F7"/>
    <w:rsid w:val="4C96649F"/>
    <w:rsid w:val="4CE20FB3"/>
    <w:rsid w:val="4D276224"/>
    <w:rsid w:val="4D4912AD"/>
    <w:rsid w:val="4E3715AA"/>
    <w:rsid w:val="4ECE3FD6"/>
    <w:rsid w:val="4F531CB1"/>
    <w:rsid w:val="5019541D"/>
    <w:rsid w:val="50CE5B0C"/>
    <w:rsid w:val="51D51818"/>
    <w:rsid w:val="51EF2A8A"/>
    <w:rsid w:val="52903A6C"/>
    <w:rsid w:val="52ED4D9B"/>
    <w:rsid w:val="5331200C"/>
    <w:rsid w:val="53C931D6"/>
    <w:rsid w:val="55396B5E"/>
    <w:rsid w:val="558A0B6B"/>
    <w:rsid w:val="559D6D26"/>
    <w:rsid w:val="561861CC"/>
    <w:rsid w:val="56CD0D0F"/>
    <w:rsid w:val="571F7091"/>
    <w:rsid w:val="582312A1"/>
    <w:rsid w:val="586D09FC"/>
    <w:rsid w:val="58C3061C"/>
    <w:rsid w:val="58C919AA"/>
    <w:rsid w:val="593B4656"/>
    <w:rsid w:val="59D406F4"/>
    <w:rsid w:val="5A1002BF"/>
    <w:rsid w:val="5A107565"/>
    <w:rsid w:val="5AB47BDF"/>
    <w:rsid w:val="5AD05E8B"/>
    <w:rsid w:val="5B57329D"/>
    <w:rsid w:val="5BAB1071"/>
    <w:rsid w:val="5DD30F32"/>
    <w:rsid w:val="5E1075E1"/>
    <w:rsid w:val="5EED441F"/>
    <w:rsid w:val="5F6D12E1"/>
    <w:rsid w:val="5FAE5D89"/>
    <w:rsid w:val="60654232"/>
    <w:rsid w:val="612D2A98"/>
    <w:rsid w:val="62AB5051"/>
    <w:rsid w:val="633A0E7E"/>
    <w:rsid w:val="634001E3"/>
    <w:rsid w:val="637B25C6"/>
    <w:rsid w:val="63B23767"/>
    <w:rsid w:val="64C03B57"/>
    <w:rsid w:val="656E7B61"/>
    <w:rsid w:val="65930958"/>
    <w:rsid w:val="660F2580"/>
    <w:rsid w:val="66B45A48"/>
    <w:rsid w:val="67073DC9"/>
    <w:rsid w:val="67AE7ABC"/>
    <w:rsid w:val="67DC3DF5"/>
    <w:rsid w:val="68230DBA"/>
    <w:rsid w:val="685E3EBD"/>
    <w:rsid w:val="68EB246C"/>
    <w:rsid w:val="68F80873"/>
    <w:rsid w:val="69713522"/>
    <w:rsid w:val="699E62DA"/>
    <w:rsid w:val="6A5271B1"/>
    <w:rsid w:val="6A5A6906"/>
    <w:rsid w:val="6ACA0B85"/>
    <w:rsid w:val="6B421874"/>
    <w:rsid w:val="6B8A58F2"/>
    <w:rsid w:val="6BF863D7"/>
    <w:rsid w:val="6C3F65A7"/>
    <w:rsid w:val="6C706D77"/>
    <w:rsid w:val="6CC61D04"/>
    <w:rsid w:val="6CD9769F"/>
    <w:rsid w:val="6D323B6A"/>
    <w:rsid w:val="6D4B5C69"/>
    <w:rsid w:val="6DE35727"/>
    <w:rsid w:val="6E087D91"/>
    <w:rsid w:val="6E7064BC"/>
    <w:rsid w:val="6FE76489"/>
    <w:rsid w:val="703B4707"/>
    <w:rsid w:val="71664F15"/>
    <w:rsid w:val="71F52906"/>
    <w:rsid w:val="7254291F"/>
    <w:rsid w:val="725C56F1"/>
    <w:rsid w:val="72F96CB0"/>
    <w:rsid w:val="731C6E4F"/>
    <w:rsid w:val="731D55AB"/>
    <w:rsid w:val="735A508A"/>
    <w:rsid w:val="73E05929"/>
    <w:rsid w:val="73E13BF4"/>
    <w:rsid w:val="73E51CA8"/>
    <w:rsid w:val="73FE6554"/>
    <w:rsid w:val="74445543"/>
    <w:rsid w:val="754D1541"/>
    <w:rsid w:val="754E3901"/>
    <w:rsid w:val="756D41B6"/>
    <w:rsid w:val="75701C77"/>
    <w:rsid w:val="758D193E"/>
    <w:rsid w:val="76F6156C"/>
    <w:rsid w:val="779626B0"/>
    <w:rsid w:val="7862510D"/>
    <w:rsid w:val="78A932D8"/>
    <w:rsid w:val="78C80EDF"/>
    <w:rsid w:val="78D930EC"/>
    <w:rsid w:val="79144C25"/>
    <w:rsid w:val="7994740B"/>
    <w:rsid w:val="79B461BB"/>
    <w:rsid w:val="79B962F1"/>
    <w:rsid w:val="7A6A0319"/>
    <w:rsid w:val="7ABE4C8F"/>
    <w:rsid w:val="7ACC7501"/>
    <w:rsid w:val="7B0802A5"/>
    <w:rsid w:val="7B4F6276"/>
    <w:rsid w:val="7D013F44"/>
    <w:rsid w:val="7DA1191A"/>
    <w:rsid w:val="7DD81985"/>
    <w:rsid w:val="7E503DD2"/>
    <w:rsid w:val="7E7A4C36"/>
    <w:rsid w:val="7EE07FF6"/>
    <w:rsid w:val="7EF312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仿宋" w:hAnsi="仿宋" w:eastAsia="仿宋" w:cs="仿宋"/>
      <w:kern w:val="2"/>
      <w:sz w:val="32"/>
      <w:szCs w:val="24"/>
      <w:lang w:val="en-US" w:eastAsia="zh-CN" w:bidi="ar-SA"/>
    </w:rPr>
  </w:style>
  <w:style w:type="paragraph" w:styleId="4">
    <w:name w:val="heading 1"/>
    <w:basedOn w:val="1"/>
    <w:next w:val="1"/>
    <w:qFormat/>
    <w:uiPriority w:val="0"/>
    <w:pPr>
      <w:ind w:firstLine="883" w:firstLineChars="200"/>
      <w:outlineLvl w:val="0"/>
    </w:pPr>
    <w:rPr>
      <w:rFonts w:eastAsia="黑体"/>
      <w:b/>
      <w:bCs/>
      <w:szCs w:val="44"/>
    </w:rPr>
  </w:style>
  <w:style w:type="paragraph" w:styleId="5">
    <w:name w:val="heading 2"/>
    <w:basedOn w:val="1"/>
    <w:next w:val="1"/>
    <w:link w:val="23"/>
    <w:qFormat/>
    <w:uiPriority w:val="0"/>
    <w:pPr>
      <w:keepNext/>
      <w:keepLines/>
      <w:spacing w:line="360" w:lineRule="auto"/>
      <w:ind w:firstLine="883" w:firstLineChars="200"/>
      <w:outlineLvl w:val="1"/>
    </w:pPr>
    <w:rPr>
      <w:rFonts w:ascii="仿宋" w:hAnsi="仿宋" w:cs="仿宋"/>
      <w:b/>
      <w:bCs/>
      <w:szCs w:val="32"/>
    </w:rPr>
  </w:style>
  <w:style w:type="paragraph" w:styleId="6">
    <w:name w:val="heading 3"/>
    <w:basedOn w:val="1"/>
    <w:next w:val="1"/>
    <w:unhideWhenUsed/>
    <w:qFormat/>
    <w:uiPriority w:val="0"/>
    <w:pPr>
      <w:keepNext/>
      <w:keepLines/>
      <w:spacing w:beforeLines="0" w:beforeAutospacing="0" w:afterLines="0" w:afterAutospacing="0" w:line="360" w:lineRule="auto"/>
      <w:outlineLvl w:val="2"/>
    </w:pPr>
    <w:rPr>
      <w:rFonts w:ascii="仿宋" w:hAnsi="仿宋" w:cs="仿宋"/>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widowControl/>
      <w:spacing w:beforeAutospacing="1" w:afterAutospacing="1" w:line="240" w:lineRule="auto"/>
      <w:ind w:firstLine="0" w:firstLineChars="0"/>
    </w:pPr>
    <w:rPr>
      <w:rFonts w:ascii="宋体" w:hAnsi="宋体" w:eastAsia="仿宋"/>
      <w:kern w:val="0"/>
      <w:sz w:val="28"/>
    </w:rPr>
  </w:style>
  <w:style w:type="paragraph" w:styleId="7">
    <w:name w:val="Document Map"/>
    <w:basedOn w:val="1"/>
    <w:semiHidden/>
    <w:qFormat/>
    <w:uiPriority w:val="0"/>
    <w:pPr>
      <w:shd w:val="clear" w:color="auto" w:fill="000080"/>
    </w:pPr>
  </w:style>
  <w:style w:type="paragraph" w:styleId="8">
    <w:name w:val="annotation text"/>
    <w:basedOn w:val="1"/>
    <w:qFormat/>
    <w:uiPriority w:val="0"/>
    <w:pPr>
      <w:jc w:val="left"/>
    </w:pPr>
  </w:style>
  <w:style w:type="paragraph" w:styleId="9">
    <w:name w:val="Body Text Indent"/>
    <w:basedOn w:val="1"/>
    <w:qFormat/>
    <w:uiPriority w:val="0"/>
    <w:pPr>
      <w:spacing w:line="540" w:lineRule="exact"/>
      <w:ind w:firstLine="646"/>
    </w:pPr>
    <w:rPr>
      <w:rFonts w:ascii="宋体" w:hAnsi="宋体"/>
      <w:sz w:val="32"/>
    </w:rPr>
  </w:style>
  <w:style w:type="paragraph" w:styleId="10">
    <w:name w:val="Date"/>
    <w:basedOn w:val="1"/>
    <w:next w:val="1"/>
    <w:qFormat/>
    <w:uiPriority w:val="0"/>
    <w:pPr>
      <w:ind w:left="100" w:leftChars="2500"/>
    </w:pPr>
    <w:rPr>
      <w:rFonts w:ascii="仿宋_GB2312" w:eastAsia="仿宋_GB2312"/>
      <w:sz w:val="32"/>
    </w:rPr>
  </w:style>
  <w:style w:type="paragraph" w:styleId="11">
    <w:name w:val="Balloon Text"/>
    <w:basedOn w:val="1"/>
    <w:link w:val="25"/>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99"/>
    <w:pPr>
      <w:widowControl/>
      <w:spacing w:line="360" w:lineRule="auto"/>
      <w:ind w:firstLine="0" w:firstLineChars="0"/>
      <w:jc w:val="left"/>
    </w:pPr>
    <w:rPr>
      <w:kern w:val="0"/>
      <w:sz w:val="32"/>
      <w:szCs w:val="21"/>
    </w:rPr>
  </w:style>
  <w:style w:type="paragraph" w:styleId="15">
    <w:name w:val="toc 2"/>
    <w:basedOn w:val="1"/>
    <w:next w:val="1"/>
    <w:qFormat/>
    <w:uiPriority w:val="0"/>
    <w:pPr>
      <w:ind w:left="0" w:leftChars="0" w:firstLine="0" w:firstLineChars="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9">
    <w:name w:val="Strong"/>
    <w:qFormat/>
    <w:uiPriority w:val="0"/>
    <w:rPr>
      <w:b/>
      <w:bCs/>
    </w:rPr>
  </w:style>
  <w:style w:type="character" w:styleId="20">
    <w:name w:val="page number"/>
    <w:basedOn w:val="18"/>
    <w:qFormat/>
    <w:uiPriority w:val="0"/>
  </w:style>
  <w:style w:type="character" w:styleId="21">
    <w:name w:val="Emphasis"/>
    <w:qFormat/>
    <w:uiPriority w:val="0"/>
    <w:rPr>
      <w:i/>
      <w:iCs/>
    </w:rPr>
  </w:style>
  <w:style w:type="character" w:styleId="22">
    <w:name w:val="Hyperlink"/>
    <w:unhideWhenUsed/>
    <w:qFormat/>
    <w:uiPriority w:val="99"/>
    <w:rPr>
      <w:color w:val="0000FF"/>
      <w:u w:val="single"/>
    </w:rPr>
  </w:style>
  <w:style w:type="character" w:customStyle="1" w:styleId="23">
    <w:name w:val="标题 2 Char"/>
    <w:link w:val="5"/>
    <w:qFormat/>
    <w:uiPriority w:val="0"/>
    <w:rPr>
      <w:rFonts w:ascii="仿宋" w:hAnsi="仿宋" w:eastAsia="仿宋" w:cs="仿宋"/>
      <w:b/>
      <w:bCs/>
      <w:kern w:val="2"/>
      <w:sz w:val="32"/>
      <w:szCs w:val="32"/>
    </w:rPr>
  </w:style>
  <w:style w:type="character" w:customStyle="1" w:styleId="24">
    <w:name w:val="font21"/>
    <w:qFormat/>
    <w:uiPriority w:val="99"/>
    <w:rPr>
      <w:rFonts w:ascii="仿宋" w:hAnsi="仿宋" w:eastAsia="仿宋" w:cs="仿宋"/>
      <w:color w:val="000000"/>
      <w:sz w:val="18"/>
      <w:szCs w:val="18"/>
      <w:u w:val="none"/>
    </w:rPr>
  </w:style>
  <w:style w:type="character" w:customStyle="1" w:styleId="25">
    <w:name w:val="批注框文本 Char"/>
    <w:link w:val="11"/>
    <w:qFormat/>
    <w:uiPriority w:val="99"/>
    <w:rPr>
      <w:kern w:val="2"/>
      <w:sz w:val="18"/>
      <w:szCs w:val="18"/>
    </w:rPr>
  </w:style>
  <w:style w:type="character" w:customStyle="1" w:styleId="26">
    <w:name w:val="font01"/>
    <w:qFormat/>
    <w:uiPriority w:val="99"/>
    <w:rPr>
      <w:rFonts w:ascii="宋体" w:hAnsi="宋体" w:eastAsia="宋体" w:cs="宋体"/>
      <w:color w:val="000000"/>
      <w:sz w:val="18"/>
      <w:szCs w:val="18"/>
      <w:u w:val="none"/>
    </w:rPr>
  </w:style>
  <w:style w:type="character" w:customStyle="1" w:styleId="27">
    <w:name w:val="页眉 Char"/>
    <w:link w:val="13"/>
    <w:qFormat/>
    <w:locked/>
    <w:uiPriority w:val="99"/>
    <w:rPr>
      <w:kern w:val="2"/>
      <w:sz w:val="18"/>
      <w:szCs w:val="18"/>
    </w:rPr>
  </w:style>
  <w:style w:type="character" w:customStyle="1" w:styleId="28">
    <w:name w:val="页脚 Char"/>
    <w:link w:val="12"/>
    <w:qFormat/>
    <w:locked/>
    <w:uiPriority w:val="99"/>
    <w:rPr>
      <w:kern w:val="2"/>
      <w:sz w:val="18"/>
      <w:szCs w:val="18"/>
    </w:rPr>
  </w:style>
  <w:style w:type="paragraph" w:customStyle="1" w:styleId="2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0">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31">
    <w:name w:val="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33">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34">
    <w:name w:val="编号列项（三级）"/>
    <w:qFormat/>
    <w:uiPriority w:val="0"/>
    <w:pPr>
      <w:numPr>
        <w:ilvl w:val="2"/>
        <w:numId w:val="1"/>
      </w:numPr>
    </w:pPr>
    <w:rPr>
      <w:rFonts w:ascii="宋体" w:hAnsi="Times New Roman" w:eastAsia="宋体" w:cs="Times New Roman"/>
      <w:sz w:val="21"/>
      <w:lang w:val="en-US" w:eastAsia="zh-CN" w:bidi="ar-SA"/>
    </w:rPr>
  </w:style>
  <w:style w:type="paragraph" w:styleId="35">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管委会办公室</Company>
  <Pages>19</Pages>
  <Words>5376</Words>
  <Characters>5764</Characters>
  <Lines>62</Lines>
  <Paragraphs>17</Paragraphs>
  <TotalTime>16</TotalTime>
  <ScaleCrop>false</ScaleCrop>
  <LinksUpToDate>false</LinksUpToDate>
  <CharactersWithSpaces>5971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2018-06-14T01:43:00Z</dcterms:created>
  <dc:creator>颜冬</dc:creator>
  <cp:lastModifiedBy>德克斯特</cp:lastModifiedBy>
  <cp:lastPrinted>2022-07-29T00:00:00Z</cp:lastPrinted>
  <dcterms:modified xsi:type="dcterms:W3CDTF">2022-08-05T07:55:45Z</dcterms:modified>
  <dc:title>关于二○一一年端午节放假安排的通知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8FE90C2CB46C41F596ED14ABAC6128CE</vt:lpwstr>
  </property>
</Properties>
</file>