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ind w:firstLine="480" w:firstLineChars="200"/>
        <w:rPr>
          <w:rFonts w:ascii="宋体" w:hAnsi="宋体" w:eastAsia="宋体" w:cs="宋体"/>
          <w:sz w:val="24"/>
          <w:szCs w:val="24"/>
        </w:rPr>
      </w:pPr>
      <w:r>
        <w:rPr>
          <w:rFonts w:hint="eastAsia" w:ascii="宋体" w:hAnsi="宋体" w:eastAsia="宋体" w:cs="宋体"/>
          <w:kern w:val="0"/>
          <w:sz w:val="24"/>
          <w:szCs w:val="24"/>
          <w:lang w:val="en-US" w:eastAsia="zh-CN" w:bidi="ar"/>
        </w:rPr>
        <w:t>按照《中华人民共和国政府信息公开条例》、《吉林省人民政府办公厅关于做好政府信息公开年度报告编制发布有关事项的通知》（吉政厅[2021]20号）、《关于做好2021年政府信息公开年度报告编制和发布工作的通知》（长政公组办[2021]36号）等文件要求，并结合审计局全局年初工作计划，现公布九台区审计局2021年度政府信息公开报告。</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一、总体情况</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1</w:t>
      </w:r>
      <w:r>
        <w:rPr>
          <w:rFonts w:hint="eastAsia" w:ascii="宋体" w:hAnsi="宋体" w:eastAsia="宋体" w:cs="宋体"/>
          <w:sz w:val="24"/>
          <w:szCs w:val="24"/>
        </w:rPr>
        <w:t>年我局高度重视政府信息公开工作组织保障，按照全</w:t>
      </w:r>
      <w:r>
        <w:rPr>
          <w:rFonts w:hint="eastAsia" w:ascii="宋体" w:hAnsi="宋体" w:eastAsia="宋体" w:cs="宋体"/>
          <w:sz w:val="24"/>
          <w:szCs w:val="24"/>
          <w:lang w:eastAsia="zh-CN"/>
        </w:rPr>
        <w:t>区</w:t>
      </w:r>
      <w:r>
        <w:rPr>
          <w:rFonts w:hint="eastAsia" w:ascii="宋体" w:hAnsi="宋体" w:eastAsia="宋体" w:cs="宋体"/>
          <w:sz w:val="24"/>
          <w:szCs w:val="24"/>
        </w:rPr>
        <w:t>政府信息公开工作要求，对相关各项工作</w:t>
      </w:r>
      <w:r>
        <w:rPr>
          <w:rFonts w:hint="eastAsia" w:ascii="宋体" w:hAnsi="宋体" w:eastAsia="宋体" w:cs="宋体"/>
          <w:sz w:val="24"/>
          <w:szCs w:val="24"/>
          <w:lang w:eastAsia="zh-CN"/>
        </w:rPr>
        <w:t>做了</w:t>
      </w:r>
      <w:r>
        <w:rPr>
          <w:rFonts w:hint="eastAsia" w:ascii="宋体" w:hAnsi="宋体" w:eastAsia="宋体" w:cs="宋体"/>
          <w:sz w:val="24"/>
          <w:szCs w:val="24"/>
        </w:rPr>
        <w:t>细致部署。</w:t>
      </w:r>
    </w:p>
    <w:p>
      <w:pPr>
        <w:ind w:firstLine="480" w:firstLineChars="200"/>
        <w:rPr>
          <w:rFonts w:hint="eastAsia" w:ascii="宋体" w:hAnsi="宋体" w:eastAsia="宋体" w:cs="宋体"/>
          <w:sz w:val="24"/>
          <w:szCs w:val="24"/>
          <w:lang w:val="en-US" w:eastAsia="zh-CN"/>
        </w:rPr>
      </w:pPr>
      <w:r>
        <w:rPr>
          <w:rFonts w:hint="eastAsia" w:ascii="楷体" w:hAnsi="楷体" w:eastAsia="楷体" w:cs="楷体"/>
          <w:sz w:val="24"/>
          <w:szCs w:val="24"/>
        </w:rPr>
        <w:t>（一）组织推动全省政府信息公开工作。</w:t>
      </w:r>
      <w:r>
        <w:rPr>
          <w:rFonts w:hint="eastAsia" w:ascii="宋体" w:hAnsi="宋体" w:eastAsia="宋体" w:cs="宋体"/>
          <w:sz w:val="24"/>
          <w:szCs w:val="24"/>
          <w:lang w:val="en-US" w:eastAsia="zh-CN"/>
        </w:rPr>
        <w:t xml:space="preserve">2021年，九台区审计局坚持以习近平新时代中国特色社会主义思想为指导，全面贯彻党的十九大和十九届历次全会精神，认真落实上级关于政务公开的决策部署，以深化服务型政府建设为目标，以推进政务公开标准化规范化为抓手，政务公开工作取得新的成效，积极推动全省信息公开工作。 </w:t>
      </w:r>
    </w:p>
    <w:p>
      <w:pPr>
        <w:ind w:firstLine="480" w:firstLineChars="200"/>
        <w:rPr>
          <w:rFonts w:hint="eastAsia" w:ascii="宋体" w:hAnsi="宋体" w:eastAsia="宋体" w:cs="宋体"/>
          <w:sz w:val="24"/>
          <w:szCs w:val="24"/>
          <w:lang w:eastAsia="zh-CN"/>
        </w:rPr>
      </w:pPr>
      <w:r>
        <w:rPr>
          <w:rFonts w:hint="eastAsia" w:ascii="楷体" w:hAnsi="楷体" w:eastAsia="楷体" w:cs="楷体"/>
          <w:sz w:val="24"/>
          <w:szCs w:val="24"/>
        </w:rPr>
        <w:t>（二）积极推动政府信息主动公开。</w:t>
      </w:r>
      <w:r>
        <w:rPr>
          <w:rFonts w:hint="eastAsia" w:ascii="宋体" w:hAnsi="宋体" w:eastAsia="宋体" w:cs="宋体"/>
          <w:sz w:val="24"/>
          <w:szCs w:val="24"/>
          <w:lang w:val="en-US" w:eastAsia="zh-CN"/>
        </w:rPr>
        <w:t>2021年九台区审计局共发布其他法定主动公开信息8条，其中：重大政策措施落实情况跟踪审计4条、2020年部门决算信息1条、2021年部门预算信息1条、2020年政府信息公开年度报告1条、2020年度区本级预算执行和其他财政收支情况的审计工作报告1条，</w:t>
      </w:r>
      <w:r>
        <w:rPr>
          <w:rFonts w:hint="eastAsia" w:ascii="宋体" w:hAnsi="宋体" w:eastAsia="宋体" w:cs="宋体"/>
          <w:sz w:val="24"/>
          <w:szCs w:val="24"/>
          <w:lang w:eastAsia="zh-CN"/>
        </w:rPr>
        <w:t>严格按照区委区政府及政务公开办公室要求完成年度内法定主动公开工作。其中《</w:t>
      </w:r>
      <w:r>
        <w:rPr>
          <w:rFonts w:hint="eastAsia" w:ascii="宋体" w:hAnsi="宋体" w:eastAsia="宋体" w:cs="宋体"/>
          <w:sz w:val="24"/>
          <w:szCs w:val="24"/>
          <w:lang w:val="en-US" w:eastAsia="zh-CN"/>
        </w:rPr>
        <w:t>2020年度区本级预算执行和其他财政收支情况的审计工作报告》为我单位在政府信息平台上根据《中华人民共和国审计法》第四十条“审计机关可以向政府有关部门通报或向社会公布审计结果”的规定，受长春市九台区人民政府委托，予以公开，受社会各界和人民群众进行监督。</w:t>
      </w:r>
    </w:p>
    <w:p>
      <w:pPr>
        <w:ind w:firstLine="480" w:firstLineChars="200"/>
        <w:rPr>
          <w:rFonts w:hint="eastAsia" w:ascii="宋体" w:hAnsi="宋体" w:eastAsia="宋体" w:cs="宋体"/>
          <w:sz w:val="24"/>
          <w:szCs w:val="24"/>
          <w:lang w:eastAsia="zh-CN"/>
        </w:rPr>
      </w:pPr>
      <w:r>
        <w:rPr>
          <w:rFonts w:hint="eastAsia" w:ascii="楷体" w:hAnsi="楷体" w:eastAsia="楷体" w:cs="楷体"/>
          <w:sz w:val="24"/>
          <w:szCs w:val="24"/>
        </w:rPr>
        <w:t>（三）认真规范处理依申请公开。</w:t>
      </w:r>
      <w:r>
        <w:rPr>
          <w:rFonts w:hint="eastAsia" w:ascii="宋体" w:hAnsi="宋体" w:eastAsia="宋体" w:cs="宋体"/>
          <w:sz w:val="24"/>
          <w:szCs w:val="24"/>
          <w:lang w:val="en-US" w:eastAsia="zh-CN"/>
        </w:rPr>
        <w:t>2021年我局全年未收到依申请公开的申请</w:t>
      </w:r>
      <w:r>
        <w:rPr>
          <w:rFonts w:hint="eastAsia" w:ascii="宋体" w:hAnsi="宋体" w:eastAsia="宋体" w:cs="宋体"/>
          <w:sz w:val="24"/>
          <w:szCs w:val="24"/>
          <w:lang w:eastAsia="zh-CN"/>
        </w:rPr>
        <w:t>。按照依申请公开相关要求，如在工作中接到依申请公开，将严格按照依申请公开受理流程、处理方式在规定作出答复的</w:t>
      </w:r>
      <w:r>
        <w:rPr>
          <w:rFonts w:hint="eastAsia" w:ascii="宋体" w:hAnsi="宋体" w:eastAsia="宋体" w:cs="宋体"/>
          <w:sz w:val="24"/>
          <w:szCs w:val="24"/>
          <w:lang w:val="en-US" w:eastAsia="zh-CN"/>
        </w:rPr>
        <w:t>20个工作日内</w:t>
      </w:r>
      <w:r>
        <w:rPr>
          <w:rFonts w:hint="eastAsia" w:ascii="宋体" w:hAnsi="宋体" w:eastAsia="宋体" w:cs="宋体"/>
          <w:sz w:val="24"/>
          <w:szCs w:val="24"/>
          <w:lang w:eastAsia="zh-CN"/>
        </w:rPr>
        <w:t>分情况处理。工作人员认真学习依申请公开相关规定和操作流程及工作程序，如有依申请公开将按时办结，杜绝因政府信息公开工作引发举报、投诉、提起行政诉讼等情况，不断提高在依申请公开方面的应急处突能力，依法依规、保质保量完成好依申请公开工作。</w:t>
      </w:r>
    </w:p>
    <w:p>
      <w:pPr>
        <w:ind w:firstLine="480" w:firstLineChars="200"/>
        <w:rPr>
          <w:rFonts w:hint="default" w:ascii="宋体" w:hAnsi="宋体" w:eastAsia="宋体" w:cs="宋体"/>
          <w:sz w:val="24"/>
          <w:szCs w:val="24"/>
          <w:lang w:val="en-US" w:eastAsia="zh-CN"/>
        </w:rPr>
      </w:pPr>
      <w:r>
        <w:rPr>
          <w:rFonts w:hint="eastAsia" w:ascii="楷体" w:hAnsi="楷体" w:eastAsia="楷体" w:cs="楷体"/>
          <w:sz w:val="24"/>
          <w:szCs w:val="24"/>
        </w:rPr>
        <w:t>（四）不断强化政府信息公开平台内容保障。</w:t>
      </w:r>
      <w:r>
        <w:rPr>
          <w:rFonts w:hint="eastAsia" w:ascii="宋体" w:hAnsi="宋体" w:eastAsia="宋体" w:cs="宋体"/>
          <w:sz w:val="24"/>
          <w:szCs w:val="24"/>
          <w:lang w:val="en-US" w:eastAsia="zh-CN"/>
        </w:rPr>
        <w:t>2021年，九台区审计局不断强化完善局政府信息公开平台内容，按时定量的在平台各个栏目下上传相关公开内容，特别是根据审计部门工作中对相关法律法规、相关政策学习了解程度较高的这一情况，平台工作人员在平台“政府信息公开制度”、“法定主动公开内容”等栏目下及时上传最新的法律法规、政策文件，如</w:t>
      </w:r>
      <w:r>
        <w:rPr>
          <w:rFonts w:ascii="宋体" w:hAnsi="宋体" w:eastAsia="宋体" w:cs="宋体"/>
          <w:sz w:val="24"/>
          <w:szCs w:val="24"/>
        </w:rPr>
        <w:t>《全国人民代表大会常务委员会关于修改＜中华人民共和国审计法＞的决定》</w:t>
      </w:r>
      <w:r>
        <w:rPr>
          <w:rFonts w:hint="eastAsia" w:ascii="宋体" w:hAnsi="宋体" w:eastAsia="宋体" w:cs="宋体"/>
          <w:sz w:val="24"/>
          <w:szCs w:val="24"/>
          <w:lang w:val="en-US" w:eastAsia="zh-CN"/>
        </w:rPr>
        <w:t>中华人民共和国主席令第一〇〇号》等审计系统重要的公开信息。</w:t>
      </w:r>
    </w:p>
    <w:p>
      <w:pPr>
        <w:ind w:firstLine="480" w:firstLineChars="200"/>
        <w:rPr>
          <w:rFonts w:hint="eastAsia" w:ascii="宋体" w:hAnsi="宋体" w:eastAsia="宋体" w:cs="宋体"/>
          <w:sz w:val="24"/>
          <w:szCs w:val="24"/>
          <w:lang w:val="en-US" w:eastAsia="zh-CN"/>
        </w:rPr>
      </w:pPr>
      <w:r>
        <w:rPr>
          <w:rFonts w:hint="eastAsia" w:ascii="楷体" w:hAnsi="楷体" w:eastAsia="楷体" w:cs="楷体"/>
          <w:sz w:val="24"/>
          <w:szCs w:val="24"/>
        </w:rPr>
        <w:t>（五）全力做好宣传培训评估考核等基础工作。</w:t>
      </w:r>
      <w:r>
        <w:rPr>
          <w:rFonts w:hint="eastAsia" w:ascii="宋体" w:hAnsi="宋体" w:eastAsia="宋体" w:cs="宋体"/>
          <w:sz w:val="24"/>
          <w:szCs w:val="24"/>
          <w:lang w:val="en-US" w:eastAsia="zh-CN"/>
        </w:rPr>
        <w:t>2021年我局按照九台区政务公开办公室要求，配备信息公开工作人员，在单位微信群内做好政府信息公开的宣传工作，积极配合区政务公开办公室对政务信息公开工作的要求，加强对政府信息公开工作的审核工作，严格按照“先审批、后公开”这一原则做好政府信息公开工作流程，积极参加政务信息公开工作培训会，学懂弄通上级对政府信息公开工作的部署要求，全力做好政府信息公开工作的评估考核工作。</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6"/>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7"/>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651"/>
        <w:gridCol w:w="685"/>
        <w:gridCol w:w="696"/>
        <w:gridCol w:w="729"/>
        <w:gridCol w:w="707"/>
        <w:gridCol w:w="762"/>
        <w:gridCol w:w="68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119" w:type="dxa"/>
            <w:gridSpan w:val="3"/>
            <w:vMerge w:val="restart"/>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4"/>
                <w:szCs w:val="24"/>
              </w:rPr>
            </w:pPr>
            <w:r>
              <w:rPr>
                <w:rFonts w:hint="default" w:ascii="楷体" w:hAnsi="楷体" w:eastAsia="楷体" w:cs="楷体"/>
                <w:kern w:val="0"/>
                <w:sz w:val="20"/>
                <w:szCs w:val="20"/>
                <w:lang w:bidi="ar"/>
              </w:rPr>
              <w:t>（本列数据的勾稽关系为：第一项加第二项之和，等于第三项加第四项之和）</w:t>
            </w:r>
          </w:p>
        </w:tc>
        <w:tc>
          <w:tcPr>
            <w:tcW w:w="4895" w:type="dxa"/>
            <w:gridSpan w:val="7"/>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4"/>
                <w:szCs w:val="24"/>
              </w:rPr>
            </w:pPr>
            <w:r>
              <w:rPr>
                <w:rFonts w:hint="eastAsia" w:ascii="宋体" w:hAnsi="宋体" w:eastAsia="宋体" w:cs="宋体"/>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119" w:type="dxa"/>
            <w:gridSpan w:val="3"/>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685" w:type="dxa"/>
            <w:vMerge w:val="restart"/>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4"/>
                <w:szCs w:val="24"/>
              </w:rPr>
            </w:pPr>
            <w:r>
              <w:rPr>
                <w:rFonts w:hint="eastAsia" w:ascii="宋体" w:hAnsi="宋体" w:eastAsia="宋体" w:cs="宋体"/>
                <w:kern w:val="0"/>
                <w:sz w:val="20"/>
                <w:szCs w:val="20"/>
                <w:lang w:bidi="ar"/>
              </w:rPr>
              <w:t>自然人</w:t>
            </w:r>
          </w:p>
        </w:tc>
        <w:tc>
          <w:tcPr>
            <w:tcW w:w="3579" w:type="dxa"/>
            <w:gridSpan w:val="5"/>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4"/>
                <w:szCs w:val="24"/>
              </w:rPr>
            </w:pPr>
            <w:r>
              <w:rPr>
                <w:rFonts w:hint="eastAsia" w:ascii="宋体" w:hAnsi="宋体" w:eastAsia="宋体" w:cs="宋体"/>
                <w:kern w:val="0"/>
                <w:sz w:val="20"/>
                <w:szCs w:val="20"/>
                <w:lang w:bidi="ar"/>
              </w:rPr>
              <w:t>法人或其他组织</w:t>
            </w:r>
          </w:p>
        </w:tc>
        <w:tc>
          <w:tcPr>
            <w:tcW w:w="631" w:type="dxa"/>
            <w:vMerge w:val="restart"/>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4"/>
                <w:szCs w:val="24"/>
              </w:rPr>
            </w:pPr>
            <w:r>
              <w:rPr>
                <w:rFonts w:hint="eastAsia" w:ascii="宋体" w:hAnsi="宋体" w:eastAsia="宋体" w:cs="宋体"/>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9" w:type="dxa"/>
            <w:gridSpan w:val="3"/>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685"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696" w:type="dxa"/>
            <w:vAlign w:val="center"/>
          </w:tcPr>
          <w:p>
            <w:pPr>
              <w:keepNext w:val="0"/>
              <w:keepLines w:val="0"/>
              <w:widowControl/>
              <w:suppressLineNumbers w:val="0"/>
              <w:spacing w:before="0" w:beforeAutospacing="0" w:after="0" w:afterAutospacing="0" w:line="12" w:lineRule="atLeast"/>
              <w:ind w:left="0" w:right="0"/>
              <w:jc w:val="center"/>
              <w:rPr>
                <w:rFonts w:hint="default" w:ascii="宋体" w:hAnsi="宋体" w:eastAsia="宋体" w:cs="宋体"/>
                <w:sz w:val="24"/>
                <w:szCs w:val="24"/>
              </w:rPr>
            </w:pPr>
            <w:r>
              <w:rPr>
                <w:rFonts w:hint="eastAsia" w:ascii="宋体" w:hAnsi="宋体" w:eastAsia="宋体" w:cs="宋体"/>
                <w:kern w:val="0"/>
                <w:sz w:val="20"/>
                <w:szCs w:val="20"/>
                <w:lang w:bidi="ar"/>
              </w:rPr>
              <w:t>商业企业</w:t>
            </w:r>
          </w:p>
        </w:tc>
        <w:tc>
          <w:tcPr>
            <w:tcW w:w="729" w:type="dxa"/>
            <w:vAlign w:val="center"/>
          </w:tcPr>
          <w:p>
            <w:pPr>
              <w:keepNext w:val="0"/>
              <w:keepLines w:val="0"/>
              <w:widowControl/>
              <w:suppressLineNumbers w:val="0"/>
              <w:spacing w:before="0" w:beforeAutospacing="0" w:after="0" w:afterAutospacing="0" w:line="12" w:lineRule="atLeast"/>
              <w:ind w:left="0" w:right="0"/>
              <w:jc w:val="center"/>
              <w:rPr>
                <w:rFonts w:hint="default" w:ascii="宋体" w:hAnsi="宋体" w:eastAsia="宋体" w:cs="宋体"/>
                <w:sz w:val="24"/>
                <w:szCs w:val="24"/>
              </w:rPr>
            </w:pPr>
            <w:r>
              <w:rPr>
                <w:rFonts w:hint="eastAsia" w:ascii="宋体" w:hAnsi="宋体" w:eastAsia="宋体" w:cs="宋体"/>
                <w:kern w:val="0"/>
                <w:sz w:val="20"/>
                <w:szCs w:val="20"/>
                <w:lang w:bidi="ar"/>
              </w:rPr>
              <w:t>科研机构</w:t>
            </w:r>
          </w:p>
        </w:tc>
        <w:tc>
          <w:tcPr>
            <w:tcW w:w="707" w:type="dxa"/>
            <w:vAlign w:val="center"/>
          </w:tcPr>
          <w:p>
            <w:pPr>
              <w:keepNext w:val="0"/>
              <w:keepLines w:val="0"/>
              <w:widowControl/>
              <w:suppressLineNumbers w:val="0"/>
              <w:spacing w:before="0" w:beforeAutospacing="0" w:after="0" w:afterAutospacing="0" w:line="12" w:lineRule="atLeast"/>
              <w:ind w:left="0" w:right="0"/>
              <w:jc w:val="center"/>
              <w:rPr>
                <w:rFonts w:hint="default" w:ascii="宋体" w:hAnsi="宋体" w:eastAsia="宋体" w:cs="宋体"/>
                <w:sz w:val="24"/>
                <w:szCs w:val="24"/>
              </w:rPr>
            </w:pPr>
            <w:r>
              <w:rPr>
                <w:rFonts w:hint="eastAsia" w:ascii="宋体" w:hAnsi="宋体" w:eastAsia="宋体" w:cs="宋体"/>
                <w:kern w:val="0"/>
                <w:sz w:val="20"/>
                <w:szCs w:val="20"/>
                <w:lang w:bidi="ar"/>
              </w:rPr>
              <w:t>社会公益组织</w:t>
            </w:r>
          </w:p>
        </w:tc>
        <w:tc>
          <w:tcPr>
            <w:tcW w:w="762" w:type="dxa"/>
            <w:vAlign w:val="center"/>
          </w:tcPr>
          <w:p>
            <w:pPr>
              <w:keepNext w:val="0"/>
              <w:keepLines w:val="0"/>
              <w:widowControl/>
              <w:suppressLineNumbers w:val="0"/>
              <w:spacing w:before="0" w:beforeAutospacing="0" w:after="0" w:afterAutospacing="0" w:line="12" w:lineRule="atLeast"/>
              <w:ind w:left="0" w:right="0"/>
              <w:jc w:val="center"/>
              <w:rPr>
                <w:rFonts w:hint="default" w:ascii="宋体" w:hAnsi="宋体" w:eastAsia="宋体" w:cs="宋体"/>
                <w:sz w:val="24"/>
                <w:szCs w:val="24"/>
              </w:rPr>
            </w:pPr>
            <w:r>
              <w:rPr>
                <w:rFonts w:hint="eastAsia" w:ascii="宋体" w:hAnsi="宋体" w:eastAsia="宋体" w:cs="宋体"/>
                <w:kern w:val="0"/>
                <w:sz w:val="20"/>
                <w:szCs w:val="20"/>
                <w:lang w:bidi="ar"/>
              </w:rPr>
              <w:t>法律服务机构</w:t>
            </w:r>
          </w:p>
        </w:tc>
        <w:tc>
          <w:tcPr>
            <w:tcW w:w="685" w:type="dxa"/>
            <w:vAlign w:val="center"/>
          </w:tcPr>
          <w:p>
            <w:pPr>
              <w:keepNext w:val="0"/>
              <w:keepLines w:val="0"/>
              <w:widowControl/>
              <w:suppressLineNumbers w:val="0"/>
              <w:spacing w:before="0" w:beforeAutospacing="0" w:after="0" w:afterAutospacing="0" w:line="12" w:lineRule="atLeast"/>
              <w:ind w:left="0" w:right="0"/>
              <w:jc w:val="center"/>
              <w:rPr>
                <w:rFonts w:hint="default" w:ascii="宋体" w:hAnsi="宋体" w:eastAsia="宋体" w:cs="宋体"/>
                <w:sz w:val="24"/>
                <w:szCs w:val="24"/>
              </w:rPr>
            </w:pPr>
            <w:r>
              <w:rPr>
                <w:rFonts w:hint="eastAsia" w:ascii="宋体" w:hAnsi="宋体" w:eastAsia="宋体" w:cs="宋体"/>
                <w:kern w:val="0"/>
                <w:sz w:val="20"/>
                <w:szCs w:val="20"/>
                <w:lang w:bidi="ar"/>
              </w:rPr>
              <w:t>其他</w:t>
            </w:r>
          </w:p>
        </w:tc>
        <w:tc>
          <w:tcPr>
            <w:tcW w:w="631"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19" w:type="dxa"/>
            <w:gridSpan w:val="3"/>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sz w:val="24"/>
                <w:szCs w:val="24"/>
              </w:rPr>
            </w:pPr>
            <w:r>
              <w:rPr>
                <w:rFonts w:hint="eastAsia" w:ascii="宋体" w:hAnsi="宋体" w:eastAsia="宋体" w:cs="宋体"/>
                <w:kern w:val="0"/>
                <w:sz w:val="20"/>
                <w:szCs w:val="20"/>
                <w:lang w:bidi="ar"/>
              </w:rPr>
              <w:t>一、本年新收政府信息公开申请数量</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119" w:type="dxa"/>
            <w:gridSpan w:val="3"/>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sz w:val="24"/>
                <w:szCs w:val="24"/>
              </w:rPr>
            </w:pPr>
            <w:r>
              <w:rPr>
                <w:rFonts w:hint="eastAsia" w:ascii="宋体" w:hAnsi="宋体" w:eastAsia="宋体" w:cs="宋体"/>
                <w:kern w:val="0"/>
                <w:sz w:val="20"/>
                <w:szCs w:val="20"/>
                <w:lang w:bidi="ar"/>
              </w:rPr>
              <w:t>二、上年结转政府信息公开申请数量</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restart"/>
            <w:vAlign w:val="center"/>
          </w:tcPr>
          <w:p>
            <w:pPr>
              <w:keepNext w:val="0"/>
              <w:keepLines w:val="0"/>
              <w:widowControl/>
              <w:suppressLineNumbers w:val="0"/>
              <w:spacing w:before="0" w:beforeAutospacing="0" w:after="0" w:afterAutospacing="0" w:line="12" w:lineRule="atLeast"/>
              <w:ind w:left="0" w:right="0"/>
              <w:rPr>
                <w:rFonts w:hint="eastAsia" w:ascii="宋体" w:hAnsi="宋体" w:eastAsia="宋体" w:cs="宋体"/>
                <w:kern w:val="0"/>
                <w:sz w:val="20"/>
                <w:szCs w:val="20"/>
                <w:lang w:bidi="ar"/>
              </w:rPr>
            </w:pPr>
          </w:p>
          <w:p>
            <w:pPr>
              <w:keepNext w:val="0"/>
              <w:keepLines w:val="0"/>
              <w:widowControl/>
              <w:suppressLineNumbers w:val="0"/>
              <w:spacing w:before="0" w:beforeAutospacing="0" w:after="0" w:afterAutospacing="0" w:line="12" w:lineRule="atLeast"/>
              <w:ind w:left="0" w:right="0"/>
              <w:rPr>
                <w:rFonts w:hint="eastAsia" w:ascii="宋体" w:hAnsi="宋体" w:eastAsia="宋体" w:cs="宋体"/>
                <w:kern w:val="0"/>
                <w:sz w:val="20"/>
                <w:szCs w:val="20"/>
                <w:lang w:bidi="ar"/>
              </w:rPr>
            </w:pPr>
          </w:p>
          <w:p>
            <w:pPr>
              <w:keepNext w:val="0"/>
              <w:keepLines w:val="0"/>
              <w:widowControl/>
              <w:suppressLineNumbers w:val="0"/>
              <w:spacing w:before="0" w:beforeAutospacing="0" w:after="0" w:afterAutospacing="0" w:line="12" w:lineRule="atLeast"/>
              <w:ind w:left="0" w:right="0"/>
              <w:rPr>
                <w:rFonts w:hint="eastAsia" w:ascii="宋体" w:hAnsi="宋体" w:eastAsia="宋体" w:cs="宋体"/>
                <w:kern w:val="0"/>
                <w:sz w:val="20"/>
                <w:szCs w:val="20"/>
                <w:lang w:bidi="ar"/>
              </w:rPr>
            </w:pPr>
          </w:p>
          <w:p>
            <w:pPr>
              <w:keepNext w:val="0"/>
              <w:keepLines w:val="0"/>
              <w:widowControl/>
              <w:suppressLineNumbers w:val="0"/>
              <w:spacing w:before="0" w:beforeAutospacing="0" w:after="0" w:afterAutospacing="0" w:line="12" w:lineRule="atLeast"/>
              <w:ind w:left="0" w:right="0"/>
              <w:rPr>
                <w:rFonts w:hint="eastAsia" w:ascii="宋体" w:hAnsi="宋体" w:eastAsia="宋体" w:cs="宋体"/>
                <w:kern w:val="0"/>
                <w:sz w:val="20"/>
                <w:szCs w:val="20"/>
                <w:lang w:bidi="ar"/>
              </w:rPr>
            </w:pPr>
          </w:p>
          <w:p>
            <w:pPr>
              <w:keepNext w:val="0"/>
              <w:keepLines w:val="0"/>
              <w:widowControl/>
              <w:suppressLineNumbers w:val="0"/>
              <w:spacing w:before="0" w:beforeAutospacing="0" w:after="0" w:afterAutospacing="0" w:line="12" w:lineRule="atLeast"/>
              <w:ind w:left="0" w:right="0"/>
              <w:rPr>
                <w:rFonts w:hint="eastAsia" w:ascii="宋体" w:hAnsi="宋体" w:eastAsia="宋体" w:cs="宋体"/>
                <w:kern w:val="0"/>
                <w:sz w:val="20"/>
                <w:szCs w:val="20"/>
                <w:lang w:bidi="ar"/>
              </w:rPr>
            </w:pPr>
          </w:p>
          <w:p>
            <w:pPr>
              <w:keepNext w:val="0"/>
              <w:keepLines w:val="0"/>
              <w:widowControl/>
              <w:suppressLineNumbers w:val="0"/>
              <w:spacing w:before="0" w:beforeAutospacing="0" w:after="0" w:afterAutospacing="0" w:line="12" w:lineRule="atLeast"/>
              <w:ind w:left="0" w:right="0"/>
              <w:rPr>
                <w:rFonts w:hint="eastAsia" w:ascii="宋体" w:hAnsi="宋体" w:eastAsia="宋体" w:cs="宋体"/>
                <w:kern w:val="0"/>
                <w:sz w:val="20"/>
                <w:szCs w:val="20"/>
                <w:lang w:bidi="ar"/>
              </w:rPr>
            </w:pPr>
          </w:p>
          <w:p>
            <w:pPr>
              <w:keepNext w:val="0"/>
              <w:keepLines w:val="0"/>
              <w:widowControl/>
              <w:suppressLineNumbers w:val="0"/>
              <w:spacing w:before="0" w:beforeAutospacing="0" w:after="0" w:afterAutospacing="0" w:line="12" w:lineRule="atLeast"/>
              <w:ind w:left="0" w:right="0"/>
              <w:rPr>
                <w:rFonts w:hint="eastAsia" w:ascii="宋体" w:hAnsi="宋体" w:eastAsia="宋体" w:cs="宋体"/>
                <w:kern w:val="0"/>
                <w:sz w:val="20"/>
                <w:szCs w:val="20"/>
                <w:lang w:bidi="ar"/>
              </w:rPr>
            </w:pPr>
          </w:p>
          <w:p>
            <w:pPr>
              <w:keepNext w:val="0"/>
              <w:keepLines w:val="0"/>
              <w:widowControl/>
              <w:suppressLineNumbers w:val="0"/>
              <w:spacing w:before="0" w:beforeAutospacing="0" w:after="0" w:afterAutospacing="0" w:line="12" w:lineRule="atLeast"/>
              <w:ind w:left="0" w:right="0"/>
              <w:rPr>
                <w:rFonts w:hint="eastAsia" w:ascii="宋体" w:hAnsi="宋体" w:eastAsia="宋体" w:cs="宋体"/>
                <w:kern w:val="0"/>
                <w:sz w:val="20"/>
                <w:szCs w:val="20"/>
                <w:lang w:bidi="ar"/>
              </w:rPr>
            </w:pPr>
          </w:p>
          <w:p>
            <w:pPr>
              <w:keepNext w:val="0"/>
              <w:keepLines w:val="0"/>
              <w:widowControl/>
              <w:suppressLineNumbers w:val="0"/>
              <w:spacing w:before="0" w:beforeAutospacing="0" w:after="0" w:afterAutospacing="0" w:line="12" w:lineRule="atLeast"/>
              <w:ind w:left="0" w:right="0"/>
              <w:rPr>
                <w:rFonts w:hint="eastAsia" w:ascii="宋体" w:hAnsi="宋体" w:eastAsia="宋体" w:cs="宋体"/>
                <w:kern w:val="0"/>
                <w:sz w:val="20"/>
                <w:szCs w:val="20"/>
                <w:lang w:bidi="ar"/>
              </w:rPr>
            </w:pPr>
          </w:p>
          <w:p>
            <w:pPr>
              <w:keepNext w:val="0"/>
              <w:keepLines w:val="0"/>
              <w:widowControl/>
              <w:suppressLineNumbers w:val="0"/>
              <w:spacing w:before="0" w:beforeAutospacing="0" w:after="0" w:afterAutospacing="0" w:line="12" w:lineRule="atLeast"/>
              <w:ind w:left="0" w:right="0"/>
              <w:rPr>
                <w:rFonts w:hint="eastAsia" w:ascii="宋体" w:hAnsi="宋体" w:eastAsia="宋体" w:cs="宋体"/>
                <w:kern w:val="0"/>
                <w:sz w:val="20"/>
                <w:szCs w:val="20"/>
                <w:lang w:bidi="ar"/>
              </w:rPr>
            </w:pPr>
          </w:p>
          <w:p>
            <w:pPr>
              <w:keepNext w:val="0"/>
              <w:keepLines w:val="0"/>
              <w:widowControl/>
              <w:suppressLineNumbers w:val="0"/>
              <w:spacing w:before="0" w:beforeAutospacing="0" w:after="0" w:afterAutospacing="0" w:line="12" w:lineRule="atLeast"/>
              <w:ind w:left="0" w:right="0"/>
              <w:rPr>
                <w:rFonts w:hint="eastAsia" w:ascii="宋体" w:hAnsi="宋体" w:eastAsia="宋体" w:cs="宋体"/>
                <w:kern w:val="0"/>
                <w:sz w:val="20"/>
                <w:szCs w:val="20"/>
                <w:lang w:bidi="ar"/>
              </w:rPr>
            </w:pPr>
          </w:p>
          <w:p>
            <w:pPr>
              <w:keepNext w:val="0"/>
              <w:keepLines w:val="0"/>
              <w:widowControl/>
              <w:suppressLineNumbers w:val="0"/>
              <w:spacing w:before="0" w:beforeAutospacing="0" w:after="0" w:afterAutospacing="0" w:line="12" w:lineRule="atLeast"/>
              <w:ind w:left="0" w:right="0"/>
              <w:rPr>
                <w:rFonts w:hint="eastAsia" w:ascii="宋体" w:hAnsi="宋体" w:eastAsia="宋体" w:cs="宋体"/>
                <w:kern w:val="0"/>
                <w:sz w:val="20"/>
                <w:szCs w:val="20"/>
                <w:lang w:bidi="ar"/>
              </w:rPr>
            </w:pPr>
          </w:p>
          <w:p>
            <w:pPr>
              <w:keepNext w:val="0"/>
              <w:keepLines w:val="0"/>
              <w:widowControl/>
              <w:suppressLineNumbers w:val="0"/>
              <w:spacing w:before="0" w:beforeAutospacing="0" w:after="0" w:afterAutospacing="0" w:line="12" w:lineRule="atLeast"/>
              <w:ind w:left="0" w:right="0"/>
              <w:rPr>
                <w:rFonts w:hint="eastAsia" w:ascii="宋体" w:hAnsi="宋体" w:eastAsia="宋体" w:cs="宋体"/>
                <w:kern w:val="0"/>
                <w:sz w:val="20"/>
                <w:szCs w:val="20"/>
                <w:lang w:bidi="ar"/>
              </w:rPr>
            </w:pPr>
          </w:p>
          <w:p>
            <w:pPr>
              <w:keepNext w:val="0"/>
              <w:keepLines w:val="0"/>
              <w:widowControl/>
              <w:suppressLineNumbers w:val="0"/>
              <w:spacing w:before="0" w:beforeAutospacing="0" w:after="0" w:afterAutospacing="0" w:line="12" w:lineRule="atLeast"/>
              <w:ind w:left="0" w:right="0"/>
              <w:rPr>
                <w:rFonts w:hint="default" w:ascii="宋体" w:hAnsi="宋体" w:eastAsia="宋体" w:cs="宋体"/>
                <w:b/>
                <w:bCs/>
                <w:sz w:val="24"/>
                <w:szCs w:val="24"/>
              </w:rPr>
            </w:pPr>
            <w:r>
              <w:rPr>
                <w:rFonts w:hint="eastAsia" w:ascii="宋体" w:hAnsi="宋体" w:eastAsia="宋体" w:cs="宋体"/>
                <w:kern w:val="0"/>
                <w:sz w:val="20"/>
                <w:szCs w:val="20"/>
                <w:lang w:bidi="ar"/>
              </w:rPr>
              <w:t>三、本年度办理结果</w:t>
            </w:r>
          </w:p>
        </w:tc>
        <w:tc>
          <w:tcPr>
            <w:tcW w:w="3466" w:type="dxa"/>
            <w:gridSpan w:val="2"/>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sz w:val="24"/>
                <w:szCs w:val="24"/>
              </w:rPr>
            </w:pPr>
            <w:r>
              <w:rPr>
                <w:rFonts w:hint="eastAsia" w:ascii="宋体" w:hAnsi="宋体" w:eastAsia="宋体" w:cs="宋体"/>
                <w:kern w:val="0"/>
                <w:sz w:val="20"/>
                <w:szCs w:val="20"/>
                <w:lang w:bidi="ar"/>
              </w:rPr>
              <w:t>（一）予以公开</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3466" w:type="dxa"/>
            <w:gridSpan w:val="2"/>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sz w:val="24"/>
                <w:szCs w:val="24"/>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815" w:type="dxa"/>
            <w:vMerge w:val="restart"/>
            <w:vAlign w:val="center"/>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r>
              <w:rPr>
                <w:rFonts w:hint="eastAsia" w:ascii="宋体" w:hAnsi="宋体" w:eastAsia="宋体" w:cs="宋体"/>
                <w:kern w:val="0"/>
                <w:sz w:val="20"/>
                <w:szCs w:val="20"/>
                <w:lang w:bidi="ar"/>
              </w:rPr>
              <w:t>（三）不予公开</w:t>
            </w:r>
          </w:p>
        </w:tc>
        <w:tc>
          <w:tcPr>
            <w:tcW w:w="2651" w:type="dxa"/>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sz w:val="24"/>
                <w:szCs w:val="24"/>
              </w:rPr>
            </w:pPr>
            <w:r>
              <w:rPr>
                <w:rFonts w:hint="eastAsia" w:ascii="宋体" w:hAnsi="宋体" w:eastAsia="宋体" w:cs="宋体"/>
                <w:kern w:val="0"/>
                <w:sz w:val="20"/>
                <w:szCs w:val="20"/>
                <w:lang w:bidi="ar"/>
              </w:rPr>
              <w:t>1.属于国家秘密</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815"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2651" w:type="dxa"/>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sz w:val="24"/>
                <w:szCs w:val="24"/>
              </w:rPr>
            </w:pPr>
            <w:r>
              <w:rPr>
                <w:rFonts w:hint="eastAsia" w:ascii="宋体" w:hAnsi="宋体" w:eastAsia="宋体" w:cs="宋体"/>
                <w:kern w:val="0"/>
                <w:sz w:val="20"/>
                <w:szCs w:val="20"/>
                <w:lang w:bidi="ar"/>
              </w:rPr>
              <w:t>2.其他法律行政法规禁止公开</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815"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2651" w:type="dxa"/>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sz w:val="24"/>
                <w:szCs w:val="24"/>
              </w:rPr>
            </w:pPr>
            <w:r>
              <w:rPr>
                <w:rFonts w:hint="eastAsia" w:ascii="宋体" w:hAnsi="宋体" w:eastAsia="宋体" w:cs="宋体"/>
                <w:kern w:val="0"/>
                <w:sz w:val="20"/>
                <w:szCs w:val="20"/>
                <w:lang w:bidi="ar"/>
              </w:rPr>
              <w:t>3.危及“三安全一稳定”</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815"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2651" w:type="dxa"/>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sz w:val="24"/>
                <w:szCs w:val="24"/>
              </w:rPr>
            </w:pPr>
            <w:r>
              <w:rPr>
                <w:rFonts w:hint="eastAsia" w:ascii="宋体" w:hAnsi="宋体" w:eastAsia="宋体" w:cs="宋体"/>
                <w:kern w:val="0"/>
                <w:sz w:val="20"/>
                <w:szCs w:val="20"/>
                <w:lang w:bidi="ar"/>
              </w:rPr>
              <w:t>4.保护第三方合法权益</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815"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2651" w:type="dxa"/>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sz w:val="24"/>
                <w:szCs w:val="24"/>
              </w:rPr>
            </w:pPr>
            <w:r>
              <w:rPr>
                <w:rFonts w:hint="eastAsia" w:ascii="宋体" w:hAnsi="宋体" w:eastAsia="宋体" w:cs="宋体"/>
                <w:kern w:val="0"/>
                <w:sz w:val="20"/>
                <w:szCs w:val="20"/>
                <w:lang w:bidi="ar"/>
              </w:rPr>
              <w:t>5.属于三类内部事务信息</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815"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2651" w:type="dxa"/>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sz w:val="24"/>
                <w:szCs w:val="24"/>
              </w:rPr>
            </w:pPr>
            <w:r>
              <w:rPr>
                <w:rFonts w:hint="eastAsia" w:ascii="宋体" w:hAnsi="宋体" w:eastAsia="宋体" w:cs="宋体"/>
                <w:kern w:val="0"/>
                <w:sz w:val="20"/>
                <w:szCs w:val="20"/>
                <w:lang w:bidi="ar"/>
              </w:rPr>
              <w:t>6.属于四类过程性信息</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815"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2651" w:type="dxa"/>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sz w:val="24"/>
                <w:szCs w:val="24"/>
              </w:rPr>
            </w:pPr>
            <w:r>
              <w:rPr>
                <w:rFonts w:hint="eastAsia" w:ascii="宋体" w:hAnsi="宋体" w:eastAsia="宋体" w:cs="宋体"/>
                <w:kern w:val="0"/>
                <w:sz w:val="20"/>
                <w:szCs w:val="20"/>
                <w:lang w:bidi="ar"/>
              </w:rPr>
              <w:t>7.属于行政执法案卷</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815"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2651" w:type="dxa"/>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sz w:val="24"/>
                <w:szCs w:val="24"/>
              </w:rPr>
            </w:pPr>
            <w:r>
              <w:rPr>
                <w:rFonts w:hint="eastAsia" w:ascii="宋体" w:hAnsi="宋体" w:eastAsia="宋体" w:cs="宋体"/>
                <w:kern w:val="0"/>
                <w:sz w:val="20"/>
                <w:szCs w:val="20"/>
                <w:lang w:bidi="ar"/>
              </w:rPr>
              <w:t>8.属于行政查询事项</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815" w:type="dxa"/>
            <w:vMerge w:val="restart"/>
            <w:vAlign w:val="center"/>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r>
              <w:rPr>
                <w:rFonts w:hint="eastAsia" w:ascii="宋体" w:hAnsi="宋体" w:eastAsia="宋体" w:cs="宋体"/>
                <w:kern w:val="0"/>
                <w:sz w:val="20"/>
                <w:szCs w:val="20"/>
                <w:lang w:bidi="ar"/>
              </w:rPr>
              <w:t>（四）无法提供</w:t>
            </w:r>
          </w:p>
        </w:tc>
        <w:tc>
          <w:tcPr>
            <w:tcW w:w="2651" w:type="dxa"/>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sz w:val="24"/>
                <w:szCs w:val="24"/>
              </w:rPr>
            </w:pPr>
            <w:r>
              <w:rPr>
                <w:rFonts w:hint="eastAsia" w:ascii="宋体" w:hAnsi="宋体" w:eastAsia="宋体" w:cs="宋体"/>
                <w:kern w:val="0"/>
                <w:sz w:val="20"/>
                <w:szCs w:val="20"/>
                <w:lang w:bidi="ar"/>
              </w:rPr>
              <w:t>1.本机关不掌握相关政府信息</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815" w:type="dxa"/>
            <w:vMerge w:val="continue"/>
            <w:vAlign w:val="center"/>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2651" w:type="dxa"/>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sz w:val="24"/>
                <w:szCs w:val="24"/>
              </w:rPr>
            </w:pPr>
            <w:r>
              <w:rPr>
                <w:rFonts w:hint="eastAsia" w:ascii="宋体" w:hAnsi="宋体" w:eastAsia="宋体" w:cs="宋体"/>
                <w:kern w:val="0"/>
                <w:sz w:val="20"/>
                <w:szCs w:val="20"/>
                <w:lang w:bidi="ar"/>
              </w:rPr>
              <w:t>2.没有现成信息需要另行制作</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815" w:type="dxa"/>
            <w:vMerge w:val="continue"/>
            <w:vAlign w:val="center"/>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2651" w:type="dxa"/>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sz w:val="24"/>
                <w:szCs w:val="24"/>
              </w:rPr>
            </w:pPr>
            <w:r>
              <w:rPr>
                <w:rFonts w:hint="eastAsia" w:ascii="宋体" w:hAnsi="宋体" w:eastAsia="宋体" w:cs="宋体"/>
                <w:kern w:val="0"/>
                <w:sz w:val="20"/>
                <w:szCs w:val="20"/>
                <w:lang w:bidi="ar"/>
              </w:rPr>
              <w:t>3.补正后申请内容仍不明确</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815" w:type="dxa"/>
            <w:vMerge w:val="restart"/>
            <w:vAlign w:val="center"/>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r>
              <w:rPr>
                <w:rFonts w:hint="eastAsia" w:ascii="宋体" w:hAnsi="宋体" w:eastAsia="宋体" w:cs="宋体"/>
                <w:kern w:val="0"/>
                <w:sz w:val="20"/>
                <w:szCs w:val="20"/>
                <w:lang w:bidi="ar"/>
              </w:rPr>
              <w:t>（五）不予处理</w:t>
            </w:r>
          </w:p>
        </w:tc>
        <w:tc>
          <w:tcPr>
            <w:tcW w:w="2651" w:type="dxa"/>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b/>
                <w:bCs/>
                <w:sz w:val="24"/>
                <w:szCs w:val="24"/>
              </w:rPr>
            </w:pPr>
            <w:r>
              <w:rPr>
                <w:rFonts w:hint="eastAsia" w:ascii="宋体" w:hAnsi="宋体" w:eastAsia="宋体" w:cs="宋体"/>
                <w:kern w:val="0"/>
                <w:sz w:val="20"/>
                <w:szCs w:val="20"/>
                <w:lang w:bidi="ar"/>
              </w:rPr>
              <w:t>1.信访举报投诉类申请</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815" w:type="dxa"/>
            <w:vMerge w:val="continue"/>
            <w:vAlign w:val="center"/>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2651" w:type="dxa"/>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b/>
                <w:bCs/>
                <w:sz w:val="24"/>
                <w:szCs w:val="24"/>
              </w:rPr>
            </w:pPr>
            <w:r>
              <w:rPr>
                <w:rFonts w:hint="eastAsia" w:ascii="宋体" w:hAnsi="宋体" w:eastAsia="宋体" w:cs="宋体"/>
                <w:kern w:val="0"/>
                <w:sz w:val="20"/>
                <w:szCs w:val="20"/>
                <w:lang w:bidi="ar"/>
              </w:rPr>
              <w:t>2.重复申请</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815" w:type="dxa"/>
            <w:vMerge w:val="continue"/>
            <w:vAlign w:val="center"/>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2651" w:type="dxa"/>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b/>
                <w:bCs/>
                <w:sz w:val="24"/>
                <w:szCs w:val="24"/>
              </w:rPr>
            </w:pPr>
            <w:r>
              <w:rPr>
                <w:rFonts w:hint="eastAsia" w:ascii="宋体" w:hAnsi="宋体" w:eastAsia="宋体" w:cs="宋体"/>
                <w:kern w:val="0"/>
                <w:sz w:val="20"/>
                <w:szCs w:val="20"/>
                <w:lang w:bidi="ar"/>
              </w:rPr>
              <w:t>3.要求提供公开出版物</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815" w:type="dxa"/>
            <w:vMerge w:val="continue"/>
            <w:vAlign w:val="center"/>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2651" w:type="dxa"/>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b/>
                <w:bCs/>
                <w:sz w:val="24"/>
                <w:szCs w:val="24"/>
              </w:rPr>
            </w:pPr>
            <w:r>
              <w:rPr>
                <w:rFonts w:hint="eastAsia" w:ascii="宋体" w:hAnsi="宋体" w:eastAsia="宋体" w:cs="宋体"/>
                <w:kern w:val="0"/>
                <w:sz w:val="20"/>
                <w:szCs w:val="20"/>
                <w:lang w:bidi="ar"/>
              </w:rPr>
              <w:t>4.无正当理由大量反复申请</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815" w:type="dxa"/>
            <w:vMerge w:val="continue"/>
            <w:vAlign w:val="center"/>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2651" w:type="dxa"/>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b/>
                <w:bCs/>
                <w:sz w:val="24"/>
                <w:szCs w:val="24"/>
              </w:rPr>
            </w:pPr>
            <w:r>
              <w:rPr>
                <w:rFonts w:hint="eastAsia" w:ascii="宋体" w:hAnsi="宋体" w:eastAsia="宋体" w:cs="宋体"/>
                <w:kern w:val="0"/>
                <w:sz w:val="20"/>
                <w:szCs w:val="20"/>
                <w:lang w:bidi="ar"/>
              </w:rPr>
              <w:t>5.要求行政机关确认或重新出具已获取信息</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815" w:type="dxa"/>
            <w:vMerge w:val="restart"/>
            <w:vAlign w:val="center"/>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r>
              <w:rPr>
                <w:rFonts w:hint="eastAsia" w:ascii="宋体" w:hAnsi="宋体" w:eastAsia="宋体" w:cs="宋体"/>
                <w:kern w:val="0"/>
                <w:sz w:val="20"/>
                <w:szCs w:val="20"/>
                <w:lang w:bidi="ar"/>
              </w:rPr>
              <w:t>（六）其他处理</w:t>
            </w:r>
          </w:p>
        </w:tc>
        <w:tc>
          <w:tcPr>
            <w:tcW w:w="2651" w:type="dxa"/>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sz w:val="24"/>
                <w:szCs w:val="24"/>
              </w:rPr>
            </w:pPr>
            <w:r>
              <w:rPr>
                <w:rFonts w:hint="eastAsia" w:ascii="宋体" w:hAnsi="宋体" w:eastAsia="宋体" w:cs="宋体"/>
                <w:kern w:val="0"/>
                <w:sz w:val="20"/>
                <w:szCs w:val="20"/>
                <w:lang w:bidi="ar"/>
              </w:rPr>
              <w:t>1.申请人无正当理由逾期不补正、行政机关不再处理其政府信息公开申请</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815"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2651" w:type="dxa"/>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sz w:val="24"/>
                <w:szCs w:val="24"/>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815"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2651" w:type="dxa"/>
            <w:vAlign w:val="center"/>
          </w:tcPr>
          <w:p>
            <w:pPr>
              <w:keepNext w:val="0"/>
              <w:keepLines w:val="0"/>
              <w:widowControl/>
              <w:suppressLineNumbers w:val="0"/>
              <w:spacing w:before="0" w:beforeAutospacing="0" w:after="0" w:afterAutospacing="0" w:line="12" w:lineRule="atLeast"/>
              <w:ind w:left="0" w:right="0"/>
              <w:jc w:val="left"/>
              <w:rPr>
                <w:rFonts w:hint="default" w:ascii="宋体" w:hAnsi="宋体" w:eastAsia="宋体" w:cs="宋体"/>
                <w:sz w:val="24"/>
                <w:szCs w:val="24"/>
              </w:rPr>
            </w:pPr>
            <w:r>
              <w:rPr>
                <w:rFonts w:hint="eastAsia" w:ascii="宋体" w:hAnsi="宋体" w:eastAsia="宋体" w:cs="宋体"/>
                <w:kern w:val="0"/>
                <w:sz w:val="20"/>
                <w:szCs w:val="20"/>
                <w:lang w:bidi="ar"/>
              </w:rPr>
              <w:t>3.其他</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3" w:type="dxa"/>
            <w:vMerge w:val="continue"/>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p>
        </w:tc>
        <w:tc>
          <w:tcPr>
            <w:tcW w:w="3466" w:type="dxa"/>
            <w:gridSpan w:val="2"/>
            <w:vAlign w:val="center"/>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r>
              <w:rPr>
                <w:rFonts w:hint="eastAsia" w:ascii="宋体" w:hAnsi="宋体" w:eastAsia="宋体" w:cs="宋体"/>
                <w:kern w:val="0"/>
                <w:sz w:val="20"/>
                <w:szCs w:val="20"/>
                <w:lang w:bidi="ar"/>
              </w:rPr>
              <w:t>（七）总计</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119" w:type="dxa"/>
            <w:gridSpan w:val="3"/>
            <w:vAlign w:val="center"/>
          </w:tcPr>
          <w:p>
            <w:pPr>
              <w:keepNext w:val="0"/>
              <w:keepLines w:val="0"/>
              <w:suppressLineNumbers w:val="0"/>
              <w:spacing w:before="0" w:beforeAutospacing="0" w:after="0" w:afterAutospacing="0"/>
              <w:ind w:left="0" w:right="0"/>
              <w:rPr>
                <w:rFonts w:hint="default" w:ascii="宋体" w:hAnsi="宋体" w:eastAsia="宋体" w:cs="宋体"/>
                <w:b/>
                <w:bCs/>
                <w:sz w:val="24"/>
                <w:szCs w:val="24"/>
              </w:rPr>
            </w:pPr>
            <w:r>
              <w:rPr>
                <w:rFonts w:hint="eastAsia" w:ascii="宋体" w:hAnsi="宋体" w:eastAsia="宋体" w:cs="宋体"/>
                <w:kern w:val="0"/>
                <w:sz w:val="20"/>
                <w:szCs w:val="20"/>
                <w:lang w:bidi="ar"/>
              </w:rPr>
              <w:t>四、结转下年度继续办理</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keepNext w:val="0"/>
              <w:keepLines w:val="0"/>
              <w:suppressLineNumbers w:val="0"/>
              <w:spacing w:before="0" w:beforeAutospacing="0" w:after="0" w:afterAutospacing="0"/>
              <w:ind w:left="0" w:right="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6"/>
        <w:tblW w:w="9071" w:type="dxa"/>
        <w:jc w:val="center"/>
        <w:tblLayout w:type="autofit"/>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rPr>
          <w:jc w:val="center"/>
        </w:trPr>
        <w:tc>
          <w:tcPr>
            <w:tcW w:w="302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行政复议</w:t>
            </w:r>
          </w:p>
        </w:tc>
        <w:tc>
          <w:tcPr>
            <w:tcW w:w="604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行政诉讼</w:t>
            </w:r>
          </w:p>
        </w:tc>
      </w:tr>
      <w:tr>
        <w:tblPrEx>
          <w:tblCellMar>
            <w:top w:w="0" w:type="dxa"/>
            <w:left w:w="0" w:type="dxa"/>
            <w:bottom w:w="0" w:type="dxa"/>
            <w:right w:w="0" w:type="dxa"/>
          </w:tblCellMar>
        </w:tblPrEx>
        <w:trPr>
          <w:jc w:val="center"/>
        </w:trPr>
        <w:tc>
          <w:tcPr>
            <w:tcW w:w="60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结果维持</w:t>
            </w:r>
          </w:p>
        </w:tc>
        <w:tc>
          <w:tcPr>
            <w:tcW w:w="59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其他结果</w:t>
            </w:r>
          </w:p>
        </w:tc>
        <w:tc>
          <w:tcPr>
            <w:tcW w:w="61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尚未审结</w:t>
            </w:r>
          </w:p>
        </w:tc>
        <w:tc>
          <w:tcPr>
            <w:tcW w:w="60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总计</w:t>
            </w:r>
          </w:p>
        </w:tc>
        <w:tc>
          <w:tcPr>
            <w:tcW w:w="304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未经复议直接起诉</w:t>
            </w:r>
          </w:p>
        </w:tc>
        <w:tc>
          <w:tcPr>
            <w:tcW w:w="300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复议后起诉</w:t>
            </w:r>
          </w:p>
        </w:tc>
      </w:tr>
      <w:tr>
        <w:tblPrEx>
          <w:tblCellMar>
            <w:top w:w="0" w:type="dxa"/>
            <w:left w:w="0" w:type="dxa"/>
            <w:bottom w:w="0" w:type="dxa"/>
            <w:right w:w="0" w:type="dxa"/>
          </w:tblCellMar>
        </w:tblPrEx>
        <w:trPr>
          <w:jc w:val="center"/>
        </w:trPr>
        <w:tc>
          <w:tcPr>
            <w:tcW w:w="665" w:type="dxa"/>
            <w:vMerge w:val="continue"/>
            <w:tcBorders>
              <w:top w:val="nil"/>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c>
          <w:tcPr>
            <w:tcW w:w="592" w:type="dxa"/>
            <w:vMerge w:val="continue"/>
            <w:tcBorders>
              <w:top w:val="nil"/>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c>
          <w:tcPr>
            <w:tcW w:w="604" w:type="dxa"/>
            <w:vMerge w:val="continue"/>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c>
          <w:tcPr>
            <w:tcW w:w="615" w:type="dxa"/>
            <w:vMerge w:val="continue"/>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c>
          <w:tcPr>
            <w:tcW w:w="548" w:type="dxa"/>
            <w:vMerge w:val="continue"/>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c>
          <w:tcPr>
            <w:tcW w:w="63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结果维持</w:t>
            </w:r>
          </w:p>
        </w:tc>
        <w:tc>
          <w:tcPr>
            <w:tcW w:w="59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结果纠正</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其他结果</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尚未审结</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color w:val="000000"/>
                <w:kern w:val="0"/>
                <w:sz w:val="18"/>
                <w:szCs w:val="18"/>
              </w:rPr>
              <w:t>总计</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结果维持</w:t>
            </w:r>
          </w:p>
        </w:tc>
        <w:tc>
          <w:tcPr>
            <w:tcW w:w="6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结果纠正</w:t>
            </w:r>
          </w:p>
        </w:tc>
        <w:tc>
          <w:tcPr>
            <w:tcW w:w="6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color w:val="000000"/>
                <w:kern w:val="0"/>
                <w:sz w:val="18"/>
                <w:szCs w:val="18"/>
              </w:rPr>
              <w:t>其他结果</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尚未审结</w:t>
            </w:r>
          </w:p>
        </w:tc>
        <w:tc>
          <w:tcPr>
            <w:tcW w:w="6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color w:val="000000"/>
                <w:kern w:val="0"/>
                <w:sz w:val="18"/>
                <w:szCs w:val="18"/>
              </w:rPr>
              <w:t>总计</w:t>
            </w:r>
          </w:p>
        </w:tc>
      </w:tr>
      <w:tr>
        <w:tblPrEx>
          <w:tblCellMar>
            <w:top w:w="0" w:type="dxa"/>
            <w:left w:w="0" w:type="dxa"/>
            <w:bottom w:w="0" w:type="dxa"/>
            <w:right w:w="0" w:type="dxa"/>
          </w:tblCellMar>
        </w:tblPrEx>
        <w:trPr>
          <w:trHeight w:val="697" w:hRule="atLeast"/>
          <w:jc w:val="center"/>
        </w:trPr>
        <w:tc>
          <w:tcPr>
            <w:tcW w:w="6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bl>
    <w:p>
      <w:pPr>
        <w:ind w:firstLine="482" w:firstLineChars="200"/>
        <w:rPr>
          <w:rFonts w:ascii="宋体" w:hAnsi="宋体" w:eastAsia="宋体" w:cs="宋体"/>
          <w:sz w:val="24"/>
          <w:szCs w:val="24"/>
        </w:rPr>
      </w:pPr>
      <w:r>
        <w:rPr>
          <w:rFonts w:hint="eastAsia" w:ascii="宋体" w:hAnsi="宋体" w:eastAsia="宋体" w:cs="宋体"/>
          <w:b/>
          <w:bCs/>
          <w:sz w:val="24"/>
          <w:szCs w:val="24"/>
        </w:rPr>
        <w:t>五、存在的主要问题及改进情况</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2021年，我</w:t>
      </w:r>
      <w:r>
        <w:rPr>
          <w:rFonts w:hint="eastAsia" w:ascii="宋体" w:hAnsi="宋体" w:eastAsia="宋体" w:cs="宋体"/>
          <w:sz w:val="24"/>
          <w:szCs w:val="24"/>
          <w:lang w:eastAsia="zh-CN"/>
        </w:rPr>
        <w:t>局</w:t>
      </w:r>
      <w:r>
        <w:rPr>
          <w:rFonts w:hint="eastAsia" w:ascii="宋体" w:hAnsi="宋体" w:eastAsia="宋体" w:cs="宋体"/>
          <w:sz w:val="24"/>
          <w:szCs w:val="24"/>
        </w:rPr>
        <w:t>的政府信息公开工作</w:t>
      </w:r>
      <w:r>
        <w:rPr>
          <w:rFonts w:hint="eastAsia" w:ascii="宋体" w:hAnsi="宋体" w:eastAsia="宋体" w:cs="宋体"/>
          <w:sz w:val="24"/>
          <w:szCs w:val="24"/>
          <w:lang w:eastAsia="zh-CN"/>
        </w:rPr>
        <w:t>虽</w:t>
      </w:r>
      <w:r>
        <w:rPr>
          <w:rFonts w:hint="eastAsia" w:ascii="宋体" w:hAnsi="宋体" w:eastAsia="宋体" w:cs="宋体"/>
          <w:sz w:val="24"/>
          <w:szCs w:val="24"/>
        </w:rPr>
        <w:t>取得成效，但</w:t>
      </w:r>
      <w:r>
        <w:rPr>
          <w:rFonts w:hint="eastAsia" w:ascii="宋体" w:hAnsi="宋体" w:eastAsia="宋体" w:cs="宋体"/>
          <w:sz w:val="24"/>
          <w:szCs w:val="24"/>
          <w:lang w:eastAsia="zh-CN"/>
        </w:rPr>
        <w:t>仍然</w:t>
      </w:r>
      <w:r>
        <w:rPr>
          <w:rFonts w:hint="eastAsia" w:ascii="宋体" w:hAnsi="宋体" w:eastAsia="宋体" w:cs="宋体"/>
          <w:sz w:val="24"/>
          <w:szCs w:val="24"/>
        </w:rPr>
        <w:t>存在一些不足。</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主要表现</w:t>
      </w:r>
      <w:r>
        <w:rPr>
          <w:rFonts w:hint="eastAsia" w:ascii="宋体" w:hAnsi="宋体" w:eastAsia="宋体" w:cs="宋体"/>
          <w:sz w:val="24"/>
          <w:szCs w:val="24"/>
          <w:lang w:eastAsia="zh-CN"/>
        </w:rPr>
        <w:t>为</w:t>
      </w:r>
      <w:r>
        <w:rPr>
          <w:rFonts w:hint="eastAsia" w:ascii="宋体" w:hAnsi="宋体" w:eastAsia="宋体" w:cs="宋体"/>
          <w:sz w:val="24"/>
          <w:szCs w:val="24"/>
        </w:rPr>
        <w:t>对部分规范性文件、政策</w:t>
      </w:r>
      <w:r>
        <w:rPr>
          <w:rFonts w:hint="eastAsia" w:ascii="宋体" w:hAnsi="宋体" w:eastAsia="宋体" w:cs="宋体"/>
          <w:sz w:val="24"/>
          <w:szCs w:val="24"/>
          <w:lang w:eastAsia="zh-CN"/>
        </w:rPr>
        <w:t>解读公开传达不到位</w:t>
      </w:r>
      <w:r>
        <w:rPr>
          <w:rFonts w:hint="eastAsia" w:ascii="宋体" w:hAnsi="宋体" w:eastAsia="宋体" w:cs="宋体"/>
          <w:sz w:val="24"/>
          <w:szCs w:val="24"/>
        </w:rPr>
        <w:t>；对政府信息公开工作面临的新情况、新问题研究得还不够深；政务公开标准化规范化建设还需进一步加强。</w:t>
      </w:r>
      <w:r>
        <w:rPr>
          <w:rFonts w:hint="eastAsia" w:ascii="宋体" w:hAnsi="宋体" w:eastAsia="宋体" w:cs="宋体"/>
          <w:sz w:val="24"/>
          <w:szCs w:val="24"/>
          <w:lang w:val="en-US" w:eastAsia="zh-CN"/>
        </w:rPr>
        <w:t xml:space="preserve">   </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一是全面落实政府信息公开责任。认真贯彻落实《中华人民共和国政府信息公开条例》的要求，完善政府信息公开工作机制，持续优化政府信息公开栏目设置</w:t>
      </w:r>
      <w:r>
        <w:rPr>
          <w:rFonts w:hint="eastAsia" w:ascii="宋体" w:hAnsi="宋体" w:eastAsia="宋体" w:cs="宋体"/>
          <w:sz w:val="24"/>
          <w:szCs w:val="24"/>
          <w:lang w:eastAsia="zh-CN"/>
        </w:rPr>
        <w:t>及内容的更新</w:t>
      </w:r>
      <w:r>
        <w:rPr>
          <w:rFonts w:hint="eastAsia" w:ascii="宋体" w:hAnsi="宋体" w:eastAsia="宋体" w:cs="宋体"/>
          <w:sz w:val="24"/>
          <w:szCs w:val="24"/>
        </w:rPr>
        <w:t>，</w:t>
      </w:r>
      <w:r>
        <w:rPr>
          <w:rFonts w:hint="eastAsia" w:ascii="宋体" w:hAnsi="宋体" w:eastAsia="宋体" w:cs="宋体"/>
          <w:sz w:val="24"/>
          <w:szCs w:val="24"/>
          <w:lang w:eastAsia="zh-CN"/>
        </w:rPr>
        <w:t>关注审计部门应及时了解的各类法律法规政策文件并</w:t>
      </w:r>
      <w:r>
        <w:rPr>
          <w:rFonts w:hint="eastAsia" w:ascii="宋体" w:hAnsi="宋体" w:eastAsia="宋体" w:cs="宋体"/>
          <w:sz w:val="24"/>
          <w:szCs w:val="24"/>
        </w:rPr>
        <w:t>加强主动公开内容审核。</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二是深入研究政府信息公开工作新发展。我局在政府信息公开工作方面存在一定的谨慎性，导致我局全年政府信息公开工作任务量不足。我局将积极向上级审计机关学习并参考可在政府信息平台公开的审计信息，强化经济监督责任，并受社会监督。</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三</w:t>
      </w:r>
      <w:r>
        <w:rPr>
          <w:rFonts w:hint="eastAsia" w:ascii="宋体" w:hAnsi="宋体" w:eastAsia="宋体" w:cs="宋体"/>
          <w:sz w:val="24"/>
          <w:szCs w:val="24"/>
        </w:rPr>
        <w:t>是深化政府信息公开标准化规范化建设。加强</w:t>
      </w:r>
      <w:r>
        <w:rPr>
          <w:rFonts w:hint="eastAsia" w:ascii="宋体" w:hAnsi="宋体" w:eastAsia="宋体" w:cs="宋体"/>
          <w:sz w:val="24"/>
          <w:szCs w:val="24"/>
          <w:lang w:eastAsia="zh-CN"/>
        </w:rPr>
        <w:t>局机关</w:t>
      </w:r>
      <w:r>
        <w:rPr>
          <w:rFonts w:hint="eastAsia" w:ascii="宋体" w:hAnsi="宋体" w:eastAsia="宋体" w:cs="宋体"/>
          <w:sz w:val="24"/>
          <w:szCs w:val="24"/>
        </w:rPr>
        <w:t>政府信息公开工作人员的教育培训，提升综合素质</w:t>
      </w:r>
      <w:r>
        <w:rPr>
          <w:rFonts w:hint="eastAsia" w:ascii="宋体" w:hAnsi="宋体" w:eastAsia="宋体" w:cs="宋体"/>
          <w:sz w:val="24"/>
          <w:szCs w:val="24"/>
          <w:lang w:eastAsia="zh-CN"/>
        </w:rPr>
        <w:t>，</w:t>
      </w:r>
      <w:r>
        <w:rPr>
          <w:rFonts w:hint="eastAsia" w:ascii="宋体" w:hAnsi="宋体" w:eastAsia="宋体" w:cs="宋体"/>
          <w:sz w:val="24"/>
          <w:szCs w:val="24"/>
        </w:rPr>
        <w:t>加强重大政务舆情回应工作，不断提升</w:t>
      </w:r>
      <w:r>
        <w:rPr>
          <w:rFonts w:hint="eastAsia" w:ascii="宋体" w:hAnsi="宋体" w:eastAsia="宋体" w:cs="宋体"/>
          <w:sz w:val="24"/>
          <w:szCs w:val="24"/>
          <w:lang w:eastAsia="zh-CN"/>
        </w:rPr>
        <w:t>我单位</w:t>
      </w:r>
      <w:r>
        <w:rPr>
          <w:rFonts w:hint="eastAsia" w:ascii="宋体" w:hAnsi="宋体" w:eastAsia="宋体" w:cs="宋体"/>
          <w:sz w:val="24"/>
          <w:szCs w:val="24"/>
        </w:rPr>
        <w:t>政府信息公开工作</w:t>
      </w:r>
      <w:r>
        <w:rPr>
          <w:rFonts w:hint="eastAsia" w:ascii="宋体" w:hAnsi="宋体" w:eastAsia="宋体" w:cs="宋体"/>
          <w:sz w:val="24"/>
          <w:szCs w:val="24"/>
          <w:lang w:eastAsia="zh-CN"/>
        </w:rPr>
        <w:t>成</w:t>
      </w:r>
      <w:r>
        <w:rPr>
          <w:rFonts w:hint="eastAsia" w:ascii="宋体" w:hAnsi="宋体" w:eastAsia="宋体" w:cs="宋体"/>
          <w:sz w:val="24"/>
          <w:szCs w:val="24"/>
        </w:rPr>
        <w:t>效。</w:t>
      </w:r>
      <w:bookmarkStart w:id="0" w:name="_GoBack"/>
      <w:bookmarkEnd w:id="0"/>
    </w:p>
    <w:p>
      <w:pPr>
        <w:ind w:firstLine="480" w:firstLineChars="200"/>
        <w:rPr>
          <w:rFonts w:hint="eastAsia" w:ascii="宋体" w:hAnsi="宋体" w:eastAsia="宋体" w:cs="宋体"/>
          <w:sz w:val="24"/>
          <w:szCs w:val="24"/>
        </w:rPr>
      </w:pPr>
      <w:r>
        <w:rPr>
          <w:rFonts w:hint="eastAsia" w:ascii="宋体" w:hAnsi="宋体" w:eastAsia="宋体" w:cs="宋体"/>
          <w:sz w:val="24"/>
          <w:szCs w:val="24"/>
        </w:rPr>
        <w:t>2022年，</w:t>
      </w:r>
      <w:r>
        <w:rPr>
          <w:rFonts w:hint="eastAsia" w:ascii="宋体" w:hAnsi="宋体" w:eastAsia="宋体" w:cs="宋体"/>
          <w:sz w:val="24"/>
          <w:szCs w:val="24"/>
          <w:lang w:eastAsia="zh-CN"/>
        </w:rPr>
        <w:t>九台区审计局</w:t>
      </w:r>
      <w:r>
        <w:rPr>
          <w:rFonts w:hint="eastAsia" w:ascii="宋体" w:hAnsi="宋体" w:eastAsia="宋体" w:cs="宋体"/>
          <w:sz w:val="24"/>
          <w:szCs w:val="24"/>
        </w:rPr>
        <w:t>将以深入推进政务公开规范化建设为抓手，进一步强化政务公开制度建设，提升政务公开质量和效率，扎实做好政府信息公开工作。</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六、其他需要报告的事项</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075A3"/>
    <w:multiLevelType w:val="singleLevel"/>
    <w:tmpl w:val="704075A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69"/>
    <w:rsid w:val="000429A0"/>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62B9B"/>
    <w:rsid w:val="00300E1E"/>
    <w:rsid w:val="00336CF7"/>
    <w:rsid w:val="00344258"/>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7178F5"/>
    <w:rsid w:val="00732470"/>
    <w:rsid w:val="00782C19"/>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6438D"/>
    <w:rsid w:val="009737BC"/>
    <w:rsid w:val="009E0E6F"/>
    <w:rsid w:val="00A04FB9"/>
    <w:rsid w:val="00A45231"/>
    <w:rsid w:val="00A7351A"/>
    <w:rsid w:val="00A76BD9"/>
    <w:rsid w:val="00A771E0"/>
    <w:rsid w:val="00AD6863"/>
    <w:rsid w:val="00B16D57"/>
    <w:rsid w:val="00B34B60"/>
    <w:rsid w:val="00B50AB5"/>
    <w:rsid w:val="00B751E4"/>
    <w:rsid w:val="00B83021"/>
    <w:rsid w:val="00B86BEF"/>
    <w:rsid w:val="00B93336"/>
    <w:rsid w:val="00BC6098"/>
    <w:rsid w:val="00C834FE"/>
    <w:rsid w:val="00CD1012"/>
    <w:rsid w:val="00CF3763"/>
    <w:rsid w:val="00D72931"/>
    <w:rsid w:val="00DC3320"/>
    <w:rsid w:val="00DF0BB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2859AD"/>
    <w:rsid w:val="01C74C41"/>
    <w:rsid w:val="020F23B4"/>
    <w:rsid w:val="03615DE6"/>
    <w:rsid w:val="04B70161"/>
    <w:rsid w:val="05066EA2"/>
    <w:rsid w:val="06A434A5"/>
    <w:rsid w:val="0AC4028D"/>
    <w:rsid w:val="0B924A77"/>
    <w:rsid w:val="0D1C7438"/>
    <w:rsid w:val="0D2374CE"/>
    <w:rsid w:val="0D9A07CB"/>
    <w:rsid w:val="0EF95E3E"/>
    <w:rsid w:val="0F841BAC"/>
    <w:rsid w:val="0F845C75"/>
    <w:rsid w:val="0FFF2C05"/>
    <w:rsid w:val="101A7A9C"/>
    <w:rsid w:val="10D94ED9"/>
    <w:rsid w:val="12AB7BEB"/>
    <w:rsid w:val="13800D4C"/>
    <w:rsid w:val="13916BB7"/>
    <w:rsid w:val="156F3C12"/>
    <w:rsid w:val="16F67B0A"/>
    <w:rsid w:val="18DE0B8B"/>
    <w:rsid w:val="1BF24C7D"/>
    <w:rsid w:val="1D326A70"/>
    <w:rsid w:val="1EF47C7F"/>
    <w:rsid w:val="1F4E26E0"/>
    <w:rsid w:val="206003A7"/>
    <w:rsid w:val="209E7690"/>
    <w:rsid w:val="21463587"/>
    <w:rsid w:val="219A054A"/>
    <w:rsid w:val="21D870DE"/>
    <w:rsid w:val="22672407"/>
    <w:rsid w:val="243F343F"/>
    <w:rsid w:val="24643CE0"/>
    <w:rsid w:val="27272767"/>
    <w:rsid w:val="28975D5D"/>
    <w:rsid w:val="2AFE7BEA"/>
    <w:rsid w:val="2B25609B"/>
    <w:rsid w:val="2BC71311"/>
    <w:rsid w:val="2E800197"/>
    <w:rsid w:val="2F1232C3"/>
    <w:rsid w:val="2F560859"/>
    <w:rsid w:val="2F56299D"/>
    <w:rsid w:val="2F857AAD"/>
    <w:rsid w:val="31C902D1"/>
    <w:rsid w:val="331F1F6B"/>
    <w:rsid w:val="33CE7B6B"/>
    <w:rsid w:val="345E7490"/>
    <w:rsid w:val="34707FB0"/>
    <w:rsid w:val="36781544"/>
    <w:rsid w:val="371D10E5"/>
    <w:rsid w:val="38E86A6C"/>
    <w:rsid w:val="38FD2077"/>
    <w:rsid w:val="39241FC9"/>
    <w:rsid w:val="393E5745"/>
    <w:rsid w:val="3B281EB3"/>
    <w:rsid w:val="3B291E3A"/>
    <w:rsid w:val="3BA453BA"/>
    <w:rsid w:val="3E620C74"/>
    <w:rsid w:val="3ED76D58"/>
    <w:rsid w:val="400E44FB"/>
    <w:rsid w:val="41D16C02"/>
    <w:rsid w:val="434E5C60"/>
    <w:rsid w:val="44C930CB"/>
    <w:rsid w:val="450C3AC5"/>
    <w:rsid w:val="45333C19"/>
    <w:rsid w:val="45801017"/>
    <w:rsid w:val="49181DCF"/>
    <w:rsid w:val="492A6A34"/>
    <w:rsid w:val="4A02676F"/>
    <w:rsid w:val="4BCC7E94"/>
    <w:rsid w:val="4D5301FB"/>
    <w:rsid w:val="4FAE66AC"/>
    <w:rsid w:val="51114DA7"/>
    <w:rsid w:val="519D11BC"/>
    <w:rsid w:val="51D907C9"/>
    <w:rsid w:val="524F43BC"/>
    <w:rsid w:val="528643A0"/>
    <w:rsid w:val="532A236B"/>
    <w:rsid w:val="534413A4"/>
    <w:rsid w:val="55067B99"/>
    <w:rsid w:val="56B07488"/>
    <w:rsid w:val="575C1C0E"/>
    <w:rsid w:val="57C84AB2"/>
    <w:rsid w:val="592605B1"/>
    <w:rsid w:val="594133B8"/>
    <w:rsid w:val="59CF4E9D"/>
    <w:rsid w:val="5B51267D"/>
    <w:rsid w:val="5C760D5E"/>
    <w:rsid w:val="608B5AEC"/>
    <w:rsid w:val="60C72177"/>
    <w:rsid w:val="61382CF4"/>
    <w:rsid w:val="641529AA"/>
    <w:rsid w:val="657A580E"/>
    <w:rsid w:val="65A42693"/>
    <w:rsid w:val="663C01D2"/>
    <w:rsid w:val="669B2BD8"/>
    <w:rsid w:val="66EF5667"/>
    <w:rsid w:val="6873596B"/>
    <w:rsid w:val="68EE3DB7"/>
    <w:rsid w:val="695F20D8"/>
    <w:rsid w:val="69895E31"/>
    <w:rsid w:val="69912B2A"/>
    <w:rsid w:val="6AC133A3"/>
    <w:rsid w:val="6BE4526A"/>
    <w:rsid w:val="6DA66DF4"/>
    <w:rsid w:val="6E3254DD"/>
    <w:rsid w:val="6F0E25FB"/>
    <w:rsid w:val="6F9D3BB3"/>
    <w:rsid w:val="6FB026B2"/>
    <w:rsid w:val="70900DB0"/>
    <w:rsid w:val="70E7254E"/>
    <w:rsid w:val="71917722"/>
    <w:rsid w:val="72117322"/>
    <w:rsid w:val="72544ACF"/>
    <w:rsid w:val="72B0307D"/>
    <w:rsid w:val="72F22421"/>
    <w:rsid w:val="739A1583"/>
    <w:rsid w:val="74484734"/>
    <w:rsid w:val="75420E12"/>
    <w:rsid w:val="756D7EF4"/>
    <w:rsid w:val="774B1F49"/>
    <w:rsid w:val="779255E7"/>
    <w:rsid w:val="792539DA"/>
    <w:rsid w:val="79F53FD4"/>
    <w:rsid w:val="7C32500E"/>
    <w:rsid w:val="7C805C6D"/>
    <w:rsid w:val="7D5102A0"/>
    <w:rsid w:val="7D5F0EE6"/>
    <w:rsid w:val="7FB8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214</Words>
  <Characters>1226</Characters>
  <Lines>10</Lines>
  <Paragraphs>2</Paragraphs>
  <TotalTime>16</TotalTime>
  <ScaleCrop>false</ScaleCrop>
  <LinksUpToDate>false</LinksUpToDate>
  <CharactersWithSpaces>1438</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2021-01-09T06:07:00Z</dcterms:created>
  <dc:creator>lenovo</dc:creator>
  <cp:lastModifiedBy>Administrator</cp:lastModifiedBy>
  <cp:lastPrinted>2022-01-13T02:54:29Z</cp:lastPrinted>
  <dcterms:modified xsi:type="dcterms:W3CDTF">2022-01-13T02:54:57Z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97FEFCB10DA14C8C9B7E747115EE5E50</vt:lpwstr>
  </property>
</Properties>
</file>